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E384" w14:textId="77777777" w:rsidR="00A72975" w:rsidRPr="00667FB0" w:rsidRDefault="00A72975" w:rsidP="00A72975">
      <w:pPr>
        <w:shd w:val="clear" w:color="auto" w:fill="578489" w:themeFill="background1" w:themeFillShade="BF"/>
        <w:spacing w:after="120"/>
        <w:ind w:right="254"/>
        <w:jc w:val="center"/>
        <w:rPr>
          <w:rFonts w:ascii="Verdana" w:hAnsi="Verdana"/>
          <w:b/>
          <w:color w:val="FFFFFF"/>
          <w:sz w:val="28"/>
          <w:szCs w:val="28"/>
          <w:lang w:val="en-US"/>
        </w:rPr>
      </w:pPr>
      <w:bookmarkStart w:id="0" w:name="_Hlk77336545"/>
      <w:r w:rsidRPr="00667FB0">
        <w:rPr>
          <w:rFonts w:ascii="Verdana" w:hAnsi="Verdana" w:cs="Arial"/>
          <w:b/>
          <w:color w:val="FFFFFF"/>
          <w:sz w:val="28"/>
          <w:szCs w:val="28"/>
          <w:lang w:val="en-US"/>
        </w:rPr>
        <w:t xml:space="preserve">Any additional information referred to in </w:t>
      </w:r>
      <w:r w:rsidR="00CB0D1D">
        <w:rPr>
          <w:rFonts w:ascii="Verdana" w:hAnsi="Verdana" w:cs="Arial"/>
          <w:b/>
          <w:color w:val="FFFFFF"/>
          <w:sz w:val="28"/>
          <w:szCs w:val="28"/>
          <w:lang w:val="en-US"/>
        </w:rPr>
        <w:t>A</w:t>
      </w:r>
      <w:r w:rsidRPr="00667FB0">
        <w:rPr>
          <w:rFonts w:ascii="Verdana" w:hAnsi="Verdana" w:cs="Arial"/>
          <w:b/>
          <w:color w:val="FFFFFF"/>
          <w:sz w:val="28"/>
          <w:szCs w:val="28"/>
          <w:lang w:val="en-US"/>
        </w:rPr>
        <w:t>rticle 23(1) for each AIF the AIFM intends to market (Paragraph (f) of annex IV of AIFMD)</w:t>
      </w:r>
    </w:p>
    <w:bookmarkEnd w:id="0"/>
    <w:p w14:paraId="06D30E28" w14:textId="77777777" w:rsidR="00A72975" w:rsidRPr="00667FB0" w:rsidRDefault="00A72975" w:rsidP="00A72975">
      <w:pPr>
        <w:pStyle w:val="Default"/>
        <w:spacing w:after="120"/>
        <w:jc w:val="both"/>
        <w:rPr>
          <w:rFonts w:ascii="Verdana" w:hAnsi="Verdana"/>
          <w:sz w:val="22"/>
          <w:szCs w:val="22"/>
        </w:rPr>
      </w:pPr>
      <w:r w:rsidRPr="00667FB0">
        <w:rPr>
          <w:rFonts w:ascii="Verdana" w:hAnsi="Verdana"/>
          <w:sz w:val="22"/>
          <w:szCs w:val="22"/>
        </w:rPr>
        <w:t xml:space="preserve">Indicate the document, the paragraph and the page where the information is available </w:t>
      </w:r>
    </w:p>
    <w:tbl>
      <w:tblPr>
        <w:tblW w:w="936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4"/>
      </w:tblGrid>
      <w:tr w:rsidR="00A72975" w:rsidRPr="00667FB0" w14:paraId="564726C9" w14:textId="77777777" w:rsidTr="00A72975">
        <w:trPr>
          <w:trHeight w:val="1943"/>
        </w:trPr>
        <w:tc>
          <w:tcPr>
            <w:tcW w:w="9364" w:type="dxa"/>
            <w:shd w:val="clear" w:color="auto" w:fill="C5B783" w:themeFill="accent1"/>
          </w:tcPr>
          <w:p w14:paraId="69D2C7C8" w14:textId="77777777" w:rsidR="00A72975" w:rsidRPr="00667FB0" w:rsidRDefault="00A72975" w:rsidP="00657913">
            <w:pPr>
              <w:pStyle w:val="TableParagraph"/>
              <w:ind w:right="95"/>
              <w:jc w:val="both"/>
              <w:rPr>
                <w:b/>
                <w:sz w:val="20"/>
              </w:rPr>
            </w:pPr>
            <w:r w:rsidRPr="00667FB0">
              <w:rPr>
                <w:b/>
                <w:sz w:val="20"/>
              </w:rPr>
              <w:t>a) a description of the investment strategy/objectives; information on where any master AIF is established; where the underlying funds are established if the AIF is a FOFs; description of the types of assets in which the AIF may invest; the techniques it may employ and associated risks; any investment restrictions; circumstances in which the AIF may use leverage; types/sources of leverage permitted and associated risks; restrictions on the use of leverage; collateral and asset reuse arrangements; max. level</w:t>
            </w:r>
            <w:r w:rsidRPr="00667FB0">
              <w:rPr>
                <w:b/>
                <w:spacing w:val="57"/>
                <w:sz w:val="20"/>
              </w:rPr>
              <w:t xml:space="preserve"> </w:t>
            </w:r>
            <w:r w:rsidRPr="00667FB0">
              <w:rPr>
                <w:b/>
                <w:sz w:val="20"/>
              </w:rPr>
              <w:t>of leverage</w:t>
            </w:r>
          </w:p>
        </w:tc>
      </w:tr>
      <w:tr w:rsidR="00A72975" w:rsidRPr="00667FB0" w14:paraId="3A89E537" w14:textId="77777777" w:rsidTr="00A72975">
        <w:trPr>
          <w:trHeight w:val="244"/>
        </w:trPr>
        <w:tc>
          <w:tcPr>
            <w:tcW w:w="9364" w:type="dxa"/>
          </w:tcPr>
          <w:p w14:paraId="02A7D2C7"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7B4DC307" w14:textId="77777777" w:rsidR="00A72975" w:rsidRPr="00667FB0" w:rsidRDefault="00A72975" w:rsidP="00657913">
            <w:pPr>
              <w:pStyle w:val="TableParagraph"/>
              <w:ind w:left="0"/>
              <w:rPr>
                <w:sz w:val="16"/>
              </w:rPr>
            </w:pPr>
          </w:p>
          <w:p w14:paraId="713FE039" w14:textId="77777777" w:rsidR="00A72975" w:rsidRPr="00667FB0" w:rsidRDefault="00A72975" w:rsidP="00657913">
            <w:pPr>
              <w:pStyle w:val="TableParagraph"/>
              <w:ind w:left="0"/>
              <w:rPr>
                <w:sz w:val="16"/>
              </w:rPr>
            </w:pPr>
          </w:p>
        </w:tc>
      </w:tr>
      <w:tr w:rsidR="00A72975" w:rsidRPr="00667FB0" w14:paraId="327E72FF" w14:textId="77777777" w:rsidTr="00A72975">
        <w:trPr>
          <w:trHeight w:val="484"/>
        </w:trPr>
        <w:tc>
          <w:tcPr>
            <w:tcW w:w="9364" w:type="dxa"/>
            <w:shd w:val="clear" w:color="auto" w:fill="C5B783" w:themeFill="accent1"/>
          </w:tcPr>
          <w:p w14:paraId="572B4838" w14:textId="77777777" w:rsidR="00A72975" w:rsidRPr="00667FB0" w:rsidRDefault="00A72975" w:rsidP="00657913">
            <w:pPr>
              <w:pStyle w:val="TableParagraph"/>
              <w:spacing w:before="8" w:line="242" w:lineRule="exact"/>
              <w:ind w:right="126"/>
              <w:rPr>
                <w:b/>
                <w:sz w:val="20"/>
              </w:rPr>
            </w:pPr>
            <w:r w:rsidRPr="00667FB0">
              <w:rPr>
                <w:b/>
                <w:sz w:val="20"/>
              </w:rPr>
              <w:t>b) a description of the procedures by which the AIF may change its investment strategy or investment policy</w:t>
            </w:r>
          </w:p>
        </w:tc>
      </w:tr>
      <w:tr w:rsidR="00A72975" w:rsidRPr="00667FB0" w14:paraId="33308531" w14:textId="77777777" w:rsidTr="00A72975">
        <w:trPr>
          <w:trHeight w:val="236"/>
        </w:trPr>
        <w:tc>
          <w:tcPr>
            <w:tcW w:w="9364" w:type="dxa"/>
          </w:tcPr>
          <w:p w14:paraId="380E74A2"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1D9D3615" w14:textId="77777777" w:rsidR="00A72975" w:rsidRPr="00667FB0" w:rsidRDefault="00A72975" w:rsidP="00657913">
            <w:pPr>
              <w:pStyle w:val="TableParagraph"/>
              <w:ind w:left="0"/>
              <w:rPr>
                <w:sz w:val="16"/>
              </w:rPr>
            </w:pPr>
          </w:p>
        </w:tc>
      </w:tr>
      <w:tr w:rsidR="00A72975" w:rsidRPr="00667FB0" w14:paraId="0E788D40" w14:textId="77777777" w:rsidTr="00A72975">
        <w:trPr>
          <w:trHeight w:val="1214"/>
        </w:trPr>
        <w:tc>
          <w:tcPr>
            <w:tcW w:w="9364" w:type="dxa"/>
            <w:shd w:val="clear" w:color="auto" w:fill="C5B783" w:themeFill="accent1"/>
          </w:tcPr>
          <w:p w14:paraId="6772802A" w14:textId="77777777" w:rsidR="00A72975" w:rsidRPr="00667FB0" w:rsidRDefault="00A72975" w:rsidP="00657913">
            <w:pPr>
              <w:pStyle w:val="TableParagraph"/>
              <w:ind w:right="96"/>
              <w:jc w:val="both"/>
              <w:rPr>
                <w:b/>
                <w:sz w:val="20"/>
              </w:rPr>
            </w:pPr>
            <w:r w:rsidRPr="00667FB0">
              <w:rPr>
                <w:b/>
                <w:sz w:val="20"/>
              </w:rPr>
              <w:t>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w:t>
            </w:r>
          </w:p>
          <w:p w14:paraId="2EABC385" w14:textId="77777777" w:rsidR="00A72975" w:rsidRPr="00667FB0" w:rsidRDefault="00A72975" w:rsidP="00657913">
            <w:pPr>
              <w:pStyle w:val="TableParagraph"/>
              <w:spacing w:line="221" w:lineRule="exact"/>
              <w:jc w:val="both"/>
              <w:rPr>
                <w:b/>
                <w:sz w:val="20"/>
              </w:rPr>
            </w:pPr>
            <w:r w:rsidRPr="00667FB0">
              <w:rPr>
                <w:b/>
                <w:sz w:val="20"/>
              </w:rPr>
              <w:t>the territory where the AIF is established</w:t>
            </w:r>
          </w:p>
        </w:tc>
      </w:tr>
      <w:tr w:rsidR="00A72975" w:rsidRPr="00667FB0" w14:paraId="5498B6EB" w14:textId="77777777" w:rsidTr="00A72975">
        <w:trPr>
          <w:trHeight w:val="244"/>
        </w:trPr>
        <w:tc>
          <w:tcPr>
            <w:tcW w:w="9364" w:type="dxa"/>
          </w:tcPr>
          <w:p w14:paraId="41CF921D"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53252F69" w14:textId="77777777" w:rsidR="00A72975" w:rsidRPr="00667FB0" w:rsidRDefault="00A72975" w:rsidP="00657913">
            <w:pPr>
              <w:pStyle w:val="TableParagraph"/>
              <w:ind w:left="0"/>
              <w:rPr>
                <w:sz w:val="16"/>
              </w:rPr>
            </w:pPr>
          </w:p>
        </w:tc>
      </w:tr>
      <w:tr w:rsidR="00A72975" w:rsidRPr="00667FB0" w14:paraId="15A03666" w14:textId="77777777" w:rsidTr="00A72975">
        <w:trPr>
          <w:trHeight w:val="486"/>
        </w:trPr>
        <w:tc>
          <w:tcPr>
            <w:tcW w:w="9364" w:type="dxa"/>
            <w:shd w:val="clear" w:color="auto" w:fill="C5B783" w:themeFill="accent1"/>
          </w:tcPr>
          <w:p w14:paraId="01AE452B" w14:textId="77777777" w:rsidR="00A72975" w:rsidRPr="00667FB0" w:rsidRDefault="00A72975" w:rsidP="00657913">
            <w:pPr>
              <w:pStyle w:val="TableParagraph"/>
              <w:spacing w:before="8" w:line="242" w:lineRule="exact"/>
              <w:ind w:right="126"/>
              <w:rPr>
                <w:b/>
                <w:sz w:val="20"/>
              </w:rPr>
            </w:pPr>
            <w:r w:rsidRPr="00667FB0">
              <w:rPr>
                <w:b/>
                <w:sz w:val="20"/>
              </w:rPr>
              <w:t>d) the identity of the AIFM, the AIF’s depositary, auditor and any other service providers and a description of their duties and the investors’ rights</w:t>
            </w:r>
          </w:p>
        </w:tc>
      </w:tr>
      <w:tr w:rsidR="00A72975" w:rsidRPr="00667FB0" w14:paraId="3FD08B32" w14:textId="77777777" w:rsidTr="00A72975">
        <w:trPr>
          <w:trHeight w:val="237"/>
        </w:trPr>
        <w:tc>
          <w:tcPr>
            <w:tcW w:w="9364" w:type="dxa"/>
          </w:tcPr>
          <w:p w14:paraId="3E53AE3D"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2B503A12" w14:textId="77777777" w:rsidR="00A72975" w:rsidRPr="00667FB0" w:rsidRDefault="00A72975" w:rsidP="00657913">
            <w:pPr>
              <w:pStyle w:val="TableParagraph"/>
              <w:ind w:left="0"/>
              <w:rPr>
                <w:sz w:val="16"/>
              </w:rPr>
            </w:pPr>
          </w:p>
        </w:tc>
      </w:tr>
      <w:tr w:rsidR="00A72975" w:rsidRPr="00667FB0" w14:paraId="3E83A006" w14:textId="77777777" w:rsidTr="00A72975">
        <w:trPr>
          <w:trHeight w:val="486"/>
        </w:trPr>
        <w:tc>
          <w:tcPr>
            <w:tcW w:w="9364" w:type="dxa"/>
            <w:shd w:val="clear" w:color="auto" w:fill="C5B783" w:themeFill="accent1"/>
          </w:tcPr>
          <w:p w14:paraId="3E78E205" w14:textId="77777777" w:rsidR="00A72975" w:rsidRPr="00667FB0" w:rsidRDefault="00A72975" w:rsidP="00657913">
            <w:pPr>
              <w:pStyle w:val="TableParagraph"/>
              <w:spacing w:before="8" w:line="242" w:lineRule="exact"/>
              <w:ind w:right="126"/>
              <w:rPr>
                <w:b/>
                <w:sz w:val="20"/>
              </w:rPr>
            </w:pPr>
            <w:r w:rsidRPr="00667FB0">
              <w:rPr>
                <w:b/>
                <w:sz w:val="20"/>
              </w:rPr>
              <w:t>e) a description of how the AIFM is complying with the requirements of Article 9(7)</w:t>
            </w:r>
          </w:p>
        </w:tc>
      </w:tr>
      <w:tr w:rsidR="00A72975" w:rsidRPr="00667FB0" w14:paraId="0678E8C3" w14:textId="77777777" w:rsidTr="00A72975">
        <w:trPr>
          <w:trHeight w:val="237"/>
        </w:trPr>
        <w:tc>
          <w:tcPr>
            <w:tcW w:w="9364" w:type="dxa"/>
          </w:tcPr>
          <w:p w14:paraId="5A9EE796"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1D27446E" w14:textId="77777777" w:rsidR="00A72975" w:rsidRPr="00667FB0" w:rsidRDefault="00A72975" w:rsidP="00657913">
            <w:pPr>
              <w:pStyle w:val="TableParagraph"/>
              <w:ind w:left="0"/>
              <w:rPr>
                <w:sz w:val="16"/>
              </w:rPr>
            </w:pPr>
          </w:p>
        </w:tc>
      </w:tr>
      <w:tr w:rsidR="00A72975" w:rsidRPr="00667FB0" w14:paraId="07B36B30" w14:textId="77777777" w:rsidTr="00A72975">
        <w:trPr>
          <w:trHeight w:val="971"/>
        </w:trPr>
        <w:tc>
          <w:tcPr>
            <w:tcW w:w="9364" w:type="dxa"/>
            <w:shd w:val="clear" w:color="auto" w:fill="C5B783" w:themeFill="accent1"/>
          </w:tcPr>
          <w:p w14:paraId="6786282D" w14:textId="77777777" w:rsidR="00A72975" w:rsidRPr="00667FB0" w:rsidRDefault="00A72975" w:rsidP="00657913">
            <w:pPr>
              <w:pStyle w:val="TableParagraph"/>
              <w:ind w:right="126"/>
              <w:rPr>
                <w:b/>
                <w:sz w:val="20"/>
              </w:rPr>
            </w:pPr>
            <w:r w:rsidRPr="00667FB0">
              <w:rPr>
                <w:b/>
                <w:sz w:val="20"/>
              </w:rPr>
              <w:t>f) a description of any delegated management function as referred to in Annex I by the AIFM and of any safe- keeping function delegated by the</w:t>
            </w:r>
          </w:p>
          <w:p w14:paraId="20C02E0D" w14:textId="77777777" w:rsidR="00A72975" w:rsidRPr="00667FB0" w:rsidRDefault="00A72975" w:rsidP="00657913">
            <w:pPr>
              <w:pStyle w:val="TableParagraph"/>
              <w:spacing w:before="9" w:line="242" w:lineRule="exact"/>
              <w:ind w:right="126"/>
              <w:rPr>
                <w:b/>
                <w:sz w:val="20"/>
              </w:rPr>
            </w:pPr>
            <w:r w:rsidRPr="00667FB0">
              <w:rPr>
                <w:b/>
                <w:sz w:val="20"/>
              </w:rPr>
              <w:t>depositary, the identification of the delegate and any conflicts of interest that may arise from such</w:t>
            </w:r>
            <w:r w:rsidRPr="00667FB0">
              <w:rPr>
                <w:b/>
                <w:spacing w:val="2"/>
                <w:sz w:val="20"/>
              </w:rPr>
              <w:t xml:space="preserve"> </w:t>
            </w:r>
            <w:r w:rsidRPr="00667FB0">
              <w:rPr>
                <w:b/>
                <w:sz w:val="20"/>
              </w:rPr>
              <w:t>delegations</w:t>
            </w:r>
          </w:p>
        </w:tc>
      </w:tr>
      <w:tr w:rsidR="00A72975" w:rsidRPr="00667FB0" w14:paraId="125D8927" w14:textId="77777777" w:rsidTr="00A72975">
        <w:trPr>
          <w:trHeight w:val="236"/>
        </w:trPr>
        <w:tc>
          <w:tcPr>
            <w:tcW w:w="9364" w:type="dxa"/>
          </w:tcPr>
          <w:p w14:paraId="0923C856"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3CC9520D" w14:textId="77777777" w:rsidR="00A72975" w:rsidRPr="00667FB0" w:rsidRDefault="00A72975" w:rsidP="00657913">
            <w:pPr>
              <w:pStyle w:val="TableParagraph"/>
              <w:ind w:left="0"/>
              <w:rPr>
                <w:sz w:val="16"/>
              </w:rPr>
            </w:pPr>
          </w:p>
        </w:tc>
      </w:tr>
      <w:tr w:rsidR="00A72975" w:rsidRPr="00667FB0" w14:paraId="59F5981E" w14:textId="77777777" w:rsidTr="00A72975">
        <w:trPr>
          <w:trHeight w:val="729"/>
        </w:trPr>
        <w:tc>
          <w:tcPr>
            <w:tcW w:w="9364" w:type="dxa"/>
            <w:shd w:val="clear" w:color="auto" w:fill="C5B783" w:themeFill="accent1"/>
          </w:tcPr>
          <w:p w14:paraId="29635B23" w14:textId="77777777" w:rsidR="00A72975" w:rsidRPr="00667FB0" w:rsidRDefault="00A72975" w:rsidP="00657913">
            <w:pPr>
              <w:pStyle w:val="TableParagraph"/>
              <w:ind w:right="126"/>
              <w:rPr>
                <w:b/>
                <w:sz w:val="20"/>
              </w:rPr>
            </w:pPr>
            <w:r w:rsidRPr="00667FB0">
              <w:rPr>
                <w:b/>
                <w:sz w:val="20"/>
              </w:rPr>
              <w:t>g) a description of the AIF’s valuation procedure and of the pricing methodology for valuing assets, including the methods used in valuing hard-</w:t>
            </w:r>
          </w:p>
          <w:p w14:paraId="63AC0981" w14:textId="77777777" w:rsidR="00A72975" w:rsidRPr="00667FB0" w:rsidRDefault="00A72975" w:rsidP="00657913">
            <w:pPr>
              <w:pStyle w:val="TableParagraph"/>
              <w:spacing w:before="1" w:line="222" w:lineRule="exact"/>
              <w:rPr>
                <w:b/>
                <w:sz w:val="20"/>
              </w:rPr>
            </w:pPr>
            <w:r w:rsidRPr="00667FB0">
              <w:rPr>
                <w:b/>
                <w:sz w:val="20"/>
              </w:rPr>
              <w:t>to-value assets in accordance with Article 19</w:t>
            </w:r>
          </w:p>
        </w:tc>
      </w:tr>
      <w:tr w:rsidR="00A72975" w:rsidRPr="00667FB0" w14:paraId="6A9960A8" w14:textId="77777777" w:rsidTr="00A72975">
        <w:trPr>
          <w:trHeight w:val="242"/>
        </w:trPr>
        <w:tc>
          <w:tcPr>
            <w:tcW w:w="9364" w:type="dxa"/>
          </w:tcPr>
          <w:p w14:paraId="3DD99336"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5EF15010" w14:textId="77777777" w:rsidR="00A72975" w:rsidRPr="00667FB0" w:rsidRDefault="00A72975" w:rsidP="00657913">
            <w:pPr>
              <w:pStyle w:val="TableParagraph"/>
              <w:ind w:left="0"/>
              <w:rPr>
                <w:sz w:val="16"/>
              </w:rPr>
            </w:pPr>
          </w:p>
        </w:tc>
      </w:tr>
      <w:tr w:rsidR="00A72975" w:rsidRPr="00667FB0" w14:paraId="310B472D" w14:textId="77777777" w:rsidTr="00A72975">
        <w:trPr>
          <w:trHeight w:val="729"/>
        </w:trPr>
        <w:tc>
          <w:tcPr>
            <w:tcW w:w="9364" w:type="dxa"/>
            <w:shd w:val="clear" w:color="auto" w:fill="C5B783" w:themeFill="accent1"/>
          </w:tcPr>
          <w:p w14:paraId="191E0DFC" w14:textId="77777777" w:rsidR="00A72975" w:rsidRPr="00667FB0" w:rsidRDefault="00A72975" w:rsidP="00657913">
            <w:pPr>
              <w:pStyle w:val="TableParagraph"/>
              <w:spacing w:before="10" w:line="242" w:lineRule="exact"/>
              <w:ind w:right="98"/>
              <w:jc w:val="both"/>
              <w:rPr>
                <w:b/>
                <w:sz w:val="20"/>
              </w:rPr>
            </w:pPr>
            <w:r w:rsidRPr="00667FB0">
              <w:rPr>
                <w:b/>
                <w:sz w:val="20"/>
              </w:rPr>
              <w:lastRenderedPageBreak/>
              <w:t>h) a description of the AIF’s liquidity risk management, including the redemption rights both in normal and in exceptional circumstances, and the existing redemption arrangements with investors</w:t>
            </w:r>
          </w:p>
        </w:tc>
      </w:tr>
      <w:tr w:rsidR="00A72975" w:rsidRPr="00667FB0" w14:paraId="60F8AA5F" w14:textId="77777777" w:rsidTr="00A72975">
        <w:trPr>
          <w:trHeight w:val="237"/>
        </w:trPr>
        <w:tc>
          <w:tcPr>
            <w:tcW w:w="9364" w:type="dxa"/>
          </w:tcPr>
          <w:p w14:paraId="18B65FE4"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27897FCD" w14:textId="77777777" w:rsidR="00A72975" w:rsidRPr="00667FB0" w:rsidRDefault="00A72975" w:rsidP="00657913">
            <w:pPr>
              <w:pStyle w:val="TableParagraph"/>
              <w:ind w:left="0"/>
              <w:rPr>
                <w:sz w:val="16"/>
              </w:rPr>
            </w:pPr>
          </w:p>
        </w:tc>
      </w:tr>
      <w:tr w:rsidR="00A72975" w:rsidRPr="00667FB0" w14:paraId="097E94A7" w14:textId="77777777" w:rsidTr="00A72975">
        <w:trPr>
          <w:trHeight w:val="486"/>
        </w:trPr>
        <w:tc>
          <w:tcPr>
            <w:tcW w:w="9364" w:type="dxa"/>
            <w:shd w:val="clear" w:color="auto" w:fill="C5B783" w:themeFill="accent1"/>
          </w:tcPr>
          <w:p w14:paraId="3EACE29E" w14:textId="77777777" w:rsidR="00A72975" w:rsidRPr="00667FB0" w:rsidRDefault="00A72975" w:rsidP="00657913">
            <w:pPr>
              <w:pStyle w:val="TableParagraph"/>
              <w:spacing w:before="8" w:line="242" w:lineRule="exact"/>
              <w:ind w:right="126"/>
              <w:rPr>
                <w:b/>
                <w:sz w:val="20"/>
              </w:rPr>
            </w:pPr>
            <w:r w:rsidRPr="00667FB0">
              <w:rPr>
                <w:b/>
                <w:sz w:val="20"/>
              </w:rPr>
              <w:t>i) a description of all fees, charges and expenses and of the maximum amounts thereof which are directly or indirectly borne by investors</w:t>
            </w:r>
          </w:p>
        </w:tc>
      </w:tr>
      <w:tr w:rsidR="00A72975" w:rsidRPr="00667FB0" w14:paraId="0AD067BB" w14:textId="77777777" w:rsidTr="00A72975">
        <w:trPr>
          <w:trHeight w:val="237"/>
        </w:trPr>
        <w:tc>
          <w:tcPr>
            <w:tcW w:w="9364" w:type="dxa"/>
          </w:tcPr>
          <w:p w14:paraId="5819888F"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6698B123" w14:textId="77777777" w:rsidR="00A72975" w:rsidRPr="00667FB0" w:rsidRDefault="00A72975" w:rsidP="00657913">
            <w:pPr>
              <w:pStyle w:val="TableParagraph"/>
              <w:ind w:left="0"/>
              <w:rPr>
                <w:sz w:val="16"/>
              </w:rPr>
            </w:pPr>
          </w:p>
        </w:tc>
      </w:tr>
      <w:tr w:rsidR="00A72975" w:rsidRPr="00667FB0" w14:paraId="17453D68" w14:textId="77777777" w:rsidTr="00A72975">
        <w:trPr>
          <w:trHeight w:val="1216"/>
        </w:trPr>
        <w:tc>
          <w:tcPr>
            <w:tcW w:w="9364" w:type="dxa"/>
            <w:shd w:val="clear" w:color="auto" w:fill="C5B783" w:themeFill="accent1"/>
          </w:tcPr>
          <w:p w14:paraId="78282681" w14:textId="77777777" w:rsidR="00A72975" w:rsidRPr="00667FB0" w:rsidRDefault="00A72975" w:rsidP="00657913">
            <w:pPr>
              <w:pStyle w:val="TableParagraph"/>
              <w:ind w:right="98" w:hanging="1"/>
              <w:jc w:val="both"/>
              <w:rPr>
                <w:b/>
                <w:sz w:val="20"/>
              </w:rPr>
            </w:pPr>
            <w:r w:rsidRPr="00667FB0">
              <w:rPr>
                <w:b/>
                <w:sz w:val="20"/>
              </w:rPr>
              <w:t>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w:t>
            </w:r>
          </w:p>
          <w:p w14:paraId="375A1E32" w14:textId="77777777" w:rsidR="00A72975" w:rsidRPr="00667FB0" w:rsidRDefault="00A72975" w:rsidP="00657913">
            <w:pPr>
              <w:pStyle w:val="TableParagraph"/>
              <w:spacing w:line="224" w:lineRule="exact"/>
              <w:jc w:val="both"/>
              <w:rPr>
                <w:b/>
                <w:sz w:val="20"/>
              </w:rPr>
            </w:pPr>
            <w:r w:rsidRPr="00667FB0">
              <w:rPr>
                <w:b/>
                <w:sz w:val="20"/>
              </w:rPr>
              <w:t>their legal or economic links with the AIF or AIFM</w:t>
            </w:r>
          </w:p>
        </w:tc>
      </w:tr>
      <w:tr w:rsidR="00A72975" w:rsidRPr="00667FB0" w14:paraId="6F68B7FF" w14:textId="77777777" w:rsidTr="00A72975">
        <w:trPr>
          <w:trHeight w:val="244"/>
        </w:trPr>
        <w:tc>
          <w:tcPr>
            <w:tcW w:w="9364" w:type="dxa"/>
          </w:tcPr>
          <w:p w14:paraId="56517F12"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0F84A989" w14:textId="77777777" w:rsidR="00A72975" w:rsidRPr="00667FB0" w:rsidRDefault="00A72975" w:rsidP="00657913">
            <w:pPr>
              <w:pStyle w:val="TableParagraph"/>
              <w:ind w:left="0"/>
              <w:rPr>
                <w:sz w:val="16"/>
              </w:rPr>
            </w:pPr>
          </w:p>
        </w:tc>
      </w:tr>
      <w:tr w:rsidR="00A72975" w:rsidRPr="00667FB0" w14:paraId="647B00C0" w14:textId="77777777" w:rsidTr="00A72975">
        <w:trPr>
          <w:trHeight w:val="242"/>
        </w:trPr>
        <w:tc>
          <w:tcPr>
            <w:tcW w:w="9364" w:type="dxa"/>
            <w:shd w:val="clear" w:color="auto" w:fill="C5B783" w:themeFill="accent1"/>
          </w:tcPr>
          <w:p w14:paraId="1F679991" w14:textId="77777777" w:rsidR="00A72975" w:rsidRPr="00667FB0" w:rsidRDefault="00A72975" w:rsidP="00657913">
            <w:pPr>
              <w:pStyle w:val="TableParagraph"/>
              <w:spacing w:line="222" w:lineRule="exact"/>
              <w:rPr>
                <w:b/>
                <w:sz w:val="20"/>
              </w:rPr>
            </w:pPr>
            <w:r w:rsidRPr="00667FB0">
              <w:rPr>
                <w:b/>
                <w:sz w:val="20"/>
              </w:rPr>
              <w:t>k) the latest annual report</w:t>
            </w:r>
          </w:p>
        </w:tc>
      </w:tr>
      <w:tr w:rsidR="00A72975" w:rsidRPr="00667FB0" w14:paraId="6AA5BCDF" w14:textId="77777777" w:rsidTr="00A72975">
        <w:trPr>
          <w:trHeight w:val="242"/>
        </w:trPr>
        <w:tc>
          <w:tcPr>
            <w:tcW w:w="9364" w:type="dxa"/>
          </w:tcPr>
          <w:p w14:paraId="5DD8C4FA"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600994FE" w14:textId="77777777" w:rsidR="00A72975" w:rsidRPr="00667FB0" w:rsidRDefault="00A72975" w:rsidP="00657913">
            <w:pPr>
              <w:pStyle w:val="TableParagraph"/>
              <w:ind w:left="0"/>
              <w:rPr>
                <w:sz w:val="16"/>
              </w:rPr>
            </w:pPr>
          </w:p>
        </w:tc>
      </w:tr>
      <w:tr w:rsidR="00A72975" w:rsidRPr="00667FB0" w14:paraId="3848271B" w14:textId="77777777" w:rsidTr="00A72975">
        <w:trPr>
          <w:trHeight w:val="244"/>
        </w:trPr>
        <w:tc>
          <w:tcPr>
            <w:tcW w:w="9364" w:type="dxa"/>
            <w:shd w:val="clear" w:color="auto" w:fill="C5B783" w:themeFill="accent1"/>
          </w:tcPr>
          <w:p w14:paraId="734BA6BA" w14:textId="77777777" w:rsidR="00A72975" w:rsidRPr="00667FB0" w:rsidRDefault="00A72975" w:rsidP="00657913">
            <w:pPr>
              <w:pStyle w:val="TableParagraph"/>
              <w:spacing w:before="2" w:line="222" w:lineRule="exact"/>
              <w:rPr>
                <w:b/>
                <w:sz w:val="20"/>
              </w:rPr>
            </w:pPr>
            <w:r w:rsidRPr="00667FB0">
              <w:rPr>
                <w:b/>
                <w:sz w:val="20"/>
              </w:rPr>
              <w:t>l) the procedure and conditions for the issue and sale of units or shares</w:t>
            </w:r>
          </w:p>
        </w:tc>
      </w:tr>
      <w:tr w:rsidR="00A72975" w:rsidRPr="00667FB0" w14:paraId="0C8FC235" w14:textId="77777777" w:rsidTr="00A72975">
        <w:trPr>
          <w:trHeight w:val="242"/>
        </w:trPr>
        <w:tc>
          <w:tcPr>
            <w:tcW w:w="9364" w:type="dxa"/>
          </w:tcPr>
          <w:p w14:paraId="43110243"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7E909ACE" w14:textId="77777777" w:rsidR="00A72975" w:rsidRPr="00667FB0" w:rsidRDefault="00A72975" w:rsidP="00657913">
            <w:pPr>
              <w:pStyle w:val="TableParagraph"/>
              <w:ind w:left="0"/>
              <w:rPr>
                <w:sz w:val="16"/>
              </w:rPr>
            </w:pPr>
          </w:p>
        </w:tc>
      </w:tr>
      <w:tr w:rsidR="00A72975" w:rsidRPr="00667FB0" w14:paraId="3E17093F" w14:textId="77777777" w:rsidTr="00A72975">
        <w:trPr>
          <w:trHeight w:val="486"/>
        </w:trPr>
        <w:tc>
          <w:tcPr>
            <w:tcW w:w="9364" w:type="dxa"/>
            <w:shd w:val="clear" w:color="auto" w:fill="C5B783" w:themeFill="accent1"/>
          </w:tcPr>
          <w:p w14:paraId="021A17FD" w14:textId="77777777" w:rsidR="00A72975" w:rsidRPr="00667FB0" w:rsidRDefault="00A72975" w:rsidP="00657913">
            <w:pPr>
              <w:pStyle w:val="TableParagraph"/>
              <w:spacing w:before="6" w:line="244" w:lineRule="exact"/>
              <w:ind w:right="126"/>
              <w:rPr>
                <w:b/>
                <w:sz w:val="20"/>
              </w:rPr>
            </w:pPr>
            <w:r w:rsidRPr="00667FB0">
              <w:rPr>
                <w:b/>
                <w:sz w:val="20"/>
              </w:rPr>
              <w:t>m) the latest net asset value of the AIF or the latest market price of the unit or share of the AIF</w:t>
            </w:r>
          </w:p>
        </w:tc>
      </w:tr>
      <w:tr w:rsidR="00A72975" w:rsidRPr="00667FB0" w14:paraId="45CB6374" w14:textId="77777777" w:rsidTr="00A72975">
        <w:trPr>
          <w:trHeight w:val="235"/>
        </w:trPr>
        <w:tc>
          <w:tcPr>
            <w:tcW w:w="9364" w:type="dxa"/>
          </w:tcPr>
          <w:p w14:paraId="14CA828B"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37FED202" w14:textId="77777777" w:rsidR="00A72975" w:rsidRPr="00667FB0" w:rsidRDefault="00A72975" w:rsidP="00657913">
            <w:pPr>
              <w:pStyle w:val="TableParagraph"/>
              <w:ind w:left="0"/>
              <w:rPr>
                <w:sz w:val="16"/>
              </w:rPr>
            </w:pPr>
          </w:p>
        </w:tc>
      </w:tr>
      <w:tr w:rsidR="00A72975" w:rsidRPr="00667FB0" w14:paraId="43B798DB" w14:textId="77777777" w:rsidTr="00A72975">
        <w:trPr>
          <w:trHeight w:val="244"/>
        </w:trPr>
        <w:tc>
          <w:tcPr>
            <w:tcW w:w="9364" w:type="dxa"/>
            <w:shd w:val="clear" w:color="auto" w:fill="C5B783" w:themeFill="accent1"/>
          </w:tcPr>
          <w:p w14:paraId="26B332FB" w14:textId="77777777" w:rsidR="00A72975" w:rsidRPr="00667FB0" w:rsidRDefault="00A72975" w:rsidP="00657913">
            <w:pPr>
              <w:pStyle w:val="TableParagraph"/>
              <w:spacing w:before="2" w:line="222" w:lineRule="exact"/>
              <w:rPr>
                <w:b/>
                <w:sz w:val="20"/>
              </w:rPr>
            </w:pPr>
            <w:r w:rsidRPr="00667FB0">
              <w:rPr>
                <w:b/>
                <w:sz w:val="20"/>
              </w:rPr>
              <w:t>n) where available, the historical performance of the AIF</w:t>
            </w:r>
          </w:p>
        </w:tc>
      </w:tr>
      <w:tr w:rsidR="00A72975" w:rsidRPr="00667FB0" w14:paraId="3703EA9E" w14:textId="77777777" w:rsidTr="00A72975">
        <w:trPr>
          <w:trHeight w:val="242"/>
        </w:trPr>
        <w:tc>
          <w:tcPr>
            <w:tcW w:w="9364" w:type="dxa"/>
          </w:tcPr>
          <w:p w14:paraId="756FE2F2"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60625280" w14:textId="77777777" w:rsidR="00A72975" w:rsidRPr="00667FB0" w:rsidRDefault="00A72975" w:rsidP="00657913">
            <w:pPr>
              <w:pStyle w:val="TableParagraph"/>
              <w:ind w:left="0"/>
              <w:rPr>
                <w:sz w:val="16"/>
              </w:rPr>
            </w:pPr>
          </w:p>
        </w:tc>
      </w:tr>
      <w:tr w:rsidR="00A72975" w:rsidRPr="00667FB0" w14:paraId="03DED100" w14:textId="77777777" w:rsidTr="00A72975">
        <w:trPr>
          <w:trHeight w:val="1458"/>
        </w:trPr>
        <w:tc>
          <w:tcPr>
            <w:tcW w:w="9364" w:type="dxa"/>
            <w:shd w:val="clear" w:color="auto" w:fill="C5B783" w:themeFill="accent1"/>
          </w:tcPr>
          <w:p w14:paraId="2C4C7B61" w14:textId="77777777" w:rsidR="00A72975" w:rsidRPr="00667FB0" w:rsidRDefault="00A72975" w:rsidP="00657913">
            <w:pPr>
              <w:pStyle w:val="TableParagraph"/>
              <w:spacing w:before="2"/>
              <w:ind w:right="95"/>
              <w:jc w:val="both"/>
              <w:rPr>
                <w:b/>
                <w:sz w:val="20"/>
              </w:rPr>
            </w:pPr>
            <w:r w:rsidRPr="00667FB0">
              <w:rPr>
                <w:b/>
                <w:sz w:val="20"/>
              </w:rPr>
              <w:t>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w:t>
            </w:r>
            <w:r w:rsidRPr="00667FB0">
              <w:rPr>
                <w:b/>
                <w:spacing w:val="15"/>
                <w:sz w:val="20"/>
              </w:rPr>
              <w:t xml:space="preserve"> </w:t>
            </w:r>
            <w:r w:rsidRPr="00667FB0">
              <w:rPr>
                <w:b/>
                <w:sz w:val="20"/>
              </w:rPr>
              <w:t>information</w:t>
            </w:r>
            <w:r w:rsidRPr="00667FB0">
              <w:rPr>
                <w:b/>
                <w:spacing w:val="15"/>
                <w:sz w:val="20"/>
              </w:rPr>
              <w:t xml:space="preserve"> </w:t>
            </w:r>
            <w:r w:rsidRPr="00667FB0">
              <w:rPr>
                <w:b/>
                <w:sz w:val="20"/>
              </w:rPr>
              <w:t>about</w:t>
            </w:r>
            <w:r w:rsidRPr="00667FB0">
              <w:rPr>
                <w:b/>
                <w:spacing w:val="15"/>
                <w:sz w:val="20"/>
              </w:rPr>
              <w:t xml:space="preserve"> </w:t>
            </w:r>
            <w:r w:rsidRPr="00667FB0">
              <w:rPr>
                <w:b/>
                <w:sz w:val="20"/>
              </w:rPr>
              <w:t>any</w:t>
            </w:r>
            <w:r w:rsidRPr="00667FB0">
              <w:rPr>
                <w:b/>
                <w:spacing w:val="13"/>
                <w:sz w:val="20"/>
              </w:rPr>
              <w:t xml:space="preserve"> </w:t>
            </w:r>
            <w:r w:rsidRPr="00667FB0">
              <w:rPr>
                <w:b/>
                <w:sz w:val="20"/>
              </w:rPr>
              <w:t>transfer</w:t>
            </w:r>
            <w:r w:rsidRPr="00667FB0">
              <w:rPr>
                <w:b/>
                <w:spacing w:val="15"/>
                <w:sz w:val="20"/>
              </w:rPr>
              <w:t xml:space="preserve"> </w:t>
            </w:r>
            <w:r w:rsidRPr="00667FB0">
              <w:rPr>
                <w:b/>
                <w:sz w:val="20"/>
              </w:rPr>
              <w:t>of</w:t>
            </w:r>
            <w:r w:rsidRPr="00667FB0">
              <w:rPr>
                <w:b/>
                <w:spacing w:val="15"/>
                <w:sz w:val="20"/>
              </w:rPr>
              <w:t xml:space="preserve"> </w:t>
            </w:r>
            <w:r w:rsidRPr="00667FB0">
              <w:rPr>
                <w:b/>
                <w:sz w:val="20"/>
              </w:rPr>
              <w:t>liability</w:t>
            </w:r>
            <w:r w:rsidRPr="00667FB0">
              <w:rPr>
                <w:b/>
                <w:spacing w:val="13"/>
                <w:sz w:val="20"/>
              </w:rPr>
              <w:t xml:space="preserve"> </w:t>
            </w:r>
            <w:r w:rsidRPr="00667FB0">
              <w:rPr>
                <w:b/>
                <w:sz w:val="20"/>
              </w:rPr>
              <w:t>to</w:t>
            </w:r>
            <w:r w:rsidRPr="00667FB0">
              <w:rPr>
                <w:b/>
                <w:spacing w:val="16"/>
                <w:sz w:val="20"/>
              </w:rPr>
              <w:t xml:space="preserve"> </w:t>
            </w:r>
            <w:r w:rsidRPr="00667FB0">
              <w:rPr>
                <w:b/>
                <w:sz w:val="20"/>
              </w:rPr>
              <w:t>the</w:t>
            </w:r>
            <w:r w:rsidRPr="00667FB0">
              <w:rPr>
                <w:b/>
                <w:spacing w:val="15"/>
                <w:sz w:val="20"/>
              </w:rPr>
              <w:t xml:space="preserve"> </w:t>
            </w:r>
            <w:r w:rsidRPr="00667FB0">
              <w:rPr>
                <w:b/>
                <w:sz w:val="20"/>
              </w:rPr>
              <w:t>prime</w:t>
            </w:r>
            <w:r w:rsidRPr="00667FB0">
              <w:rPr>
                <w:b/>
                <w:spacing w:val="15"/>
                <w:sz w:val="20"/>
              </w:rPr>
              <w:t xml:space="preserve"> </w:t>
            </w:r>
            <w:r w:rsidRPr="00667FB0">
              <w:rPr>
                <w:b/>
                <w:sz w:val="20"/>
              </w:rPr>
              <w:t>broker</w:t>
            </w:r>
            <w:r w:rsidRPr="00667FB0">
              <w:rPr>
                <w:b/>
                <w:spacing w:val="12"/>
                <w:sz w:val="20"/>
              </w:rPr>
              <w:t xml:space="preserve"> </w:t>
            </w:r>
            <w:r w:rsidRPr="00667FB0">
              <w:rPr>
                <w:b/>
                <w:sz w:val="20"/>
              </w:rPr>
              <w:t>that</w:t>
            </w:r>
            <w:r w:rsidRPr="00667FB0">
              <w:rPr>
                <w:b/>
                <w:spacing w:val="16"/>
                <w:sz w:val="20"/>
              </w:rPr>
              <w:t xml:space="preserve"> </w:t>
            </w:r>
            <w:r w:rsidRPr="00667FB0">
              <w:rPr>
                <w:b/>
                <w:sz w:val="20"/>
              </w:rPr>
              <w:t>may</w:t>
            </w:r>
          </w:p>
          <w:p w14:paraId="0D25F2C3" w14:textId="77777777" w:rsidR="00A72975" w:rsidRPr="00667FB0" w:rsidRDefault="00A72975" w:rsidP="00657913">
            <w:pPr>
              <w:pStyle w:val="TableParagraph"/>
              <w:spacing w:line="221" w:lineRule="exact"/>
              <w:jc w:val="both"/>
              <w:rPr>
                <w:b/>
                <w:sz w:val="20"/>
              </w:rPr>
            </w:pPr>
            <w:r w:rsidRPr="00667FB0">
              <w:rPr>
                <w:b/>
                <w:sz w:val="20"/>
              </w:rPr>
              <w:t>exist</w:t>
            </w:r>
          </w:p>
        </w:tc>
      </w:tr>
      <w:tr w:rsidR="00A72975" w:rsidRPr="00667FB0" w14:paraId="078F74CA" w14:textId="77777777" w:rsidTr="00A72975">
        <w:trPr>
          <w:trHeight w:val="244"/>
        </w:trPr>
        <w:tc>
          <w:tcPr>
            <w:tcW w:w="9364" w:type="dxa"/>
          </w:tcPr>
          <w:p w14:paraId="16049C48"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49EC413C" w14:textId="77777777" w:rsidR="00A72975" w:rsidRPr="00667FB0" w:rsidRDefault="00A72975" w:rsidP="00657913">
            <w:pPr>
              <w:pStyle w:val="TableParagraph"/>
              <w:ind w:left="0"/>
              <w:rPr>
                <w:sz w:val="16"/>
              </w:rPr>
            </w:pPr>
          </w:p>
        </w:tc>
      </w:tr>
      <w:tr w:rsidR="00A72975" w:rsidRPr="00667FB0" w14:paraId="3FBD4BA3" w14:textId="77777777" w:rsidTr="00A72975">
        <w:trPr>
          <w:trHeight w:val="484"/>
        </w:trPr>
        <w:tc>
          <w:tcPr>
            <w:tcW w:w="9364" w:type="dxa"/>
            <w:shd w:val="clear" w:color="auto" w:fill="C5B783" w:themeFill="accent1"/>
          </w:tcPr>
          <w:p w14:paraId="258022A1" w14:textId="77777777" w:rsidR="00A72975" w:rsidRPr="00667FB0" w:rsidRDefault="00A72975" w:rsidP="00657913">
            <w:pPr>
              <w:pStyle w:val="TableParagraph"/>
              <w:spacing w:before="8" w:line="242" w:lineRule="exact"/>
              <w:rPr>
                <w:b/>
                <w:sz w:val="20"/>
              </w:rPr>
            </w:pPr>
            <w:r w:rsidRPr="00667FB0">
              <w:rPr>
                <w:b/>
                <w:sz w:val="20"/>
              </w:rPr>
              <w:t>p) a description of how and when the information required under paragraphs 4 and 5 of art. 23 will be disclosed</w:t>
            </w:r>
          </w:p>
        </w:tc>
      </w:tr>
      <w:tr w:rsidR="00A72975" w:rsidRPr="00667FB0" w14:paraId="716929B8" w14:textId="77777777" w:rsidTr="00A72975">
        <w:trPr>
          <w:trHeight w:val="966"/>
        </w:trPr>
        <w:tc>
          <w:tcPr>
            <w:tcW w:w="9364" w:type="dxa"/>
            <w:shd w:val="clear" w:color="auto" w:fill="7FA9AE" w:themeFill="background1"/>
          </w:tcPr>
          <w:p w14:paraId="5C0B7B30"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Article 23 (4)</w:t>
            </w:r>
          </w:p>
          <w:p w14:paraId="3F81CB83" w14:textId="77777777" w:rsidR="00A72975" w:rsidRPr="00667FB0" w:rsidRDefault="00A72975" w:rsidP="00657913">
            <w:pPr>
              <w:shd w:val="clear" w:color="auto" w:fill="7FA9AE" w:themeFill="background1"/>
              <w:spacing w:after="120"/>
              <w:jc w:val="both"/>
              <w:rPr>
                <w:rFonts w:ascii="Verdana" w:hAnsi="Verdana"/>
                <w:sz w:val="20"/>
              </w:rPr>
            </w:pPr>
            <w:r w:rsidRPr="00667FB0">
              <w:rPr>
                <w:rFonts w:ascii="Verdana" w:hAnsi="Verdana" w:cs="Arial"/>
                <w:color w:val="FFFFFF"/>
                <w:szCs w:val="22"/>
              </w:rPr>
              <w:t>a) the percentage of the AIF’s assets which are subject to special arrangements arising from their illiquid nature</w:t>
            </w:r>
          </w:p>
        </w:tc>
      </w:tr>
      <w:tr w:rsidR="00A72975" w:rsidRPr="00667FB0" w14:paraId="34145267" w14:textId="77777777" w:rsidTr="00A72975">
        <w:trPr>
          <w:trHeight w:val="242"/>
        </w:trPr>
        <w:tc>
          <w:tcPr>
            <w:tcW w:w="9364" w:type="dxa"/>
          </w:tcPr>
          <w:p w14:paraId="6A725C78"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405265B3" w14:textId="77777777" w:rsidR="00A72975" w:rsidRPr="00667FB0" w:rsidRDefault="00A72975" w:rsidP="00657913">
            <w:pPr>
              <w:pStyle w:val="TableParagraph"/>
              <w:ind w:left="0"/>
              <w:rPr>
                <w:sz w:val="16"/>
              </w:rPr>
            </w:pPr>
          </w:p>
        </w:tc>
      </w:tr>
      <w:tr w:rsidR="00A72975" w:rsidRPr="00667FB0" w14:paraId="114691EA" w14:textId="77777777" w:rsidTr="00A72975">
        <w:trPr>
          <w:trHeight w:val="729"/>
        </w:trPr>
        <w:tc>
          <w:tcPr>
            <w:tcW w:w="9364" w:type="dxa"/>
            <w:shd w:val="clear" w:color="auto" w:fill="7FA9AE" w:themeFill="background1"/>
          </w:tcPr>
          <w:p w14:paraId="0AAA131C"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lastRenderedPageBreak/>
              <w:t>Article 23 (4)</w:t>
            </w:r>
          </w:p>
          <w:p w14:paraId="39ABDCE8"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b) any new arrangements for managing the liquidity of the AIF</w:t>
            </w:r>
          </w:p>
        </w:tc>
      </w:tr>
      <w:tr w:rsidR="00A72975" w:rsidRPr="00667FB0" w14:paraId="6B03BB4A" w14:textId="77777777" w:rsidTr="00A72975">
        <w:trPr>
          <w:trHeight w:val="244"/>
        </w:trPr>
        <w:tc>
          <w:tcPr>
            <w:tcW w:w="9364" w:type="dxa"/>
          </w:tcPr>
          <w:p w14:paraId="5B588B7B"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6EEBE6D7" w14:textId="77777777" w:rsidR="00A72975" w:rsidRPr="00667FB0" w:rsidRDefault="00A72975" w:rsidP="00657913">
            <w:pPr>
              <w:pStyle w:val="TableParagraph"/>
              <w:ind w:left="0"/>
              <w:rPr>
                <w:sz w:val="16"/>
              </w:rPr>
            </w:pPr>
          </w:p>
        </w:tc>
      </w:tr>
      <w:tr w:rsidR="00A72975" w:rsidRPr="00667FB0" w14:paraId="227BA536" w14:textId="77777777" w:rsidTr="00A72975">
        <w:trPr>
          <w:trHeight w:val="971"/>
        </w:trPr>
        <w:tc>
          <w:tcPr>
            <w:tcW w:w="9364" w:type="dxa"/>
            <w:shd w:val="clear" w:color="auto" w:fill="7FA9AE" w:themeFill="background1"/>
          </w:tcPr>
          <w:p w14:paraId="09350963"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Article 23 (4)</w:t>
            </w:r>
          </w:p>
          <w:p w14:paraId="52B5C60C"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c) the current risk profile of the AIF and the risk management systems employed by the AIFM to manage those risks</w:t>
            </w:r>
          </w:p>
        </w:tc>
      </w:tr>
      <w:tr w:rsidR="00A72975" w:rsidRPr="00667FB0" w14:paraId="051316A1" w14:textId="77777777" w:rsidTr="00A72975">
        <w:trPr>
          <w:trHeight w:val="242"/>
        </w:trPr>
        <w:tc>
          <w:tcPr>
            <w:tcW w:w="9364" w:type="dxa"/>
          </w:tcPr>
          <w:p w14:paraId="7C7DBCD7"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7EC27518" w14:textId="77777777" w:rsidR="00A72975" w:rsidRPr="00667FB0" w:rsidRDefault="00A72975" w:rsidP="00657913">
            <w:pPr>
              <w:pStyle w:val="TableParagraph"/>
              <w:ind w:left="0"/>
              <w:rPr>
                <w:sz w:val="16"/>
              </w:rPr>
            </w:pPr>
          </w:p>
        </w:tc>
      </w:tr>
      <w:tr w:rsidR="00A72975" w:rsidRPr="00667FB0" w14:paraId="2679BE2E" w14:textId="77777777" w:rsidTr="00A72975">
        <w:trPr>
          <w:trHeight w:val="1216"/>
        </w:trPr>
        <w:tc>
          <w:tcPr>
            <w:tcW w:w="9364" w:type="dxa"/>
            <w:shd w:val="clear" w:color="auto" w:fill="7FA9AE" w:themeFill="background1"/>
          </w:tcPr>
          <w:p w14:paraId="4857CA2C"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Article 23 (5)</w:t>
            </w:r>
          </w:p>
          <w:p w14:paraId="6AF3CFDA" w14:textId="77777777" w:rsidR="00A72975" w:rsidRPr="00667FB0" w:rsidRDefault="00A72975" w:rsidP="00657913">
            <w:pPr>
              <w:shd w:val="clear" w:color="auto" w:fill="7FA9AE" w:themeFill="background1"/>
              <w:spacing w:after="120"/>
              <w:jc w:val="both"/>
              <w:rPr>
                <w:rFonts w:ascii="Verdana" w:hAnsi="Verdana"/>
                <w:sz w:val="20"/>
              </w:rPr>
            </w:pPr>
            <w:r w:rsidRPr="00667FB0">
              <w:rPr>
                <w:rFonts w:ascii="Verdana" w:hAnsi="Verdana" w:cs="Arial"/>
                <w:color w:val="FFFFFF"/>
                <w:szCs w:val="22"/>
              </w:rPr>
              <w:t>a) changes to the maximum level of leverage which the AIFM may employ on behalf of the AIF as well as any right of the reuse of collateral or any guarantee granted under the leveraging arrangements</w:t>
            </w:r>
          </w:p>
        </w:tc>
      </w:tr>
      <w:tr w:rsidR="00A72975" w:rsidRPr="00667FB0" w14:paraId="4677F64B" w14:textId="77777777" w:rsidTr="00A72975">
        <w:trPr>
          <w:trHeight w:val="242"/>
        </w:trPr>
        <w:tc>
          <w:tcPr>
            <w:tcW w:w="9364" w:type="dxa"/>
          </w:tcPr>
          <w:p w14:paraId="2781B86A"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368C7BD9" w14:textId="77777777" w:rsidR="00A72975" w:rsidRPr="00667FB0" w:rsidRDefault="00A72975" w:rsidP="00657913">
            <w:pPr>
              <w:pStyle w:val="TableParagraph"/>
              <w:ind w:left="0"/>
              <w:rPr>
                <w:sz w:val="16"/>
              </w:rPr>
            </w:pPr>
          </w:p>
        </w:tc>
      </w:tr>
      <w:tr w:rsidR="00A72975" w:rsidRPr="00667FB0" w14:paraId="50F620B3" w14:textId="77777777" w:rsidTr="00A72975">
        <w:trPr>
          <w:trHeight w:val="729"/>
        </w:trPr>
        <w:tc>
          <w:tcPr>
            <w:tcW w:w="9364" w:type="dxa"/>
            <w:shd w:val="clear" w:color="auto" w:fill="7FA9AE" w:themeFill="background1"/>
          </w:tcPr>
          <w:p w14:paraId="03307983"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Article 23 (5)</w:t>
            </w:r>
          </w:p>
          <w:p w14:paraId="75B23708"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b) the total amount of leverage employed by that AIF</w:t>
            </w:r>
          </w:p>
        </w:tc>
      </w:tr>
      <w:tr w:rsidR="00A72975" w:rsidRPr="00667FB0" w14:paraId="6E71542C" w14:textId="77777777" w:rsidTr="00A72975">
        <w:trPr>
          <w:trHeight w:val="244"/>
        </w:trPr>
        <w:tc>
          <w:tcPr>
            <w:tcW w:w="9364" w:type="dxa"/>
          </w:tcPr>
          <w:p w14:paraId="0D514813"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p w14:paraId="0246BA9A" w14:textId="77777777" w:rsidR="00A72975" w:rsidRPr="00667FB0" w:rsidRDefault="00A72975" w:rsidP="00657913">
            <w:pPr>
              <w:pStyle w:val="TableParagraph"/>
              <w:ind w:left="0"/>
              <w:rPr>
                <w:sz w:val="16"/>
              </w:rPr>
            </w:pPr>
          </w:p>
        </w:tc>
      </w:tr>
    </w:tbl>
    <w:p w14:paraId="0CB71EF7" w14:textId="77777777" w:rsidR="00A72975" w:rsidRPr="00667FB0" w:rsidRDefault="00A72975" w:rsidP="00A72975">
      <w:pPr>
        <w:spacing w:after="120"/>
        <w:rPr>
          <w:rFonts w:ascii="Verdana" w:hAnsi="Verdana"/>
          <w:szCs w:val="22"/>
        </w:rPr>
      </w:pPr>
    </w:p>
    <w:tbl>
      <w:tblPr>
        <w:tblStyle w:val="TableGrid"/>
        <w:tblW w:w="9356" w:type="dxa"/>
        <w:tblInd w:w="137" w:type="dxa"/>
        <w:tblLook w:val="04A0" w:firstRow="1" w:lastRow="0" w:firstColumn="1" w:lastColumn="0" w:noHBand="0" w:noVBand="1"/>
      </w:tblPr>
      <w:tblGrid>
        <w:gridCol w:w="9356"/>
      </w:tblGrid>
      <w:tr w:rsidR="00A72975" w:rsidRPr="00667FB0" w14:paraId="6CDBC4AE" w14:textId="77777777" w:rsidTr="00A72975">
        <w:tc>
          <w:tcPr>
            <w:tcW w:w="9356" w:type="dxa"/>
            <w:shd w:val="clear" w:color="auto" w:fill="E8927C" w:themeFill="accent3"/>
          </w:tcPr>
          <w:p w14:paraId="682BA166" w14:textId="77777777" w:rsidR="00A72975" w:rsidRPr="00667FB0" w:rsidRDefault="00A72975" w:rsidP="00657913">
            <w:pPr>
              <w:spacing w:after="120"/>
              <w:jc w:val="both"/>
              <w:rPr>
                <w:rFonts w:ascii="Verdana" w:hAnsi="Verdana"/>
                <w:sz w:val="24"/>
              </w:rPr>
            </w:pPr>
            <w:r w:rsidRPr="00667FB0">
              <w:rPr>
                <w:rFonts w:ascii="Verdana" w:hAnsi="Verdana"/>
                <w:b/>
                <w:bCs/>
                <w:color w:val="FFFFFF"/>
                <w:sz w:val="24"/>
              </w:rPr>
              <w:t>REGULATION (EU) 2019/2088 on sustainability</w:t>
            </w:r>
            <w:r w:rsidRPr="00667FB0">
              <w:rPr>
                <w:rFonts w:ascii="Cambria Math" w:hAnsi="Cambria Math" w:cs="Cambria Math"/>
                <w:b/>
                <w:bCs/>
                <w:color w:val="FFFFFF"/>
                <w:sz w:val="24"/>
              </w:rPr>
              <w:t>‐</w:t>
            </w:r>
            <w:r w:rsidRPr="00667FB0">
              <w:rPr>
                <w:rFonts w:ascii="Verdana" w:hAnsi="Verdana"/>
                <w:b/>
                <w:bCs/>
                <w:color w:val="FFFFFF"/>
                <w:sz w:val="24"/>
              </w:rPr>
              <w:t>related disclosures in the financial services sector</w:t>
            </w:r>
          </w:p>
        </w:tc>
      </w:tr>
      <w:tr w:rsidR="00A72975" w:rsidRPr="00667FB0" w14:paraId="39394111" w14:textId="77777777" w:rsidTr="00A72975">
        <w:trPr>
          <w:trHeight w:val="407"/>
        </w:trPr>
        <w:tc>
          <w:tcPr>
            <w:tcW w:w="9356" w:type="dxa"/>
            <w:shd w:val="clear" w:color="auto" w:fill="7FA9AE" w:themeFill="background1"/>
          </w:tcPr>
          <w:p w14:paraId="4615465D" w14:textId="77777777" w:rsidR="00A72975" w:rsidRPr="00667FB0" w:rsidRDefault="00A72975" w:rsidP="00657913">
            <w:pPr>
              <w:shd w:val="clear" w:color="auto" w:fill="7FA9AE" w:themeFill="background1"/>
              <w:spacing w:after="120"/>
              <w:jc w:val="both"/>
              <w:rPr>
                <w:rFonts w:ascii="Verdana" w:hAnsi="Verdana" w:cs="Arial"/>
                <w:color w:val="FFFFFF"/>
                <w:szCs w:val="22"/>
              </w:rPr>
            </w:pPr>
            <w:r w:rsidRPr="00667FB0">
              <w:rPr>
                <w:rFonts w:ascii="Verdana" w:hAnsi="Verdana" w:cs="Arial"/>
                <w:color w:val="FFFFFF"/>
                <w:szCs w:val="22"/>
              </w:rPr>
              <w:t>Article 6: Transparency of the integration of sustainability risk</w:t>
            </w:r>
          </w:p>
        </w:tc>
      </w:tr>
      <w:tr w:rsidR="00A72975" w:rsidRPr="00667FB0" w14:paraId="68DA77B8" w14:textId="77777777" w:rsidTr="00A72975">
        <w:trPr>
          <w:trHeight w:val="407"/>
        </w:trPr>
        <w:tc>
          <w:tcPr>
            <w:tcW w:w="9356" w:type="dxa"/>
            <w:shd w:val="clear" w:color="auto" w:fill="auto"/>
          </w:tcPr>
          <w:p w14:paraId="6481F680" w14:textId="77777777" w:rsidR="00A72975" w:rsidRPr="00667FB0" w:rsidRDefault="00A72975" w:rsidP="00657913">
            <w:pPr>
              <w:spacing w:after="120"/>
              <w:rPr>
                <w:rFonts w:ascii="Verdana" w:hAnsi="Verdana"/>
                <w:szCs w:val="22"/>
                <w:lang w:val="en-US"/>
              </w:rPr>
            </w:pPr>
            <w:r w:rsidRPr="00667FB0">
              <w:rPr>
                <w:rFonts w:ascii="Verdana" w:hAnsi="Verdana"/>
                <w:szCs w:val="22"/>
                <w:lang w:val="en-US"/>
              </w:rPr>
              <w:fldChar w:fldCharType="begin">
                <w:ffData>
                  <w:name w:val="Text2"/>
                  <w:enabled/>
                  <w:calcOnExit w:val="0"/>
                  <w:textInput/>
                </w:ffData>
              </w:fldChar>
            </w:r>
            <w:r w:rsidRPr="00667FB0">
              <w:rPr>
                <w:rFonts w:ascii="Verdana" w:hAnsi="Verdana"/>
                <w:szCs w:val="22"/>
                <w:lang w:val="en-US"/>
              </w:rPr>
              <w:instrText xml:space="preserve"> FORMTEXT </w:instrText>
            </w:r>
            <w:r w:rsidRPr="00667FB0">
              <w:rPr>
                <w:rFonts w:ascii="Verdana" w:hAnsi="Verdana"/>
                <w:szCs w:val="22"/>
                <w:lang w:val="en-US"/>
              </w:rPr>
            </w:r>
            <w:r w:rsidRPr="00667FB0">
              <w:rPr>
                <w:rFonts w:ascii="Verdana" w:hAnsi="Verdana"/>
                <w:szCs w:val="22"/>
                <w:lang w:val="en-US"/>
              </w:rPr>
              <w:fldChar w:fldCharType="separate"/>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t> </w:t>
            </w:r>
            <w:r w:rsidRPr="00667FB0">
              <w:rPr>
                <w:rFonts w:ascii="Verdana" w:hAnsi="Verdana"/>
                <w:szCs w:val="22"/>
                <w:lang w:val="en-US"/>
              </w:rPr>
              <w:fldChar w:fldCharType="end"/>
            </w:r>
          </w:p>
        </w:tc>
      </w:tr>
    </w:tbl>
    <w:p w14:paraId="202FCB47" w14:textId="77777777" w:rsidR="00A72975" w:rsidRPr="00667FB0" w:rsidRDefault="00A72975" w:rsidP="00A72975">
      <w:pPr>
        <w:spacing w:after="120"/>
        <w:rPr>
          <w:rFonts w:ascii="Verdana" w:hAnsi="Verdana"/>
          <w:color w:val="FFFFFF"/>
          <w:szCs w:val="22"/>
        </w:rPr>
      </w:pPr>
    </w:p>
    <w:p w14:paraId="649618D0" w14:textId="77777777" w:rsidR="00F76637" w:rsidRPr="00667FB0" w:rsidRDefault="00F76637" w:rsidP="00A72975">
      <w:pPr>
        <w:rPr>
          <w:rFonts w:ascii="Verdana" w:hAnsi="Verdana"/>
        </w:rPr>
      </w:pPr>
    </w:p>
    <w:sectPr w:rsidR="00F76637" w:rsidRPr="00667FB0" w:rsidSect="00422466">
      <w:headerReference w:type="default" r:id="rId8"/>
      <w:footerReference w:type="even" r:id="rId9"/>
      <w:footerReference w:type="default" r:id="rId10"/>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1158" w14:textId="77777777" w:rsidR="00346B6D" w:rsidRDefault="00346B6D" w:rsidP="00D80DD3">
      <w:r>
        <w:separator/>
      </w:r>
    </w:p>
    <w:p w14:paraId="2A000163" w14:textId="77777777" w:rsidR="00346B6D" w:rsidRDefault="00346B6D"/>
    <w:p w14:paraId="5D41F114" w14:textId="77777777" w:rsidR="00346B6D" w:rsidRDefault="00346B6D"/>
    <w:p w14:paraId="45CA7C5C" w14:textId="77777777" w:rsidR="00346B6D" w:rsidRDefault="00346B6D"/>
  </w:endnote>
  <w:endnote w:type="continuationSeparator" w:id="0">
    <w:p w14:paraId="33F6809A" w14:textId="77777777" w:rsidR="00346B6D" w:rsidRDefault="00346B6D" w:rsidP="00D80DD3">
      <w:r>
        <w:continuationSeparator/>
      </w:r>
    </w:p>
    <w:p w14:paraId="12B05E5A" w14:textId="77777777" w:rsidR="00346B6D" w:rsidRDefault="00346B6D"/>
    <w:p w14:paraId="13206456" w14:textId="77777777" w:rsidR="00346B6D" w:rsidRDefault="00346B6D"/>
    <w:p w14:paraId="5CB5EF36" w14:textId="77777777" w:rsidR="00346B6D" w:rsidRDefault="00346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51523EF2"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5B210"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9D87" w14:textId="77777777" w:rsidR="00422466" w:rsidRDefault="00422466" w:rsidP="00422466">
    <w:pPr>
      <w:pStyle w:val="Footer"/>
      <w:ind w:left="851"/>
      <w:rPr>
        <w:lang w:val="fr-LU"/>
      </w:rPr>
    </w:pPr>
  </w:p>
  <w:p w14:paraId="007B0D1A" w14:textId="77777777" w:rsidR="00422466" w:rsidRDefault="00422466" w:rsidP="00422466">
    <w:pPr>
      <w:pStyle w:val="Footer"/>
      <w:ind w:left="851"/>
      <w:rPr>
        <w:lang w:val="fr-LU"/>
      </w:rPr>
    </w:pPr>
  </w:p>
  <w:p w14:paraId="0BB255BF" w14:textId="77777777" w:rsidR="00422466" w:rsidRPr="00775EED" w:rsidRDefault="00A72975" w:rsidP="00422466">
    <w:pPr>
      <w:pStyle w:val="Footer"/>
      <w:ind w:left="851"/>
      <w:rPr>
        <w:rFonts w:asciiTheme="minorHAnsi" w:hAnsiTheme="minorHAnsi"/>
        <w:lang w:val="en-US"/>
      </w:rPr>
    </w:pPr>
    <w:r w:rsidRPr="00A72975">
      <w:rPr>
        <w:rFonts w:asciiTheme="minorHAnsi" w:hAnsiTheme="minorHAnsi"/>
        <w:lang w:val="en-US"/>
      </w:rPr>
      <w:t xml:space="preserve">Any additional information referred to in </w:t>
    </w:r>
    <w:r w:rsidR="00CB0D1D">
      <w:rPr>
        <w:rFonts w:asciiTheme="minorHAnsi" w:hAnsiTheme="minorHAnsi"/>
        <w:lang w:val="en-US"/>
      </w:rPr>
      <w:t>A</w:t>
    </w:r>
    <w:r w:rsidRPr="00A72975">
      <w:rPr>
        <w:rFonts w:asciiTheme="minorHAnsi" w:hAnsiTheme="minorHAnsi"/>
        <w:lang w:val="en-US"/>
      </w:rPr>
      <w:t>rticle 23(1) for each AIF the AIFM intends to market (Paragraph (f) of annex IV of AIFMD)</w:t>
    </w:r>
    <w:r w:rsidR="00422466" w:rsidRPr="00775EED">
      <w:rPr>
        <w:rFonts w:asciiTheme="minorHAnsi" w:hAnsiTheme="minorHAnsi"/>
        <w:noProof/>
        <w:lang w:eastAsia="en-GB"/>
      </w:rPr>
      <w:drawing>
        <wp:anchor distT="0" distB="0" distL="114300" distR="114300" simplePos="0" relativeHeight="251661312" behindDoc="0" locked="0" layoutInCell="1" allowOverlap="1" wp14:anchorId="701E00D9" wp14:editId="4A137752">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30A11A79" w14:textId="781702F3" w:rsidR="00422466" w:rsidRPr="00775EED" w:rsidRDefault="00422466" w:rsidP="006B59D0">
    <w:pPr>
      <w:pStyle w:val="Footer2"/>
      <w:ind w:left="851"/>
      <w:rPr>
        <w:rFonts w:asciiTheme="minorHAnsi" w:hAnsiTheme="minorHAnsi"/>
        <w:lang w:val="en-US"/>
      </w:rPr>
    </w:pPr>
    <w:r w:rsidRPr="00775EED">
      <w:rPr>
        <w:rFonts w:asciiTheme="minorHAnsi" w:hAnsiTheme="minorHAnsi"/>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F05E" w14:textId="77777777" w:rsidR="00346B6D" w:rsidRDefault="00346B6D"/>
  </w:footnote>
  <w:footnote w:type="continuationSeparator" w:id="0">
    <w:p w14:paraId="088E5EEB" w14:textId="77777777" w:rsidR="00346B6D" w:rsidRDefault="00346B6D" w:rsidP="00D80DD3">
      <w:r>
        <w:continuationSeparator/>
      </w:r>
    </w:p>
    <w:p w14:paraId="58DC0ADA" w14:textId="77777777" w:rsidR="00346B6D" w:rsidRDefault="00346B6D"/>
    <w:p w14:paraId="0C9930DA" w14:textId="77777777" w:rsidR="00346B6D" w:rsidRDefault="00346B6D"/>
    <w:p w14:paraId="6BF3E4FF" w14:textId="77777777" w:rsidR="00346B6D" w:rsidRDefault="00346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F450" w14:textId="77777777" w:rsidR="004C095D" w:rsidRDefault="004C095D">
    <w:pPr>
      <w:pStyle w:val="Header"/>
    </w:pPr>
    <w:r>
      <w:rPr>
        <w:noProof/>
        <w:lang w:eastAsia="en-GB"/>
      </w:rPr>
      <w:drawing>
        <wp:anchor distT="0" distB="0" distL="114300" distR="114300" simplePos="0" relativeHeight="251659264" behindDoc="1" locked="0" layoutInCell="1" allowOverlap="1" wp14:anchorId="72F8DF4B" wp14:editId="509B47CA">
          <wp:simplePos x="0" y="0"/>
          <wp:positionH relativeFrom="page">
            <wp:posOffset>377825</wp:posOffset>
          </wp:positionH>
          <wp:positionV relativeFrom="page">
            <wp:posOffset>450215</wp:posOffset>
          </wp:positionV>
          <wp:extent cx="1382400" cy="1080000"/>
          <wp:effectExtent l="0" t="0" r="8255"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5F02BE"/>
    <w:multiLevelType w:val="hybridMultilevel"/>
    <w:tmpl w:val="252A20F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5"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26531915">
    <w:abstractNumId w:val="4"/>
  </w:num>
  <w:num w:numId="2" w16cid:durableId="406073104">
    <w:abstractNumId w:val="5"/>
  </w:num>
  <w:num w:numId="3" w16cid:durableId="1127549145">
    <w:abstractNumId w:val="6"/>
  </w:num>
  <w:num w:numId="4" w16cid:durableId="1259942149">
    <w:abstractNumId w:val="7"/>
  </w:num>
  <w:num w:numId="5" w16cid:durableId="199131049">
    <w:abstractNumId w:val="9"/>
  </w:num>
  <w:num w:numId="6" w16cid:durableId="115561333">
    <w:abstractNumId w:val="0"/>
  </w:num>
  <w:num w:numId="7" w16cid:durableId="799490820">
    <w:abstractNumId w:val="1"/>
  </w:num>
  <w:num w:numId="8" w16cid:durableId="1637374193">
    <w:abstractNumId w:val="2"/>
  </w:num>
  <w:num w:numId="9" w16cid:durableId="67964774">
    <w:abstractNumId w:val="3"/>
  </w:num>
  <w:num w:numId="10" w16cid:durableId="364061614">
    <w:abstractNumId w:val="8"/>
  </w:num>
  <w:num w:numId="11" w16cid:durableId="261763983">
    <w:abstractNumId w:val="15"/>
  </w:num>
  <w:num w:numId="12" w16cid:durableId="1000429779">
    <w:abstractNumId w:val="10"/>
  </w:num>
  <w:num w:numId="13" w16cid:durableId="740563071">
    <w:abstractNumId w:val="15"/>
    <w:lvlOverride w:ilvl="0">
      <w:startOverride w:val="3"/>
    </w:lvlOverride>
  </w:num>
  <w:num w:numId="14" w16cid:durableId="1785537317">
    <w:abstractNumId w:val="13"/>
  </w:num>
  <w:num w:numId="15" w16cid:durableId="473792135">
    <w:abstractNumId w:val="12"/>
  </w:num>
  <w:num w:numId="16" w16cid:durableId="1422987640">
    <w:abstractNumId w:val="14"/>
  </w:num>
  <w:num w:numId="17" w16cid:durableId="1477336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8316527">
    <w:abstractNumId w:val="14"/>
  </w:num>
  <w:num w:numId="19" w16cid:durableId="795366795">
    <w:abstractNumId w:val="14"/>
  </w:num>
  <w:num w:numId="20" w16cid:durableId="1706321336">
    <w:abstractNumId w:val="14"/>
  </w:num>
  <w:num w:numId="21" w16cid:durableId="457258936">
    <w:abstractNumId w:val="14"/>
  </w:num>
  <w:num w:numId="22" w16cid:durableId="512107337">
    <w:abstractNumId w:val="14"/>
  </w:num>
  <w:num w:numId="23" w16cid:durableId="421142246">
    <w:abstractNumId w:val="14"/>
  </w:num>
  <w:num w:numId="24" w16cid:durableId="1760129969">
    <w:abstractNumId w:val="14"/>
  </w:num>
  <w:num w:numId="25" w16cid:durableId="1928923808">
    <w:abstractNumId w:val="14"/>
  </w:num>
  <w:num w:numId="26" w16cid:durableId="1252012771">
    <w:abstractNumId w:val="14"/>
  </w:num>
  <w:num w:numId="27" w16cid:durableId="1708603680">
    <w:abstractNumId w:val="14"/>
  </w:num>
  <w:num w:numId="28" w16cid:durableId="1354647127">
    <w:abstractNumId w:val="14"/>
  </w:num>
  <w:num w:numId="29" w16cid:durableId="2071687842">
    <w:abstractNumId w:val="14"/>
  </w:num>
  <w:num w:numId="30" w16cid:durableId="830606309">
    <w:abstractNumId w:val="14"/>
  </w:num>
  <w:num w:numId="31" w16cid:durableId="1367365397">
    <w:abstractNumId w:val="14"/>
  </w:num>
  <w:num w:numId="32" w16cid:durableId="780730603">
    <w:abstractNumId w:val="14"/>
  </w:num>
  <w:num w:numId="33" w16cid:durableId="685525200">
    <w:abstractNumId w:val="14"/>
  </w:num>
  <w:num w:numId="34" w16cid:durableId="817575591">
    <w:abstractNumId w:val="14"/>
  </w:num>
  <w:num w:numId="35" w16cid:durableId="1310481390">
    <w:abstractNumId w:val="14"/>
  </w:num>
  <w:num w:numId="36" w16cid:durableId="1063793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13ECF"/>
    <w:rsid w:val="000163BC"/>
    <w:rsid w:val="00023164"/>
    <w:rsid w:val="0002365B"/>
    <w:rsid w:val="00051DFC"/>
    <w:rsid w:val="00053F56"/>
    <w:rsid w:val="00056B96"/>
    <w:rsid w:val="00057ADE"/>
    <w:rsid w:val="0006298D"/>
    <w:rsid w:val="00084B2D"/>
    <w:rsid w:val="00086C01"/>
    <w:rsid w:val="00087FC7"/>
    <w:rsid w:val="000952A2"/>
    <w:rsid w:val="000A3001"/>
    <w:rsid w:val="000A3D00"/>
    <w:rsid w:val="000A45F1"/>
    <w:rsid w:val="000B71A7"/>
    <w:rsid w:val="000E3EA0"/>
    <w:rsid w:val="000F462C"/>
    <w:rsid w:val="000F5E46"/>
    <w:rsid w:val="00101E15"/>
    <w:rsid w:val="00102AFA"/>
    <w:rsid w:val="0010609C"/>
    <w:rsid w:val="0016147C"/>
    <w:rsid w:val="00162AFB"/>
    <w:rsid w:val="001947AE"/>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44D5"/>
    <w:rsid w:val="002844E4"/>
    <w:rsid w:val="002845E0"/>
    <w:rsid w:val="00291CA2"/>
    <w:rsid w:val="002A7118"/>
    <w:rsid w:val="002A7BFD"/>
    <w:rsid w:val="002B3CD3"/>
    <w:rsid w:val="002C1296"/>
    <w:rsid w:val="002E12A6"/>
    <w:rsid w:val="0030023F"/>
    <w:rsid w:val="0030554C"/>
    <w:rsid w:val="0031229D"/>
    <w:rsid w:val="003150AD"/>
    <w:rsid w:val="003201A9"/>
    <w:rsid w:val="003251F4"/>
    <w:rsid w:val="00325E37"/>
    <w:rsid w:val="00332AF4"/>
    <w:rsid w:val="00334632"/>
    <w:rsid w:val="00342B5F"/>
    <w:rsid w:val="0034300B"/>
    <w:rsid w:val="0034538D"/>
    <w:rsid w:val="00346B6D"/>
    <w:rsid w:val="003470BD"/>
    <w:rsid w:val="00367837"/>
    <w:rsid w:val="00377C05"/>
    <w:rsid w:val="0038296D"/>
    <w:rsid w:val="00382A0F"/>
    <w:rsid w:val="00396BF7"/>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16918"/>
    <w:rsid w:val="00421CBB"/>
    <w:rsid w:val="00422466"/>
    <w:rsid w:val="00443491"/>
    <w:rsid w:val="0046001F"/>
    <w:rsid w:val="004646DB"/>
    <w:rsid w:val="004719D1"/>
    <w:rsid w:val="00474CDB"/>
    <w:rsid w:val="004809A9"/>
    <w:rsid w:val="00493705"/>
    <w:rsid w:val="004A4ADB"/>
    <w:rsid w:val="004B2103"/>
    <w:rsid w:val="004C007A"/>
    <w:rsid w:val="004C095D"/>
    <w:rsid w:val="004C2D4F"/>
    <w:rsid w:val="00501E35"/>
    <w:rsid w:val="0050702B"/>
    <w:rsid w:val="00524D7B"/>
    <w:rsid w:val="00564CB9"/>
    <w:rsid w:val="00565259"/>
    <w:rsid w:val="00565F6A"/>
    <w:rsid w:val="00567FB0"/>
    <w:rsid w:val="00572EBA"/>
    <w:rsid w:val="0057619D"/>
    <w:rsid w:val="005764C2"/>
    <w:rsid w:val="00576D11"/>
    <w:rsid w:val="00586B0D"/>
    <w:rsid w:val="005A66EE"/>
    <w:rsid w:val="005C3806"/>
    <w:rsid w:val="005E2D4A"/>
    <w:rsid w:val="005E39F6"/>
    <w:rsid w:val="005F7B00"/>
    <w:rsid w:val="006047BE"/>
    <w:rsid w:val="00611C59"/>
    <w:rsid w:val="006132A7"/>
    <w:rsid w:val="00614F22"/>
    <w:rsid w:val="00625D27"/>
    <w:rsid w:val="00627A55"/>
    <w:rsid w:val="00632A39"/>
    <w:rsid w:val="00651523"/>
    <w:rsid w:val="00652A66"/>
    <w:rsid w:val="00667FB0"/>
    <w:rsid w:val="00676FBE"/>
    <w:rsid w:val="00692473"/>
    <w:rsid w:val="00696D6E"/>
    <w:rsid w:val="006A4358"/>
    <w:rsid w:val="006A597B"/>
    <w:rsid w:val="006B02B0"/>
    <w:rsid w:val="006B4FBD"/>
    <w:rsid w:val="006B59D0"/>
    <w:rsid w:val="0070177C"/>
    <w:rsid w:val="007030E5"/>
    <w:rsid w:val="007148EF"/>
    <w:rsid w:val="00721FBC"/>
    <w:rsid w:val="00723E46"/>
    <w:rsid w:val="007328FC"/>
    <w:rsid w:val="00734A1D"/>
    <w:rsid w:val="007433F6"/>
    <w:rsid w:val="00752833"/>
    <w:rsid w:val="00775EED"/>
    <w:rsid w:val="00792B21"/>
    <w:rsid w:val="00797642"/>
    <w:rsid w:val="007B7473"/>
    <w:rsid w:val="007D2AFB"/>
    <w:rsid w:val="007D771F"/>
    <w:rsid w:val="007E2C74"/>
    <w:rsid w:val="007E3958"/>
    <w:rsid w:val="007F070A"/>
    <w:rsid w:val="00803E8C"/>
    <w:rsid w:val="00806307"/>
    <w:rsid w:val="00813C84"/>
    <w:rsid w:val="00832596"/>
    <w:rsid w:val="00846877"/>
    <w:rsid w:val="0085416C"/>
    <w:rsid w:val="00854F9E"/>
    <w:rsid w:val="00874E83"/>
    <w:rsid w:val="008900B8"/>
    <w:rsid w:val="00895BAB"/>
    <w:rsid w:val="008B4E67"/>
    <w:rsid w:val="008C398F"/>
    <w:rsid w:val="008E68F6"/>
    <w:rsid w:val="008E7D26"/>
    <w:rsid w:val="008F4DC8"/>
    <w:rsid w:val="008F7E6B"/>
    <w:rsid w:val="00915FBE"/>
    <w:rsid w:val="00920169"/>
    <w:rsid w:val="00921C9E"/>
    <w:rsid w:val="00923430"/>
    <w:rsid w:val="00934365"/>
    <w:rsid w:val="0094327D"/>
    <w:rsid w:val="00945440"/>
    <w:rsid w:val="009A1945"/>
    <w:rsid w:val="009A527A"/>
    <w:rsid w:val="009B4D0B"/>
    <w:rsid w:val="009D524B"/>
    <w:rsid w:val="009E5C7B"/>
    <w:rsid w:val="009E6B6D"/>
    <w:rsid w:val="009F7937"/>
    <w:rsid w:val="00A06105"/>
    <w:rsid w:val="00A37814"/>
    <w:rsid w:val="00A409BD"/>
    <w:rsid w:val="00A4496E"/>
    <w:rsid w:val="00A47581"/>
    <w:rsid w:val="00A5078A"/>
    <w:rsid w:val="00A52B64"/>
    <w:rsid w:val="00A52C3D"/>
    <w:rsid w:val="00A53D62"/>
    <w:rsid w:val="00A613B3"/>
    <w:rsid w:val="00A64CCE"/>
    <w:rsid w:val="00A71BB3"/>
    <w:rsid w:val="00A72975"/>
    <w:rsid w:val="00A731DF"/>
    <w:rsid w:val="00A87EC4"/>
    <w:rsid w:val="00A9393E"/>
    <w:rsid w:val="00A95609"/>
    <w:rsid w:val="00AA0F21"/>
    <w:rsid w:val="00AA36ED"/>
    <w:rsid w:val="00AA4406"/>
    <w:rsid w:val="00AB38D3"/>
    <w:rsid w:val="00AB713D"/>
    <w:rsid w:val="00AC05C9"/>
    <w:rsid w:val="00AD619D"/>
    <w:rsid w:val="00AE3C4D"/>
    <w:rsid w:val="00AF07E4"/>
    <w:rsid w:val="00AF4B68"/>
    <w:rsid w:val="00AF62BA"/>
    <w:rsid w:val="00B16D24"/>
    <w:rsid w:val="00B42213"/>
    <w:rsid w:val="00B43C46"/>
    <w:rsid w:val="00B50061"/>
    <w:rsid w:val="00B575EC"/>
    <w:rsid w:val="00B6760A"/>
    <w:rsid w:val="00B76B1F"/>
    <w:rsid w:val="00B928A5"/>
    <w:rsid w:val="00BB29FB"/>
    <w:rsid w:val="00BE0072"/>
    <w:rsid w:val="00C01ADC"/>
    <w:rsid w:val="00C03196"/>
    <w:rsid w:val="00C22AAE"/>
    <w:rsid w:val="00C31B8E"/>
    <w:rsid w:val="00C41017"/>
    <w:rsid w:val="00C65A90"/>
    <w:rsid w:val="00C71E33"/>
    <w:rsid w:val="00C814AB"/>
    <w:rsid w:val="00C81B04"/>
    <w:rsid w:val="00C93202"/>
    <w:rsid w:val="00CA677E"/>
    <w:rsid w:val="00CB0D1D"/>
    <w:rsid w:val="00CB2C63"/>
    <w:rsid w:val="00CB54FE"/>
    <w:rsid w:val="00CB60B3"/>
    <w:rsid w:val="00CB636E"/>
    <w:rsid w:val="00CB790B"/>
    <w:rsid w:val="00CC619D"/>
    <w:rsid w:val="00CD0E52"/>
    <w:rsid w:val="00CD1D9A"/>
    <w:rsid w:val="00CD6F8E"/>
    <w:rsid w:val="00CE0FA5"/>
    <w:rsid w:val="00CE7F38"/>
    <w:rsid w:val="00CF7822"/>
    <w:rsid w:val="00D123DC"/>
    <w:rsid w:val="00D349C1"/>
    <w:rsid w:val="00D34A8F"/>
    <w:rsid w:val="00D43F81"/>
    <w:rsid w:val="00D459E6"/>
    <w:rsid w:val="00D53F5D"/>
    <w:rsid w:val="00D54C16"/>
    <w:rsid w:val="00D80DD3"/>
    <w:rsid w:val="00DA26B2"/>
    <w:rsid w:val="00DA2AAD"/>
    <w:rsid w:val="00DC15F3"/>
    <w:rsid w:val="00DD4DD8"/>
    <w:rsid w:val="00DF153E"/>
    <w:rsid w:val="00E2132A"/>
    <w:rsid w:val="00E24D6B"/>
    <w:rsid w:val="00E3567C"/>
    <w:rsid w:val="00E45BE3"/>
    <w:rsid w:val="00E501F9"/>
    <w:rsid w:val="00E53879"/>
    <w:rsid w:val="00E61D12"/>
    <w:rsid w:val="00E74A07"/>
    <w:rsid w:val="00E86A3F"/>
    <w:rsid w:val="00E8766B"/>
    <w:rsid w:val="00E90B8A"/>
    <w:rsid w:val="00E90FF0"/>
    <w:rsid w:val="00E9235D"/>
    <w:rsid w:val="00EA45B3"/>
    <w:rsid w:val="00EA7F10"/>
    <w:rsid w:val="00EE0C14"/>
    <w:rsid w:val="00F0297A"/>
    <w:rsid w:val="00F06F88"/>
    <w:rsid w:val="00F10B74"/>
    <w:rsid w:val="00F53EAB"/>
    <w:rsid w:val="00F5405A"/>
    <w:rsid w:val="00F55725"/>
    <w:rsid w:val="00F76637"/>
    <w:rsid w:val="00F76D09"/>
    <w:rsid w:val="00F83C26"/>
    <w:rsid w:val="00F869F3"/>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0F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ED"/>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CB790B"/>
    <w:pPr>
      <w:keepNext/>
      <w:numPr>
        <w:numId w:val="35"/>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line="200" w:lineRule="exact"/>
      <w:ind w:left="-1191"/>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unhideWhenUsed/>
    <w:qFormat/>
    <w:rsid w:val="00CB790B"/>
    <w:pPr>
      <w:adjustRightInd w:val="0"/>
      <w:spacing w:before="120" w:line="200" w:lineRule="exact"/>
      <w:ind w:left="-624"/>
    </w:pPr>
    <w:rPr>
      <w:i/>
      <w:color w:val="B6ADA5"/>
      <w:sz w:val="15"/>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qFormat/>
    <w:rsid w:val="00CB790B"/>
    <w:rPr>
      <w:rFonts w:ascii="Verdana" w:hAnsi="Verdana" w:cs="Times New Roman (Corps CS)"/>
      <w:i/>
      <w:color w:val="B6ADA5"/>
      <w:sz w:val="15"/>
      <w:szCs w:val="16"/>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line="600" w:lineRule="exact"/>
    </w:pPr>
    <w:rPr>
      <w:color w:val="FFFFFF"/>
      <w:sz w:val="48"/>
      <w:lang w:val="fr-FR"/>
    </w:rPr>
  </w:style>
  <w:style w:type="paragraph" w:customStyle="1" w:styleId="SubtitleCover">
    <w:name w:val="Subtitle Cover"/>
    <w:basedOn w:val="Normal"/>
    <w:rsid w:val="005E2D4A"/>
    <w:pPr>
      <w:spacing w:before="240"/>
    </w:pPr>
    <w:rPr>
      <w:smallCaps/>
      <w:color w:val="FFFFFF"/>
      <w:w w:val="130"/>
      <w:sz w:val="28"/>
      <w:lang w:val="fr-FR"/>
    </w:rPr>
  </w:style>
  <w:style w:type="paragraph" w:customStyle="1" w:styleId="AdresseDos1">
    <w:name w:val="Adresse Dos 1"/>
    <w:basedOn w:val="Normal"/>
    <w:rsid w:val="005E2D4A"/>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line="260" w:lineRule="exact"/>
      <w:ind w:left="2549" w:right="1699"/>
    </w:pPr>
    <w:rPr>
      <w:rFonts w:ascii="Arial" w:eastAsia="Times" w:hAnsi="Arial"/>
      <w:szCs w:val="20"/>
      <w:lang w:val="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rsid w:val="00775EED"/>
    <w:pPr>
      <w:spacing w:before="120" w:after="160" w:line="240" w:lineRule="exact"/>
    </w:pPr>
    <w:rPr>
      <w:rFonts w:ascii="Verdana" w:eastAsiaTheme="minorHAnsi" w:hAnsi="Verdana" w:cstheme="minorBidi"/>
      <w:color w:val="B6ADA5"/>
      <w:sz w:val="16"/>
      <w:vertAlign w:val="superscript"/>
      <w:lang w:eastAsia="en-US"/>
    </w:rPr>
  </w:style>
  <w:style w:type="paragraph" w:customStyle="1" w:styleId="Default">
    <w:name w:val="Default"/>
    <w:rsid w:val="00A72975"/>
    <w:pPr>
      <w:autoSpaceDE w:val="0"/>
      <w:autoSpaceDN w:val="0"/>
      <w:adjustRightInd w:val="0"/>
    </w:pPr>
    <w:rPr>
      <w:rFonts w:ascii="Arial" w:eastAsia="Times New Roman" w:hAnsi="Arial" w:cs="Arial"/>
      <w:color w:val="000000"/>
      <w:lang w:val="en-US"/>
    </w:rPr>
  </w:style>
  <w:style w:type="paragraph" w:customStyle="1" w:styleId="TableParagraph">
    <w:name w:val="Table Paragraph"/>
    <w:basedOn w:val="Normal"/>
    <w:uiPriority w:val="1"/>
    <w:qFormat/>
    <w:rsid w:val="00A72975"/>
    <w:pPr>
      <w:widowControl w:val="0"/>
      <w:autoSpaceDE w:val="0"/>
      <w:autoSpaceDN w:val="0"/>
      <w:ind w:left="107"/>
    </w:pPr>
    <w:rPr>
      <w:rFonts w:ascii="Verdana" w:eastAsia="Verdana" w:hAnsi="Verdana" w:cs="Verdan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FE73-8A70-46E7-9FFC-A52878E5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2022-06-22T09:43:00Z</dcterms:created>
  <dcterms:modified xsi:type="dcterms:W3CDTF">2024-02-09T09:17:00Z</dcterms:modified>
</cp:coreProperties>
</file>