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62" w:rsidRPr="00A27484" w:rsidRDefault="0034340F" w:rsidP="00FB0B4E">
      <w:pPr>
        <w:pStyle w:val="Title"/>
        <w:ind w:left="0"/>
        <w:jc w:val="center"/>
        <w:rPr>
          <w:color w:val="115E67" w:themeColor="accent6"/>
        </w:rPr>
      </w:pPr>
      <w:r w:rsidRPr="00A27484">
        <w:rPr>
          <w:color w:val="115E67" w:themeColor="accent6"/>
        </w:rPr>
        <w:t>BRANCH</w:t>
      </w:r>
      <w:r w:rsidR="00CB4004" w:rsidRPr="00A27484">
        <w:rPr>
          <w:color w:val="115E67" w:themeColor="accent6"/>
        </w:rPr>
        <w:t xml:space="preserve"> PASSPORT NOTIFICATION FORM</w:t>
      </w:r>
      <w:r w:rsidR="00CB4004" w:rsidRPr="00A27484">
        <w:rPr>
          <w:color w:val="115E67" w:themeColor="accent6"/>
        </w:rPr>
        <w:br/>
        <w:t>CHANGE IN BRANCH PARTICULARS NOTIFICATION FORM</w:t>
      </w:r>
    </w:p>
    <w:p w:rsidR="00A4442F" w:rsidRDefault="00CB4004" w:rsidP="00A27484">
      <w:pPr>
        <w:spacing w:before="240"/>
        <w:ind w:left="29"/>
      </w:pPr>
      <w:r w:rsidRPr="00CB4004">
        <w:t>Where credit institutions notify changes in branch particular notifications to competent authorities of home and host Member States, credit institutions shall only complete the parts of the form which contain information that has changed.</w:t>
      </w:r>
    </w:p>
    <w:p w:rsidR="00CB4004" w:rsidRPr="00CB4004" w:rsidRDefault="00CB4004" w:rsidP="00A4442F">
      <w:pPr>
        <w:pStyle w:val="Heading1"/>
        <w:spacing w:before="240"/>
      </w:pPr>
      <w:r w:rsidRPr="00551C4C">
        <w:t>Contact</w:t>
      </w:r>
      <w:r>
        <w:t xml:space="preserve"> information</w:t>
      </w:r>
    </w:p>
    <w:tbl>
      <w:tblPr>
        <w:tblStyle w:val="TableauCSSF1"/>
        <w:tblW w:w="9072" w:type="dxa"/>
        <w:tblLook w:val="01E0" w:firstRow="1" w:lastRow="1" w:firstColumn="1" w:lastColumn="1" w:noHBand="0" w:noVBand="0"/>
      </w:tblPr>
      <w:tblGrid>
        <w:gridCol w:w="4269"/>
        <w:gridCol w:w="4819"/>
      </w:tblGrid>
      <w:tr w:rsidR="00CB4004" w:rsidRPr="002A3FAB" w:rsidTr="00FC1259">
        <w:trPr>
          <w:cnfStyle w:val="100000000000" w:firstRow="1" w:lastRow="0" w:firstColumn="0" w:lastColumn="0" w:oddVBand="0" w:evenVBand="0" w:oddHBand="0" w:evenHBand="0" w:firstRowFirstColumn="0" w:firstRowLastColumn="0" w:lastRowFirstColumn="0" w:lastRowLastColumn="0"/>
          <w:trHeight w:val="137"/>
        </w:trPr>
        <w:tc>
          <w:tcPr>
            <w:cnfStyle w:val="001000000100" w:firstRow="0" w:lastRow="0" w:firstColumn="1" w:lastColumn="0" w:oddVBand="0" w:evenVBand="0" w:oddHBand="0" w:evenHBand="0" w:firstRowFirstColumn="1" w:firstRowLastColumn="0" w:lastRowFirstColumn="0" w:lastRowLastColumn="0"/>
            <w:tcW w:w="9072" w:type="dxa"/>
            <w:gridSpan w:val="2"/>
            <w:shd w:val="clear" w:color="auto" w:fill="auto"/>
          </w:tcPr>
          <w:p w:rsidR="00CB4004" w:rsidRPr="00875FA6" w:rsidRDefault="00CB4004" w:rsidP="007E021D">
            <w:pPr>
              <w:spacing w:after="0"/>
              <w:rPr>
                <w:rFonts w:asciiTheme="minorHAnsi" w:hAnsiTheme="minorHAnsi"/>
                <w:sz w:val="8"/>
              </w:rPr>
            </w:pPr>
          </w:p>
        </w:tc>
      </w:tr>
      <w:tr w:rsidR="00CB4004" w:rsidRPr="002A3FAB" w:rsidTr="00FC1259">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119"/>
              </w:tabs>
              <w:spacing w:before="120"/>
              <w:ind w:left="0" w:right="279"/>
              <w:rPr>
                <w:rFonts w:asciiTheme="minorHAnsi" w:hAnsiTheme="minorHAnsi" w:cs="Arial"/>
                <w:szCs w:val="20"/>
              </w:rPr>
            </w:pPr>
            <w:r w:rsidRPr="002A3FAB">
              <w:rPr>
                <w:rFonts w:asciiTheme="minorHAnsi" w:hAnsiTheme="minorHAnsi" w:cs="Arial"/>
                <w:szCs w:val="20"/>
              </w:rPr>
              <w:t>Type of notification</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F27791" w:rsidP="008B1C40">
            <w:pPr>
              <w:spacing w:after="0" w:line="240" w:lineRule="auto"/>
              <w:ind w:left="121" w:right="102"/>
              <w:rPr>
                <w:rFonts w:asciiTheme="minorHAnsi" w:hAnsiTheme="minorHAnsi" w:cs="Arial"/>
                <w:szCs w:val="20"/>
              </w:rPr>
            </w:pPr>
            <w:sdt>
              <w:sdtPr>
                <w:rPr>
                  <w:rFonts w:asciiTheme="minorHAnsi" w:hAnsiTheme="minorHAnsi" w:cs="Arial"/>
                  <w:szCs w:val="20"/>
                </w:rPr>
                <w:id w:val="-735550585"/>
                <w14:checkbox>
                  <w14:checked w14:val="0"/>
                  <w14:checkedState w14:val="2612" w14:font="MS Gothic"/>
                  <w14:uncheckedState w14:val="2610" w14:font="MS Gothic"/>
                </w14:checkbox>
              </w:sdtPr>
              <w:sdtEndPr/>
              <w:sdtContent>
                <w:r w:rsidR="00351163">
                  <w:rPr>
                    <w:rFonts w:ascii="MS Gothic" w:eastAsia="MS Gothic" w:hAnsi="MS Gothic" w:cs="Arial" w:hint="eastAsia"/>
                    <w:szCs w:val="20"/>
                  </w:rPr>
                  <w:t>☐</w:t>
                </w:r>
              </w:sdtContent>
            </w:sdt>
            <w:r w:rsidR="00072D13">
              <w:rPr>
                <w:rFonts w:asciiTheme="minorHAnsi" w:hAnsiTheme="minorHAnsi" w:cs="Arial"/>
                <w:szCs w:val="20"/>
              </w:rPr>
              <w:t xml:space="preserve"> </w:t>
            </w:r>
            <w:r w:rsidR="002F0F0F" w:rsidRPr="002A3FAB">
              <w:rPr>
                <w:rFonts w:asciiTheme="minorHAnsi" w:hAnsiTheme="minorHAnsi" w:cs="Arial"/>
                <w:szCs w:val="20"/>
              </w:rPr>
              <w:t>Initial b</w:t>
            </w:r>
            <w:r w:rsidR="00CB4004" w:rsidRPr="002A3FAB">
              <w:rPr>
                <w:rFonts w:asciiTheme="minorHAnsi" w:hAnsiTheme="minorHAnsi" w:cs="Arial"/>
                <w:szCs w:val="20"/>
              </w:rPr>
              <w:t xml:space="preserve">ranch passport notification </w:t>
            </w:r>
          </w:p>
          <w:p w:rsidR="00CB4004" w:rsidRPr="002A3FAB" w:rsidRDefault="00F27791" w:rsidP="008B1C40">
            <w:pPr>
              <w:spacing w:after="0" w:line="276" w:lineRule="auto"/>
              <w:ind w:left="404" w:hanging="283"/>
              <w:jc w:val="left"/>
              <w:rPr>
                <w:rFonts w:asciiTheme="minorHAnsi" w:hAnsiTheme="minorHAnsi" w:cs="Arial"/>
                <w:b/>
                <w:szCs w:val="20"/>
              </w:rPr>
            </w:pPr>
            <w:sdt>
              <w:sdtPr>
                <w:rPr>
                  <w:rFonts w:asciiTheme="minorHAnsi" w:eastAsia="MS Mincho" w:hAnsiTheme="minorHAnsi" w:cs="Arial"/>
                  <w:szCs w:val="20"/>
                </w:rPr>
                <w:id w:val="640614209"/>
                <w14:checkbox>
                  <w14:checked w14:val="0"/>
                  <w14:checkedState w14:val="2612" w14:font="MS Gothic"/>
                  <w14:uncheckedState w14:val="2610" w14:font="MS Gothic"/>
                </w14:checkbox>
              </w:sdtPr>
              <w:sdtEndPr/>
              <w:sdtContent>
                <w:r w:rsidR="008B1C40">
                  <w:rPr>
                    <w:rFonts w:ascii="MS Gothic" w:eastAsia="MS Gothic" w:hAnsi="MS Gothic" w:cs="Arial" w:hint="eastAsia"/>
                    <w:szCs w:val="20"/>
                  </w:rPr>
                  <w:t>☐</w:t>
                </w:r>
              </w:sdtContent>
            </w:sdt>
            <w:r w:rsidR="00072D13">
              <w:rPr>
                <w:rFonts w:asciiTheme="minorHAnsi" w:eastAsia="MS Mincho" w:hAnsiTheme="minorHAnsi" w:cs="Arial"/>
                <w:szCs w:val="20"/>
              </w:rPr>
              <w:t xml:space="preserve"> </w:t>
            </w:r>
            <w:r w:rsidR="002F0F0F" w:rsidRPr="002A3FAB">
              <w:rPr>
                <w:rFonts w:asciiTheme="minorHAnsi" w:eastAsia="MS Mincho" w:hAnsiTheme="minorHAnsi" w:cs="Arial"/>
                <w:szCs w:val="20"/>
              </w:rPr>
              <w:t>Notification of c</w:t>
            </w:r>
            <w:r w:rsidR="00CB4004" w:rsidRPr="002A3FAB">
              <w:rPr>
                <w:rFonts w:asciiTheme="minorHAnsi" w:eastAsia="MS Mincho" w:hAnsiTheme="minorHAnsi" w:cs="Arial"/>
                <w:szCs w:val="20"/>
              </w:rPr>
              <w:t xml:space="preserve">hange in branch </w:t>
            </w:r>
            <w:r w:rsidR="007E021D" w:rsidRPr="002A3FAB">
              <w:rPr>
                <w:rFonts w:asciiTheme="minorHAnsi" w:eastAsia="MS Mincho" w:hAnsiTheme="minorHAnsi" w:cs="Arial"/>
                <w:szCs w:val="20"/>
              </w:rPr>
              <w:t>p</w:t>
            </w:r>
            <w:r w:rsidR="00CB4004" w:rsidRPr="002A3FAB">
              <w:rPr>
                <w:rFonts w:asciiTheme="minorHAnsi" w:eastAsia="MS Mincho" w:hAnsiTheme="minorHAnsi" w:cs="Arial"/>
                <w:szCs w:val="20"/>
              </w:rPr>
              <w:t>articular</w:t>
            </w:r>
            <w:r w:rsidR="002F0F0F" w:rsidRPr="002A3FAB">
              <w:rPr>
                <w:rFonts w:asciiTheme="minorHAnsi" w:eastAsia="MS Mincho" w:hAnsiTheme="minorHAnsi" w:cs="Arial"/>
                <w:szCs w:val="20"/>
              </w:rPr>
              <w:t>s</w:t>
            </w:r>
            <w:r w:rsidR="008B1C40">
              <w:rPr>
                <w:rFonts w:asciiTheme="minorHAnsi" w:eastAsia="MS Mincho" w:hAnsiTheme="minorHAnsi" w:cs="Arial"/>
                <w:szCs w:val="20"/>
              </w:rPr>
              <w:t xml:space="preserve"> </w:t>
            </w:r>
            <w:r w:rsidR="002F0F0F" w:rsidRPr="002A3FAB">
              <w:rPr>
                <w:rFonts w:asciiTheme="minorHAnsi" w:eastAsia="MS Mincho" w:hAnsiTheme="minorHAnsi" w:cs="Arial"/>
                <w:szCs w:val="20"/>
              </w:rPr>
              <w:t>notific</w:t>
            </w:r>
            <w:r w:rsidR="00CB4004" w:rsidRPr="002A3FAB">
              <w:rPr>
                <w:rFonts w:asciiTheme="minorHAnsi" w:hAnsiTheme="minorHAnsi" w:cs="Arial"/>
                <w:szCs w:val="20"/>
              </w:rPr>
              <w:t>ation</w:t>
            </w:r>
          </w:p>
        </w:tc>
      </w:tr>
      <w:tr w:rsidR="00081A4C" w:rsidRPr="002A3FAB" w:rsidTr="00FC1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119"/>
              </w:tabs>
              <w:spacing w:before="120"/>
              <w:ind w:left="0" w:right="279"/>
              <w:rPr>
                <w:rFonts w:asciiTheme="minorHAnsi" w:hAnsiTheme="minorHAnsi" w:cs="Arial"/>
                <w:szCs w:val="20"/>
              </w:rPr>
            </w:pPr>
            <w:r w:rsidRPr="002A3FAB">
              <w:rPr>
                <w:rFonts w:asciiTheme="minorHAnsi" w:hAnsiTheme="minorHAnsi" w:cs="Arial"/>
                <w:szCs w:val="20"/>
              </w:rPr>
              <w:t>Host Member State in which the branch is to established</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081A4C" w:rsidP="00081A4C">
            <w:pPr>
              <w:tabs>
                <w:tab w:val="left" w:pos="3261"/>
              </w:tabs>
              <w:spacing w:before="120" w:line="240" w:lineRule="auto"/>
              <w:ind w:left="131"/>
              <w:rPr>
                <w:rFonts w:asciiTheme="minorHAnsi" w:hAnsiTheme="minorHAnsi" w:cs="Arial"/>
                <w:i/>
                <w:szCs w:val="20"/>
              </w:rPr>
            </w:pPr>
            <w:r w:rsidRPr="002A3FAB">
              <w:rPr>
                <w:rFonts w:asciiTheme="minorHAnsi" w:hAnsiTheme="minorHAnsi" w:cs="Arial"/>
                <w:szCs w:val="20"/>
              </w:rPr>
              <w:fldChar w:fldCharType="begin">
                <w:ffData>
                  <w:name w:val="Text1"/>
                  <w:enabled/>
                  <w:calcOnExit w:val="0"/>
                  <w:textInput>
                    <w:format w:val="FIRST CAPITAL"/>
                  </w:textInput>
                </w:ffData>
              </w:fldChar>
            </w:r>
            <w:bookmarkStart w:id="0" w:name="Text1"/>
            <w:r w:rsidRPr="002A3FAB">
              <w:rPr>
                <w:rFonts w:asciiTheme="minorHAnsi" w:hAnsiTheme="minorHAnsi" w:cs="Arial"/>
                <w:szCs w:val="20"/>
              </w:rPr>
              <w:instrText xml:space="preserve"> FORMTEXT </w:instrText>
            </w:r>
            <w:r w:rsidRPr="002A3FAB">
              <w:rPr>
                <w:rFonts w:asciiTheme="minorHAnsi" w:hAnsiTheme="minorHAnsi" w:cs="Arial"/>
                <w:szCs w:val="20"/>
              </w:rPr>
            </w:r>
            <w:r w:rsidRPr="002A3FAB">
              <w:rPr>
                <w:rFonts w:asciiTheme="minorHAnsi" w:hAnsiTheme="minorHAnsi" w:cs="Arial"/>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szCs w:val="20"/>
              </w:rPr>
              <w:fldChar w:fldCharType="end"/>
            </w:r>
            <w:bookmarkEnd w:id="0"/>
          </w:p>
        </w:tc>
      </w:tr>
      <w:tr w:rsidR="00081A4C" w:rsidRPr="002A3FAB" w:rsidTr="00FC1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spacing w:before="120"/>
              <w:ind w:left="0" w:right="279"/>
              <w:rPr>
                <w:rFonts w:asciiTheme="minorHAnsi" w:hAnsiTheme="minorHAnsi" w:cs="Arial"/>
                <w:szCs w:val="20"/>
              </w:rPr>
            </w:pPr>
            <w:r w:rsidRPr="002A3FAB">
              <w:rPr>
                <w:rFonts w:asciiTheme="minorHAnsi" w:hAnsiTheme="minorHAnsi" w:cs="Arial"/>
                <w:szCs w:val="20"/>
              </w:rPr>
              <w:t xml:space="preserve">Name and </w:t>
            </w:r>
            <w:r w:rsidR="00081A4C" w:rsidRPr="002A3FAB">
              <w:rPr>
                <w:rFonts w:asciiTheme="minorHAnsi" w:hAnsiTheme="minorHAnsi" w:cs="Arial"/>
                <w:szCs w:val="20"/>
              </w:rPr>
              <w:t xml:space="preserve">national </w:t>
            </w:r>
            <w:r w:rsidRPr="002A3FAB">
              <w:rPr>
                <w:rFonts w:asciiTheme="minorHAnsi" w:hAnsiTheme="minorHAnsi" w:cs="Arial"/>
                <w:szCs w:val="20"/>
              </w:rPr>
              <w:t xml:space="preserve">reference </w:t>
            </w:r>
            <w:r w:rsidR="00081A4C" w:rsidRPr="002A3FAB">
              <w:rPr>
                <w:rFonts w:asciiTheme="minorHAnsi" w:hAnsiTheme="minorHAnsi" w:cs="Arial"/>
                <w:szCs w:val="20"/>
              </w:rPr>
              <w:t>code of the credit institution as available in the credit institution register maintained by the European Banking Authority (EBA)</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081A4C" w:rsidP="007E021D">
            <w:pPr>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081A4C" w:rsidRPr="002A3FAB" w:rsidRDefault="00081A4C" w:rsidP="007E021D">
            <w:pPr>
              <w:spacing w:before="120"/>
              <w:ind w:left="0" w:right="279"/>
              <w:rPr>
                <w:rFonts w:asciiTheme="minorHAnsi" w:hAnsiTheme="minorHAnsi" w:cs="Arial"/>
                <w:szCs w:val="20"/>
              </w:rPr>
            </w:pPr>
            <w:r w:rsidRPr="002A3FAB">
              <w:rPr>
                <w:rFonts w:asciiTheme="minorHAnsi" w:hAnsiTheme="minorHAnsi" w:cs="Arial"/>
                <w:szCs w:val="20"/>
              </w:rPr>
              <w:t>LEI of the credit institution</w:t>
            </w:r>
          </w:p>
        </w:tc>
        <w:tc>
          <w:tcPr>
            <w:cnfStyle w:val="000100000000" w:firstRow="0" w:lastRow="0" w:firstColumn="0" w:lastColumn="1" w:oddVBand="0" w:evenVBand="0" w:oddHBand="0" w:evenHBand="0" w:firstRowFirstColumn="0" w:firstRowLastColumn="0" w:lastRowFirstColumn="0" w:lastRowLastColumn="0"/>
            <w:tcW w:w="4811" w:type="dxa"/>
          </w:tcPr>
          <w:p w:rsidR="00081A4C" w:rsidRPr="002A3FAB" w:rsidRDefault="00351163" w:rsidP="00081A4C">
            <w:pPr>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Address of the credit institution in the host Member State from which documents may be obtained</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Intended principal place of business of the branch in the Host Member State</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Date on which the branch intends to commence its activities</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Name of contact person at the branch</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Telephone number</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81A4C" w:rsidRPr="002A3FAB" w:rsidTr="00FC1259">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261" w:type="dxa"/>
          </w:tcPr>
          <w:p w:rsidR="00CB4004" w:rsidRPr="002A3FAB" w:rsidRDefault="00CB4004" w:rsidP="007E021D">
            <w:pPr>
              <w:tabs>
                <w:tab w:val="left" w:pos="3261"/>
              </w:tabs>
              <w:spacing w:before="120"/>
              <w:ind w:left="0" w:right="279"/>
              <w:rPr>
                <w:rFonts w:asciiTheme="minorHAnsi" w:hAnsiTheme="minorHAnsi" w:cs="Arial"/>
                <w:szCs w:val="20"/>
              </w:rPr>
            </w:pPr>
            <w:r w:rsidRPr="002A3FAB">
              <w:rPr>
                <w:rFonts w:asciiTheme="minorHAnsi" w:hAnsiTheme="minorHAnsi" w:cs="Arial"/>
                <w:szCs w:val="20"/>
              </w:rPr>
              <w:t>E-mail</w:t>
            </w:r>
          </w:p>
        </w:tc>
        <w:tc>
          <w:tcPr>
            <w:cnfStyle w:val="000100000000" w:firstRow="0" w:lastRow="0" w:firstColumn="0" w:lastColumn="1" w:oddVBand="0" w:evenVBand="0" w:oddHBand="0" w:evenHBand="0" w:firstRowFirstColumn="0" w:firstRowLastColumn="0" w:lastRowFirstColumn="0" w:lastRowLastColumn="0"/>
            <w:tcW w:w="4811" w:type="dxa"/>
          </w:tcPr>
          <w:p w:rsidR="00CB4004" w:rsidRPr="002A3FAB" w:rsidRDefault="00CB4004" w:rsidP="00081A4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Default="002F0F0F" w:rsidP="00081A4C">
      <w:pPr>
        <w:ind w:left="0"/>
      </w:pPr>
      <w:r>
        <w:br w:type="page"/>
      </w:r>
    </w:p>
    <w:p w:rsidR="00CB4004" w:rsidRPr="002F0F0F" w:rsidRDefault="00CB4004" w:rsidP="00551C4C">
      <w:pPr>
        <w:pStyle w:val="Heading1"/>
      </w:pPr>
      <w:bookmarkStart w:id="1" w:name="OLE_LINK1"/>
      <w:bookmarkStart w:id="2" w:name="OLE_LINK2"/>
      <w:r w:rsidRPr="003D124E">
        <w:lastRenderedPageBreak/>
        <w:t xml:space="preserve">Programme </w:t>
      </w:r>
      <w:r>
        <w:t>of operations</w:t>
      </w:r>
      <w:bookmarkEnd w:id="1"/>
      <w:bookmarkEnd w:id="2"/>
    </w:p>
    <w:p w:rsidR="00CB4004" w:rsidRPr="003D124E" w:rsidRDefault="00CB4004" w:rsidP="001A4ED1">
      <w:pPr>
        <w:pStyle w:val="Heading2"/>
      </w:pPr>
      <w:r w:rsidRPr="001A4ED1">
        <w:t>Types</w:t>
      </w:r>
      <w:r w:rsidRPr="003D124E">
        <w:t xml:space="preserve"> </w:t>
      </w:r>
      <w:r>
        <w:t xml:space="preserve">of business </w:t>
      </w:r>
      <w:r w:rsidRPr="003D124E">
        <w:t>envisag</w:t>
      </w:r>
      <w:r>
        <w:t>ed</w:t>
      </w:r>
    </w:p>
    <w:p w:rsidR="00CB4004" w:rsidRPr="00CB4004" w:rsidRDefault="00CB4004" w:rsidP="001A4ED1">
      <w:pPr>
        <w:pStyle w:val="Heading3"/>
      </w:pPr>
      <w:r w:rsidRPr="00E965AE">
        <w:t>Description</w:t>
      </w:r>
      <w:r w:rsidRPr="00CB4004">
        <w:t xml:space="preserve"> of the main objectives and business strategy of the branch and an explanation of how the branch will contribute to the strategy of the institution and, where applicable, of its group.</w:t>
      </w:r>
    </w:p>
    <w:tbl>
      <w:tblPr>
        <w:tblStyle w:val="TableGrid"/>
        <w:tblW w:w="7938" w:type="dxa"/>
        <w:tblInd w:w="1413" w:type="dxa"/>
        <w:tblLook w:val="04A0" w:firstRow="1" w:lastRow="0" w:firstColumn="1" w:lastColumn="0" w:noHBand="0" w:noVBand="1"/>
      </w:tblPr>
      <w:tblGrid>
        <w:gridCol w:w="7938"/>
      </w:tblGrid>
      <w:tr w:rsidR="00CB4004" w:rsidTr="004A2B6B">
        <w:tc>
          <w:tcPr>
            <w:tcW w:w="7938" w:type="dxa"/>
          </w:tcPr>
          <w:bookmarkStart w:id="3" w:name="_Hlk99961577"/>
          <w:p w:rsidR="00CB4004" w:rsidRDefault="00C16905" w:rsidP="001176CE">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bookmarkEnd w:id="3"/>
    <w:p w:rsidR="00CB4004" w:rsidRPr="00CB4004" w:rsidRDefault="00CB4004" w:rsidP="001A4ED1">
      <w:pPr>
        <w:pStyle w:val="Heading3"/>
        <w:rPr>
          <w:b/>
        </w:rPr>
      </w:pPr>
      <w:r w:rsidRPr="003D124E">
        <w:t xml:space="preserve">Description </w:t>
      </w:r>
      <w:r>
        <w:t>of the target customers and counterparties</w:t>
      </w:r>
      <w:r w:rsidR="00D27BE4">
        <w:t>.</w:t>
      </w:r>
    </w:p>
    <w:tbl>
      <w:tblPr>
        <w:tblStyle w:val="TableGrid"/>
        <w:tblW w:w="7938" w:type="dxa"/>
        <w:tblInd w:w="1413" w:type="dxa"/>
        <w:tblLook w:val="04A0" w:firstRow="1" w:lastRow="0" w:firstColumn="1" w:lastColumn="0" w:noHBand="0" w:noVBand="1"/>
      </w:tblPr>
      <w:tblGrid>
        <w:gridCol w:w="7938"/>
      </w:tblGrid>
      <w:tr w:rsidR="00CB4004" w:rsidTr="004A2B6B">
        <w:tc>
          <w:tcPr>
            <w:tcW w:w="7938" w:type="dxa"/>
          </w:tcPr>
          <w:p w:rsidR="00CB4004" w:rsidRDefault="00C16905" w:rsidP="001176CE">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Default="00CB4004" w:rsidP="001A4ED1">
      <w:pPr>
        <w:pStyle w:val="Heading3"/>
      </w:pPr>
      <w:r w:rsidRPr="003D124E">
        <w:t>List of the activities referred to in Annex I to Directive 2013/36/EU that the credit institution intends to carry out in the host Member State with the indication of the activities that will constitute the core business in the host Member State, including the intended start date for each activity</w:t>
      </w:r>
      <w:r w:rsidR="007E021D">
        <w:t xml:space="preserve"> (as accurate as possible)</w:t>
      </w:r>
      <w:r w:rsidRPr="003D124E">
        <w:t>.</w:t>
      </w:r>
    </w:p>
    <w:p w:rsidR="00B91D09" w:rsidRPr="00B91D09" w:rsidRDefault="00B91D09" w:rsidP="00B91D09">
      <w:pPr>
        <w:pStyle w:val="Normal3"/>
        <w:spacing w:after="0"/>
        <w:ind w:left="0"/>
      </w:pPr>
    </w:p>
    <w:tbl>
      <w:tblPr>
        <w:tblStyle w:val="TableauCSSF1"/>
        <w:tblW w:w="9767" w:type="dxa"/>
        <w:tblLook w:val="04A0" w:firstRow="1" w:lastRow="0" w:firstColumn="1" w:lastColumn="0" w:noHBand="0" w:noVBand="1"/>
      </w:tblPr>
      <w:tblGrid>
        <w:gridCol w:w="741"/>
        <w:gridCol w:w="4694"/>
        <w:gridCol w:w="1551"/>
        <w:gridCol w:w="1324"/>
        <w:gridCol w:w="1473"/>
      </w:tblGrid>
      <w:tr w:rsidR="00CA4797" w:rsidRPr="002A3FAB" w:rsidTr="00C169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 w:type="dxa"/>
            <w:tcBorders>
              <w:top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AE2B84" w:rsidRPr="002A3FAB" w:rsidRDefault="00AE2B84" w:rsidP="00AC5668">
            <w:pPr>
              <w:keepLines/>
              <w:tabs>
                <w:tab w:val="left" w:pos="150"/>
              </w:tabs>
              <w:spacing w:after="0" w:line="276" w:lineRule="auto"/>
              <w:ind w:left="0" w:right="129"/>
              <w:jc w:val="center"/>
              <w:rPr>
                <w:rFonts w:asciiTheme="minorHAnsi" w:hAnsiTheme="minorHAnsi"/>
                <w:b/>
                <w:sz w:val="16"/>
                <w:szCs w:val="18"/>
              </w:rPr>
            </w:pPr>
            <w:r w:rsidRPr="002A3FAB">
              <w:rPr>
                <w:rFonts w:asciiTheme="minorHAnsi" w:hAnsiTheme="minorHAnsi"/>
                <w:b/>
                <w:sz w:val="16"/>
                <w:szCs w:val="18"/>
              </w:rPr>
              <w:t>N°</w:t>
            </w:r>
          </w:p>
        </w:tc>
        <w:tc>
          <w:tcPr>
            <w:tcW w:w="4694"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AE2B84" w:rsidRPr="002A3FAB" w:rsidRDefault="00AE2B84" w:rsidP="00AC5668">
            <w:pPr>
              <w:keepLines/>
              <w:spacing w:after="0" w:line="276" w:lineRule="auto"/>
              <w:ind w:left="127" w:right="13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3FAB">
              <w:rPr>
                <w:rFonts w:asciiTheme="minorHAnsi" w:hAnsiTheme="minorHAnsi"/>
                <w:sz w:val="16"/>
                <w:szCs w:val="18"/>
              </w:rPr>
              <w:t>Activity</w:t>
            </w:r>
          </w:p>
        </w:tc>
        <w:tc>
          <w:tcPr>
            <w:tcW w:w="1551"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AE2B84" w:rsidRPr="00351163" w:rsidRDefault="004A2B6B" w:rsidP="00AC5668">
            <w:pPr>
              <w:keepLines/>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4"/>
                <w:szCs w:val="18"/>
              </w:rPr>
            </w:pPr>
            <w:r w:rsidRPr="00351163">
              <w:rPr>
                <w:rFonts w:asciiTheme="minorHAnsi" w:hAnsiTheme="minorHAnsi"/>
                <w:sz w:val="15"/>
                <w:szCs w:val="15"/>
              </w:rPr>
              <w:t xml:space="preserve">Activities that the credit institution intends to start carrying out </w:t>
            </w:r>
            <w:r w:rsidRPr="00351163">
              <w:rPr>
                <w:rFonts w:asciiTheme="minorHAnsi" w:hAnsiTheme="minorHAnsi"/>
                <w:b w:val="0"/>
                <w:sz w:val="15"/>
                <w:szCs w:val="15"/>
              </w:rPr>
              <w:t xml:space="preserve">(S) </w:t>
            </w:r>
            <w:r w:rsidR="001A694B" w:rsidRPr="00351163">
              <w:rPr>
                <w:rFonts w:asciiTheme="minorHAnsi" w:hAnsiTheme="minorHAnsi"/>
                <w:sz w:val="15"/>
                <w:szCs w:val="15"/>
              </w:rPr>
              <w:t>or to cease carrying out</w:t>
            </w:r>
            <w:r w:rsidRPr="00351163">
              <w:rPr>
                <w:rFonts w:asciiTheme="minorHAnsi" w:hAnsiTheme="minorHAnsi"/>
                <w:sz w:val="15"/>
                <w:szCs w:val="15"/>
              </w:rPr>
              <w:t xml:space="preserve"> </w:t>
            </w:r>
            <w:r w:rsidRPr="00351163">
              <w:rPr>
                <w:rFonts w:asciiTheme="minorHAnsi" w:hAnsiTheme="minorHAnsi"/>
                <w:b w:val="0"/>
                <w:sz w:val="15"/>
                <w:szCs w:val="15"/>
              </w:rPr>
              <w:t>(C)</w:t>
            </w:r>
            <w:r w:rsidR="001A694B" w:rsidRPr="00351163">
              <w:rPr>
                <w:rStyle w:val="FootnoteReference"/>
                <w:color w:val="auto"/>
                <w:sz w:val="14"/>
                <w:szCs w:val="18"/>
              </w:rPr>
              <w:footnoteReference w:id="1"/>
            </w:r>
          </w:p>
        </w:tc>
        <w:tc>
          <w:tcPr>
            <w:tcW w:w="1324"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AE2B84" w:rsidRPr="002A3FAB" w:rsidRDefault="00AE2B84" w:rsidP="00AC5668">
            <w:pPr>
              <w:keepLines/>
              <w:spacing w:after="0" w:line="276" w:lineRule="auto"/>
              <w:ind w:left="0" w:right="13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3FAB">
              <w:rPr>
                <w:rFonts w:asciiTheme="minorHAnsi" w:hAnsiTheme="minorHAnsi"/>
                <w:sz w:val="16"/>
                <w:szCs w:val="18"/>
              </w:rPr>
              <w:t>Activities that will constitute the core business</w:t>
            </w:r>
          </w:p>
        </w:tc>
        <w:tc>
          <w:tcPr>
            <w:tcW w:w="1465" w:type="dxa"/>
            <w:tcBorders>
              <w:top w:val="single" w:sz="4" w:space="0" w:color="B6ADA5" w:themeColor="background2"/>
              <w:left w:val="single" w:sz="4" w:space="0" w:color="B6ADA5" w:themeColor="background2"/>
              <w:bottom w:val="single" w:sz="4" w:space="0" w:color="B6ADA5" w:themeColor="background2"/>
            </w:tcBorders>
            <w:shd w:val="clear" w:color="auto" w:fill="7FA9AE" w:themeFill="background1"/>
            <w:vAlign w:val="center"/>
          </w:tcPr>
          <w:p w:rsidR="00AE2B84" w:rsidRPr="002A3FAB" w:rsidRDefault="00AE2B84" w:rsidP="00AC5668">
            <w:pPr>
              <w:keepLines/>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3FAB">
              <w:rPr>
                <w:rFonts w:asciiTheme="minorHAnsi" w:hAnsiTheme="minorHAnsi"/>
                <w:sz w:val="16"/>
                <w:szCs w:val="18"/>
              </w:rPr>
              <w:t>Intended start date for each core activity</w:t>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Borders>
              <w:top w:val="single" w:sz="4" w:space="0" w:color="B6ADA5" w:themeColor="background2"/>
            </w:tcBorders>
          </w:tcPr>
          <w:p w:rsidR="00F36E7F" w:rsidRPr="002A3FAB" w:rsidRDefault="00F36E7F" w:rsidP="00F36E7F">
            <w:pPr>
              <w:keepLines/>
              <w:spacing w:after="0" w:line="276" w:lineRule="auto"/>
              <w:ind w:left="0" w:right="144"/>
              <w:rPr>
                <w:rFonts w:asciiTheme="minorHAnsi" w:hAnsiTheme="minorHAnsi"/>
                <w:b w:val="0"/>
                <w:szCs w:val="18"/>
              </w:rPr>
            </w:pPr>
            <w:r w:rsidRPr="002A3FAB">
              <w:rPr>
                <w:rFonts w:asciiTheme="minorHAnsi" w:hAnsiTheme="minorHAnsi"/>
                <w:b w:val="0"/>
                <w:szCs w:val="18"/>
              </w:rPr>
              <w:t>1.</w:t>
            </w:r>
          </w:p>
        </w:tc>
        <w:tc>
          <w:tcPr>
            <w:tcW w:w="4694" w:type="dxa"/>
            <w:tcBorders>
              <w:top w:val="single" w:sz="4" w:space="0" w:color="B6ADA5" w:themeColor="background2"/>
            </w:tcBorders>
          </w:tcPr>
          <w:p w:rsidR="00F36E7F" w:rsidRPr="002A3FAB" w:rsidRDefault="00F36E7F" w:rsidP="00F36E7F">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Taking deposits and other repayable funds</w:t>
            </w:r>
          </w:p>
        </w:tc>
        <w:tc>
          <w:tcPr>
            <w:tcW w:w="1551" w:type="dxa"/>
            <w:tcBorders>
              <w:top w:val="single" w:sz="4" w:space="0" w:color="B6ADA5" w:themeColor="background2"/>
            </w:tcBorders>
          </w:tcPr>
          <w:p w:rsidR="00F36E7F" w:rsidRPr="002A3FAB" w:rsidRDefault="00C16905" w:rsidP="003A4DF5">
            <w:pPr>
              <w:keepLines/>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Borders>
              <w:top w:val="single" w:sz="4" w:space="0" w:color="B6ADA5" w:themeColor="background2"/>
            </w:tcBorders>
          </w:tcPr>
          <w:p w:rsidR="00F36E7F" w:rsidRPr="002A3FAB" w:rsidRDefault="00F27791" w:rsidP="00F36E7F">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913694770"/>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Borders>
              <w:top w:val="single" w:sz="4" w:space="0" w:color="B6ADA5" w:themeColor="background2"/>
            </w:tcBorders>
          </w:tcPr>
          <w:p w:rsidR="00F36E7F" w:rsidRPr="002A3FAB" w:rsidRDefault="00C16905" w:rsidP="003A4DF5">
            <w:pPr>
              <w:keepLines/>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2.</w:t>
            </w:r>
          </w:p>
        </w:tc>
        <w:tc>
          <w:tcPr>
            <w:tcW w:w="4694" w:type="dxa"/>
          </w:tcPr>
          <w:p w:rsidR="00F36E7F" w:rsidRPr="002A3FAB" w:rsidRDefault="00F36E7F" w:rsidP="00F36E7F">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Lending including, inter alia: consumer credit, credit agreements relating to immovable property, factoring, with or without recourse, financing of commercial transactions (including forfeiting)</w:t>
            </w:r>
          </w:p>
        </w:tc>
        <w:tc>
          <w:tcPr>
            <w:tcW w:w="1551" w:type="dxa"/>
          </w:tcPr>
          <w:p w:rsidR="00F36E7F" w:rsidRPr="002A3FAB"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75835442"/>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keepLines/>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3.</w:t>
            </w:r>
          </w:p>
        </w:tc>
        <w:tc>
          <w:tcPr>
            <w:tcW w:w="4694" w:type="dxa"/>
          </w:tcPr>
          <w:p w:rsidR="00F36E7F" w:rsidRPr="002A3FAB" w:rsidRDefault="00F36E7F" w:rsidP="00F36E7F">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Financial leasing</w:t>
            </w:r>
          </w:p>
        </w:tc>
        <w:tc>
          <w:tcPr>
            <w:tcW w:w="1551" w:type="dxa"/>
          </w:tcPr>
          <w:p w:rsidR="00F36E7F" w:rsidRPr="002A3FAB" w:rsidRDefault="00C16905" w:rsidP="003A4DF5">
            <w:pPr>
              <w:keepNext w:val="0"/>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91257951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keepLines/>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t>4.</w:t>
            </w:r>
          </w:p>
        </w:tc>
        <w:tc>
          <w:tcPr>
            <w:tcW w:w="4694" w:type="dxa"/>
          </w:tcPr>
          <w:p w:rsidR="00F36E7F" w:rsidRPr="002A3FAB" w:rsidRDefault="00F36E7F" w:rsidP="00F36E7F">
            <w:pPr>
              <w:keepNext w:val="0"/>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Payment services as defined in Article 4, point (3) of Directive (EU) 2015/2366 of the European Parliament and of the Council</w:t>
            </w:r>
            <w:r w:rsidRPr="001A694B">
              <w:rPr>
                <w:rStyle w:val="FootnoteReference"/>
                <w:rFonts w:asciiTheme="minorHAnsi" w:hAnsiTheme="minorHAnsi"/>
                <w:color w:val="auto"/>
                <w:sz w:val="20"/>
                <w:szCs w:val="18"/>
              </w:rPr>
              <w:footnoteReference w:id="2"/>
            </w:r>
          </w:p>
        </w:tc>
        <w:tc>
          <w:tcPr>
            <w:tcW w:w="1551" w:type="dxa"/>
          </w:tcPr>
          <w:p w:rsidR="00F36E7F" w:rsidRPr="002A3FAB"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915752833"/>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4a.</w:t>
            </w:r>
          </w:p>
        </w:tc>
        <w:tc>
          <w:tcPr>
            <w:tcW w:w="4694" w:type="dxa"/>
          </w:tcPr>
          <w:p w:rsidR="00F36E7F" w:rsidRPr="002A3FAB" w:rsidRDefault="00F36E7F" w:rsidP="00F36E7F">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Services enabling cash to be placed on a payment account and all the operations required for operating a payment account</w:t>
            </w:r>
          </w:p>
        </w:tc>
        <w:tc>
          <w:tcPr>
            <w:tcW w:w="1551" w:type="dxa"/>
          </w:tcPr>
          <w:p w:rsidR="00F36E7F" w:rsidRPr="002A3FAB" w:rsidRDefault="00C16905" w:rsidP="003A4DF5">
            <w:pPr>
              <w:keepNext w:val="0"/>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345915734"/>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lastRenderedPageBreak/>
              <w:t>4b.</w:t>
            </w:r>
          </w:p>
        </w:tc>
        <w:tc>
          <w:tcPr>
            <w:tcW w:w="4694" w:type="dxa"/>
          </w:tcPr>
          <w:p w:rsidR="00F36E7F" w:rsidRPr="002A3FAB" w:rsidRDefault="00F36E7F" w:rsidP="00F36E7F">
            <w:pPr>
              <w:keepNext w:val="0"/>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Services enabling cash withdrawals from a payment account and all the operations required for operating a payment account</w:t>
            </w:r>
          </w:p>
        </w:tc>
        <w:tc>
          <w:tcPr>
            <w:tcW w:w="1551" w:type="dxa"/>
          </w:tcPr>
          <w:p w:rsidR="00F36E7F" w:rsidRPr="002A3FAB" w:rsidRDefault="00C16905" w:rsidP="003A4DF5">
            <w:pPr>
              <w:keepLines/>
              <w:spacing w:after="0" w:line="276" w:lineRule="auto"/>
              <w:ind w:left="123" w:right="278"/>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59089252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keepLines/>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t>4c.</w:t>
            </w:r>
          </w:p>
        </w:tc>
        <w:tc>
          <w:tcPr>
            <w:tcW w:w="4694" w:type="dxa"/>
          </w:tcPr>
          <w:p w:rsidR="00F36E7F" w:rsidRPr="002A3FAB" w:rsidRDefault="00F36E7F" w:rsidP="00F36E7F">
            <w:pPr>
              <w:keepNext w:val="0"/>
              <w:keepLines/>
              <w:tabs>
                <w:tab w:val="left" w:pos="3258"/>
              </w:tab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including transfers of funds on a payment account with the user’s payment service provider or with another payment service provider:</w:t>
            </w:r>
          </w:p>
          <w:p w:rsidR="00F36E7F" w:rsidRPr="002A3FAB" w:rsidRDefault="00F36E7F" w:rsidP="00F36E7F">
            <w:pPr>
              <w:pStyle w:val="ListParagraph"/>
              <w:keepLines/>
              <w:numPr>
                <w:ilvl w:val="0"/>
                <w:numId w:val="31"/>
              </w:numPr>
              <w:spacing w:after="0" w:line="276" w:lineRule="auto"/>
              <w:ind w:left="361" w:right="132"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direct debits, including one- off direct debits</w:t>
            </w:r>
          </w:p>
          <w:p w:rsidR="00F36E7F" w:rsidRPr="002A3FAB" w:rsidRDefault="00F36E7F" w:rsidP="00F36E7F">
            <w:pPr>
              <w:pStyle w:val="ListParagraph"/>
              <w:keepLines/>
              <w:numPr>
                <w:ilvl w:val="0"/>
                <w:numId w:val="31"/>
              </w:numPr>
              <w:spacing w:after="0" w:line="276" w:lineRule="auto"/>
              <w:ind w:left="361" w:right="132"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through a payment card or a similar device</w:t>
            </w:r>
          </w:p>
          <w:p w:rsidR="00F36E7F" w:rsidRPr="002A3FAB" w:rsidRDefault="00F36E7F" w:rsidP="00F36E7F">
            <w:pPr>
              <w:pStyle w:val="ListParagraph"/>
              <w:keepLines/>
              <w:numPr>
                <w:ilvl w:val="0"/>
                <w:numId w:val="31"/>
              </w:numPr>
              <w:spacing w:after="0" w:line="276" w:lineRule="auto"/>
              <w:ind w:left="361" w:right="132"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credit transfers, including standing orders</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Default="00F36E7F" w:rsidP="00AC6128">
            <w:pPr>
              <w:spacing w:after="0"/>
              <w:ind w:left="0"/>
              <w:cnfStyle w:val="000000100000" w:firstRow="0" w:lastRow="0" w:firstColumn="0" w:lastColumn="0" w:oddVBand="0" w:evenVBand="0" w:oddHBand="1" w:evenHBand="0" w:firstRowFirstColumn="0" w:firstRowLastColumn="0" w:lastRowFirstColumn="0" w:lastRowLastColumn="0"/>
            </w:pPr>
          </w:p>
          <w:p w:rsidR="00F36E7F" w:rsidRDefault="00F36E7F" w:rsidP="00AC6128">
            <w:pPr>
              <w:ind w:left="0"/>
              <w:cnfStyle w:val="000000100000" w:firstRow="0" w:lastRow="0" w:firstColumn="0" w:lastColumn="0" w:oddVBand="0" w:evenVBand="0" w:oddHBand="1" w:evenHBand="0" w:firstRowFirstColumn="0" w:firstRowLastColumn="0" w:lastRowFirstColumn="0" w:lastRowLastColumn="0"/>
            </w:pPr>
          </w:p>
          <w:p w:rsidR="00F36E7F" w:rsidRDefault="00F36E7F" w:rsidP="00AC6128">
            <w:pPr>
              <w:ind w:left="0"/>
              <w:cnfStyle w:val="000000100000" w:firstRow="0" w:lastRow="0" w:firstColumn="0" w:lastColumn="0" w:oddVBand="0" w:evenVBand="0" w:oddHBand="1" w:evenHBand="0" w:firstRowFirstColumn="0" w:firstRowLastColumn="0" w:lastRowFirstColumn="0" w:lastRowLastColumn="0"/>
            </w:pPr>
          </w:p>
          <w:p w:rsidR="00F36E7F" w:rsidRDefault="00F27791" w:rsidP="00AC6128">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01122681"/>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p w:rsidR="00F36E7F" w:rsidRDefault="00F27791" w:rsidP="00AC6128">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111706854"/>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p w:rsidR="00F36E7F" w:rsidRPr="002A3FAB" w:rsidRDefault="00F27791" w:rsidP="00AC6128">
            <w:pPr>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122299501"/>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4d.</w:t>
            </w:r>
          </w:p>
        </w:tc>
        <w:tc>
          <w:tcPr>
            <w:tcW w:w="4694" w:type="dxa"/>
          </w:tcPr>
          <w:p w:rsidR="00F36E7F" w:rsidRPr="002A3FAB" w:rsidRDefault="00F36E7F" w:rsidP="00F36E7F">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where the funds are covered by a credit line for a payment service user:</w:t>
            </w:r>
          </w:p>
          <w:p w:rsidR="00F36E7F" w:rsidRPr="002A3FAB" w:rsidRDefault="00F36E7F" w:rsidP="00F36E7F">
            <w:pPr>
              <w:pStyle w:val="ListParagraph"/>
              <w:keepNext w:val="0"/>
              <w:keepLines/>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direct debits, including one- off direct debits</w:t>
            </w:r>
          </w:p>
          <w:p w:rsidR="00F36E7F" w:rsidRPr="002A3FAB" w:rsidRDefault="00F36E7F" w:rsidP="00F36E7F">
            <w:pPr>
              <w:pStyle w:val="ListParagraph"/>
              <w:keepNext w:val="0"/>
              <w:keepLines/>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through a payment card or a similar device</w:t>
            </w:r>
          </w:p>
          <w:p w:rsidR="00F36E7F" w:rsidRDefault="00F36E7F" w:rsidP="00F36E7F">
            <w:pPr>
              <w:pStyle w:val="ListParagraph"/>
              <w:keepNext w:val="0"/>
              <w:numPr>
                <w:ilvl w:val="0"/>
                <w:numId w:val="29"/>
              </w:numPr>
              <w:spacing w:after="0" w:line="276" w:lineRule="auto"/>
              <w:ind w:left="361" w:right="132" w:hanging="261"/>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credit transfers, including standing orders</w:t>
            </w:r>
          </w:p>
          <w:p w:rsidR="004055E1" w:rsidRPr="004055E1" w:rsidRDefault="004055E1" w:rsidP="004055E1">
            <w:pPr>
              <w:pStyle w:val="FootnoteText"/>
              <w:spacing w:after="120"/>
              <w:ind w:left="130" w:right="170"/>
              <w:jc w:val="left"/>
              <w:cnfStyle w:val="000000010000" w:firstRow="0" w:lastRow="0" w:firstColumn="0" w:lastColumn="0" w:oddVBand="0" w:evenVBand="0" w:oddHBand="0" w:evenHBand="1" w:firstRowFirstColumn="0" w:firstRowLastColumn="0" w:lastRowFirstColumn="0" w:lastRowLastColumn="0"/>
              <w:rPr>
                <w:color w:val="auto"/>
              </w:rPr>
            </w:pPr>
            <w:r w:rsidRPr="001176CE">
              <w:rPr>
                <w:color w:val="auto"/>
              </w:rPr>
              <w:t>Does the activity referred to in point 4d include the granting of credits in accordance with Article 18(4) of Directive (EU) 2015/2366?</w:t>
            </w:r>
            <w:r>
              <w:rPr>
                <w:color w:val="auto"/>
              </w:rPr>
              <w:t xml:space="preserve"> </w:t>
            </w:r>
            <w:sdt>
              <w:sdtPr>
                <w:rPr>
                  <w:color w:val="auto"/>
                </w:rPr>
                <w:id w:val="73358799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1176CE">
              <w:rPr>
                <w:color w:val="auto"/>
              </w:rPr>
              <w:t xml:space="preserve"> yes </w:t>
            </w:r>
            <w:sdt>
              <w:sdtPr>
                <w:rPr>
                  <w:color w:val="auto"/>
                </w:rPr>
                <w:id w:val="1614322837"/>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1176CE">
              <w:rPr>
                <w:color w:val="auto"/>
              </w:rPr>
              <w:t xml:space="preserve"> no</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Default="00F36E7F" w:rsidP="00AC6128">
            <w:pPr>
              <w:ind w:left="0"/>
              <w:cnfStyle w:val="000000010000" w:firstRow="0" w:lastRow="0" w:firstColumn="0" w:lastColumn="0" w:oddVBand="0" w:evenVBand="0" w:oddHBand="0" w:evenHBand="1" w:firstRowFirstColumn="0" w:firstRowLastColumn="0" w:lastRowFirstColumn="0" w:lastRowLastColumn="0"/>
            </w:pPr>
          </w:p>
          <w:p w:rsidR="00F36E7F" w:rsidRDefault="00F36E7F" w:rsidP="00AC6128">
            <w:pPr>
              <w:ind w:left="0"/>
              <w:cnfStyle w:val="000000010000" w:firstRow="0" w:lastRow="0" w:firstColumn="0" w:lastColumn="0" w:oddVBand="0" w:evenVBand="0" w:oddHBand="0" w:evenHBand="1" w:firstRowFirstColumn="0" w:firstRowLastColumn="0" w:lastRowFirstColumn="0" w:lastRowLastColumn="0"/>
              <w:rPr>
                <w:rFonts w:asciiTheme="minorHAnsi" w:hAnsiTheme="minorHAnsi"/>
              </w:rPr>
            </w:pPr>
          </w:p>
          <w:p w:rsidR="00F36E7F" w:rsidRDefault="00F27791" w:rsidP="00AC6128">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710073988"/>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p w:rsidR="00F36E7F" w:rsidRDefault="00F27791" w:rsidP="00AC6128">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76506365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p w:rsidR="00F36E7F" w:rsidRPr="002A3FAB" w:rsidRDefault="00F27791" w:rsidP="00AC6128">
            <w:pPr>
              <w:spacing w:after="0"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79689800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4e.</w:t>
            </w:r>
          </w:p>
        </w:tc>
        <w:tc>
          <w:tcPr>
            <w:tcW w:w="4694" w:type="dxa"/>
          </w:tcPr>
          <w:p w:rsidR="00F36E7F" w:rsidRPr="002A3FAB" w:rsidRDefault="00F36E7F" w:rsidP="00F36E7F">
            <w:pPr>
              <w:pStyle w:val="ListParagraph"/>
              <w:keepNext w:val="0"/>
              <w:keepLines/>
              <w:numPr>
                <w:ilvl w:val="0"/>
                <w:numId w:val="29"/>
              </w:numPr>
              <w:spacing w:after="0" w:line="276" w:lineRule="auto"/>
              <w:ind w:left="361" w:right="132" w:hanging="261"/>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Issuing of payment instruments</w:t>
            </w:r>
          </w:p>
          <w:p w:rsidR="00F36E7F" w:rsidRDefault="00F36E7F" w:rsidP="00F36E7F">
            <w:pPr>
              <w:pStyle w:val="ListParagraph"/>
              <w:keepNext w:val="0"/>
              <w:numPr>
                <w:ilvl w:val="0"/>
                <w:numId w:val="29"/>
              </w:numPr>
              <w:spacing w:after="0" w:line="276" w:lineRule="auto"/>
              <w:ind w:left="361" w:right="132"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Acquiring of payment transactions</w:t>
            </w:r>
          </w:p>
          <w:p w:rsidR="004055E1" w:rsidRPr="004055E1" w:rsidRDefault="004055E1" w:rsidP="004055E1">
            <w:pPr>
              <w:pStyle w:val="FootnoteText"/>
              <w:spacing w:after="120"/>
              <w:ind w:left="130" w:right="17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202322" w:themeColor="accent4"/>
                <w:szCs w:val="18"/>
              </w:rPr>
            </w:pPr>
            <w:r w:rsidRPr="001176CE">
              <w:rPr>
                <w:color w:val="auto"/>
              </w:rPr>
              <w:t>Does the activity referred to in point 4e include the granting of credit in accordance with Article 18(4) of Directive (EU) 2015/2366?</w:t>
            </w:r>
            <w:r>
              <w:rPr>
                <w:color w:val="auto"/>
              </w:rPr>
              <w:t xml:space="preserve"> </w:t>
            </w:r>
            <w:sdt>
              <w:sdtPr>
                <w:rPr>
                  <w:color w:val="auto"/>
                </w:rPr>
                <w:id w:val="-1784423184"/>
                <w14:checkbox>
                  <w14:checked w14:val="0"/>
                  <w14:checkedState w14:val="2612" w14:font="MS Gothic"/>
                  <w14:uncheckedState w14:val="2610" w14:font="MS Gothic"/>
                </w14:checkbox>
              </w:sdtPr>
              <w:sdtEndPr/>
              <w:sdtContent>
                <w:r w:rsidRPr="004055E1">
                  <w:rPr>
                    <w:rFonts w:ascii="Segoe UI Symbol" w:hAnsi="Segoe UI Symbol" w:cs="Segoe UI Symbol"/>
                    <w:color w:val="auto"/>
                  </w:rPr>
                  <w:t>☐</w:t>
                </w:r>
              </w:sdtContent>
            </w:sdt>
            <w:r w:rsidRPr="001176CE">
              <w:rPr>
                <w:color w:val="auto"/>
              </w:rPr>
              <w:t xml:space="preserve"> yes </w:t>
            </w:r>
            <w:sdt>
              <w:sdtPr>
                <w:rPr>
                  <w:color w:val="auto"/>
                </w:rPr>
                <w:id w:val="1598134386"/>
                <w14:checkbox>
                  <w14:checked w14:val="0"/>
                  <w14:checkedState w14:val="2612" w14:font="MS Gothic"/>
                  <w14:uncheckedState w14:val="2610" w14:font="MS Gothic"/>
                </w14:checkbox>
              </w:sdtPr>
              <w:sdtEndPr/>
              <w:sdtContent>
                <w:r w:rsidRPr="004055E1">
                  <w:rPr>
                    <w:rFonts w:ascii="Segoe UI Symbol" w:hAnsi="Segoe UI Symbol" w:cs="Segoe UI Symbol"/>
                    <w:color w:val="auto"/>
                  </w:rPr>
                  <w:t>☐</w:t>
                </w:r>
              </w:sdtContent>
            </w:sdt>
            <w:r w:rsidRPr="001176CE">
              <w:rPr>
                <w:color w:val="auto"/>
              </w:rPr>
              <w:t xml:space="preserve"> no</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Default="00F27791" w:rsidP="00AC6128">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41737280"/>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p w:rsidR="00F36E7F" w:rsidRPr="002A3FAB" w:rsidRDefault="00F27791" w:rsidP="00AC6128">
            <w:pPr>
              <w:spacing w:after="0" w:line="276" w:lineRule="auto"/>
              <w:ind w:left="0" w:firstLine="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58445313"/>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4f.</w:t>
            </w:r>
          </w:p>
        </w:tc>
        <w:tc>
          <w:tcPr>
            <w:tcW w:w="4694" w:type="dxa"/>
          </w:tcPr>
          <w:p w:rsidR="00F36E7F" w:rsidRPr="002A3FAB" w:rsidRDefault="00F36E7F" w:rsidP="00F36E7F">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Money remittance</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021842354"/>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4g.</w:t>
            </w:r>
          </w:p>
        </w:tc>
        <w:tc>
          <w:tcPr>
            <w:tcW w:w="4694" w:type="dxa"/>
          </w:tcPr>
          <w:p w:rsidR="00F36E7F" w:rsidRPr="002A3FAB" w:rsidRDefault="00F36E7F" w:rsidP="00F36E7F">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Payment initiation services</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62341753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4h.</w:t>
            </w:r>
          </w:p>
        </w:tc>
        <w:tc>
          <w:tcPr>
            <w:tcW w:w="4694" w:type="dxa"/>
          </w:tcPr>
          <w:p w:rsidR="00F36E7F" w:rsidRPr="002A3FAB" w:rsidRDefault="00F36E7F" w:rsidP="00F36E7F">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Account information services</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615176222"/>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5.</w:t>
            </w:r>
          </w:p>
        </w:tc>
        <w:tc>
          <w:tcPr>
            <w:tcW w:w="4694" w:type="dxa"/>
          </w:tcPr>
          <w:p w:rsidR="00F36E7F" w:rsidRPr="002A3FAB" w:rsidRDefault="00F36E7F" w:rsidP="00F36E7F">
            <w:pPr>
              <w:keepNext w:val="0"/>
              <w:keepLines/>
              <w:spacing w:after="0" w:line="276" w:lineRule="auto"/>
              <w:ind w:left="125" w:righ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Issuing and administering other means of payment (e.g. travellers’ cheques and bankers’ drafts) insofar as such activity is not covered by point 4.</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672369060"/>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6.</w:t>
            </w:r>
          </w:p>
        </w:tc>
        <w:tc>
          <w:tcPr>
            <w:tcW w:w="4694" w:type="dxa"/>
          </w:tcPr>
          <w:p w:rsidR="00F36E7F" w:rsidRPr="002A3FAB" w:rsidRDefault="00F36E7F" w:rsidP="00F36E7F">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Guarantees and commitments</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305598709"/>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w:t>
            </w:r>
          </w:p>
        </w:tc>
        <w:tc>
          <w:tcPr>
            <w:tcW w:w="4694" w:type="dxa"/>
          </w:tcPr>
          <w:p w:rsidR="00F36E7F" w:rsidRPr="002A3FAB" w:rsidRDefault="00F36E7F" w:rsidP="00F36E7F">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Trading for own account or for account of customers in any of the following:</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06604432"/>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7a.</w:t>
            </w:r>
          </w:p>
        </w:tc>
        <w:tc>
          <w:tcPr>
            <w:tcW w:w="4694" w:type="dxa"/>
          </w:tcPr>
          <w:p w:rsidR="00F36E7F" w:rsidRPr="002A3FAB" w:rsidRDefault="00F36E7F" w:rsidP="00F36E7F">
            <w:pPr>
              <w:pStyle w:val="ListParagraph"/>
              <w:keepNext w:val="0"/>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Money market instruments (e.g. cheques, bills, certificates of deposits)</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459769298"/>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7b.</w:t>
            </w:r>
          </w:p>
        </w:tc>
        <w:tc>
          <w:tcPr>
            <w:tcW w:w="4694" w:type="dxa"/>
          </w:tcPr>
          <w:p w:rsidR="00F36E7F" w:rsidRPr="002A3FAB" w:rsidRDefault="00F36E7F" w:rsidP="00F36E7F">
            <w:pPr>
              <w:pStyle w:val="ListParagraph"/>
              <w:numPr>
                <w:ilvl w:val="0"/>
                <w:numId w:val="29"/>
              </w:numPr>
              <w:spacing w:after="0" w:line="276" w:lineRule="auto"/>
              <w:ind w:left="361" w:right="132"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Foreign exchange</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33335526"/>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7c.</w:t>
            </w:r>
          </w:p>
        </w:tc>
        <w:tc>
          <w:tcPr>
            <w:tcW w:w="4694" w:type="dxa"/>
          </w:tcPr>
          <w:p w:rsidR="00F36E7F" w:rsidRPr="002A3FAB" w:rsidRDefault="00F36E7F" w:rsidP="00F36E7F">
            <w:pPr>
              <w:pStyle w:val="ListParagraph"/>
              <w:numPr>
                <w:ilvl w:val="0"/>
                <w:numId w:val="29"/>
              </w:numPr>
              <w:spacing w:after="0" w:line="276" w:lineRule="auto"/>
              <w:ind w:left="361" w:right="132"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Financial futures and options</w:t>
            </w:r>
          </w:p>
        </w:tc>
        <w:tc>
          <w:tcPr>
            <w:tcW w:w="1551" w:type="dxa"/>
          </w:tcPr>
          <w:p w:rsidR="00F36E7F"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826564705"/>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F36E7F"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F36E7F" w:rsidRPr="002A3FAB" w:rsidRDefault="00F36E7F" w:rsidP="00F36E7F">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7d.</w:t>
            </w:r>
          </w:p>
        </w:tc>
        <w:tc>
          <w:tcPr>
            <w:tcW w:w="4694" w:type="dxa"/>
          </w:tcPr>
          <w:p w:rsidR="00F36E7F" w:rsidRPr="002A3FAB" w:rsidRDefault="00F36E7F" w:rsidP="00F36E7F">
            <w:pPr>
              <w:pStyle w:val="ListParagraph"/>
              <w:numPr>
                <w:ilvl w:val="0"/>
                <w:numId w:val="29"/>
              </w:numPr>
              <w:spacing w:after="0" w:line="276" w:lineRule="auto"/>
              <w:ind w:left="361" w:right="132"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Exchange and interest-rate instruments</w:t>
            </w:r>
          </w:p>
        </w:tc>
        <w:tc>
          <w:tcPr>
            <w:tcW w:w="1551" w:type="dxa"/>
          </w:tcPr>
          <w:p w:rsidR="00F36E7F" w:rsidRPr="002A3FAB" w:rsidRDefault="00C16905" w:rsidP="003A4DF5">
            <w:pPr>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F36E7F" w:rsidRPr="002A3FAB" w:rsidRDefault="00F27791" w:rsidP="00F36E7F">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888415381"/>
                <w14:checkbox>
                  <w14:checked w14:val="0"/>
                  <w14:checkedState w14:val="2612" w14:font="MS Gothic"/>
                  <w14:uncheckedState w14:val="2610" w14:font="MS Gothic"/>
                </w14:checkbox>
              </w:sdtPr>
              <w:sdtEndPr/>
              <w:sdtContent>
                <w:r w:rsidR="00F36E7F">
                  <w:rPr>
                    <w:rFonts w:ascii="MS Gothic" w:eastAsia="MS Gothic" w:hAnsi="MS Gothic" w:hint="eastAsia"/>
                    <w:szCs w:val="18"/>
                  </w:rPr>
                  <w:t>☐</w:t>
                </w:r>
              </w:sdtContent>
            </w:sdt>
          </w:p>
        </w:tc>
        <w:tc>
          <w:tcPr>
            <w:tcW w:w="1465" w:type="dxa"/>
          </w:tcPr>
          <w:p w:rsidR="00F36E7F" w:rsidRPr="002A3FAB" w:rsidRDefault="00C16905" w:rsidP="003A4DF5">
            <w:pPr>
              <w:spacing w:after="0" w:line="276" w:lineRule="auto"/>
              <w:ind w:left="87"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C16905"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Next w:val="0"/>
              <w:spacing w:after="0" w:line="276" w:lineRule="auto"/>
              <w:ind w:left="0" w:right="144"/>
              <w:rPr>
                <w:rFonts w:asciiTheme="minorHAnsi" w:hAnsiTheme="minorHAnsi"/>
                <w:b w:val="0"/>
                <w:szCs w:val="18"/>
              </w:rPr>
            </w:pPr>
            <w:r w:rsidRPr="002A3FAB">
              <w:rPr>
                <w:rFonts w:asciiTheme="minorHAnsi" w:hAnsiTheme="minorHAnsi"/>
                <w:b w:val="0"/>
                <w:szCs w:val="18"/>
              </w:rPr>
              <w:lastRenderedPageBreak/>
              <w:t>7e.</w:t>
            </w:r>
          </w:p>
        </w:tc>
        <w:tc>
          <w:tcPr>
            <w:tcW w:w="4694" w:type="dxa"/>
          </w:tcPr>
          <w:p w:rsidR="00C16905" w:rsidRPr="002A3FAB" w:rsidRDefault="00C16905" w:rsidP="00C16905">
            <w:pPr>
              <w:pStyle w:val="ListParagraph"/>
              <w:numPr>
                <w:ilvl w:val="0"/>
                <w:numId w:val="29"/>
              </w:numPr>
              <w:spacing w:after="0" w:line="276" w:lineRule="auto"/>
              <w:ind w:left="361" w:right="132"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Transferable securities</w:t>
            </w:r>
          </w:p>
        </w:tc>
        <w:tc>
          <w:tcPr>
            <w:tcW w:w="1551" w:type="dxa"/>
          </w:tcPr>
          <w:p w:rsidR="00C16905" w:rsidRPr="002A3FAB" w:rsidRDefault="00C16905" w:rsidP="003A4DF5">
            <w:pPr>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62537916"/>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010000" w:firstRow="0" w:lastRow="0" w:firstColumn="0" w:lastColumn="0" w:oddVBand="0" w:evenVBand="0" w:oddHBand="0" w:evenHBand="1"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8.</w:t>
            </w:r>
          </w:p>
        </w:tc>
        <w:tc>
          <w:tcPr>
            <w:tcW w:w="4694" w:type="dxa"/>
          </w:tcPr>
          <w:p w:rsidR="00C16905" w:rsidRPr="002A3FAB" w:rsidRDefault="00C16905" w:rsidP="00C16905">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Participation in securities issues and the provision of services related to such issues</w:t>
            </w:r>
          </w:p>
        </w:tc>
        <w:tc>
          <w:tcPr>
            <w:tcW w:w="1551" w:type="dxa"/>
          </w:tcPr>
          <w:p w:rsidR="00C16905" w:rsidRPr="002A3FAB" w:rsidRDefault="00C16905" w:rsidP="003A4DF5">
            <w:pPr>
              <w:keepLines/>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15096762"/>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100000" w:firstRow="0" w:lastRow="0" w:firstColumn="0" w:lastColumn="0" w:oddVBand="0" w:evenVBand="0" w:oddHBand="1" w:evenHBand="0"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9.</w:t>
            </w:r>
          </w:p>
        </w:tc>
        <w:tc>
          <w:tcPr>
            <w:tcW w:w="4694" w:type="dxa"/>
          </w:tcPr>
          <w:p w:rsidR="00C16905" w:rsidRPr="002A3FAB" w:rsidRDefault="00C16905" w:rsidP="00C1690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Advice to undertakings on capital structure, industrial strategy, and related questions and advice as well as services relating to mergers and the purchase of undertakings</w:t>
            </w:r>
          </w:p>
        </w:tc>
        <w:tc>
          <w:tcPr>
            <w:tcW w:w="1551" w:type="dxa"/>
          </w:tcPr>
          <w:p w:rsidR="00C16905" w:rsidRPr="002A3FAB"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588609722"/>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010000" w:firstRow="0" w:lastRow="0" w:firstColumn="0" w:lastColumn="0" w:oddVBand="0" w:evenVBand="0" w:oddHBand="0" w:evenHBand="1"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10.</w:t>
            </w:r>
          </w:p>
        </w:tc>
        <w:tc>
          <w:tcPr>
            <w:tcW w:w="4694" w:type="dxa"/>
          </w:tcPr>
          <w:p w:rsidR="00C16905" w:rsidRPr="002A3FAB" w:rsidRDefault="00C16905" w:rsidP="00C1690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Money broking</w:t>
            </w:r>
          </w:p>
        </w:tc>
        <w:tc>
          <w:tcPr>
            <w:tcW w:w="1551" w:type="dxa"/>
          </w:tcPr>
          <w:p w:rsidR="00C16905" w:rsidRPr="003A4DF5" w:rsidRDefault="00C16905" w:rsidP="003A4DF5">
            <w:pPr>
              <w:keepNext w:val="0"/>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895950722"/>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100000" w:firstRow="0" w:lastRow="0" w:firstColumn="0" w:lastColumn="0" w:oddVBand="0" w:evenVBand="0" w:oddHBand="1" w:evenHBand="0"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11.</w:t>
            </w:r>
          </w:p>
        </w:tc>
        <w:tc>
          <w:tcPr>
            <w:tcW w:w="4694" w:type="dxa"/>
          </w:tcPr>
          <w:p w:rsidR="00C16905" w:rsidRPr="002A3FAB" w:rsidRDefault="00C16905" w:rsidP="00C1690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Portfolio management and advice</w:t>
            </w:r>
          </w:p>
        </w:tc>
        <w:tc>
          <w:tcPr>
            <w:tcW w:w="1551" w:type="dxa"/>
          </w:tcPr>
          <w:p w:rsidR="00C16905" w:rsidRPr="003A4DF5"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658886297"/>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010000" w:firstRow="0" w:lastRow="0" w:firstColumn="0" w:lastColumn="0" w:oddVBand="0" w:evenVBand="0" w:oddHBand="0" w:evenHBand="1"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12.</w:t>
            </w:r>
          </w:p>
        </w:tc>
        <w:tc>
          <w:tcPr>
            <w:tcW w:w="4694" w:type="dxa"/>
          </w:tcPr>
          <w:p w:rsidR="00C16905" w:rsidRPr="002A3FAB" w:rsidRDefault="00C16905" w:rsidP="00C16905">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Safekeeping and administration of securities</w:t>
            </w:r>
          </w:p>
        </w:tc>
        <w:tc>
          <w:tcPr>
            <w:tcW w:w="1551" w:type="dxa"/>
          </w:tcPr>
          <w:p w:rsidR="00C16905" w:rsidRPr="003A4DF5" w:rsidRDefault="00C16905" w:rsidP="003A4DF5">
            <w:pPr>
              <w:keepNext w:val="0"/>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608012042"/>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100000" w:firstRow="0" w:lastRow="0" w:firstColumn="0" w:lastColumn="0" w:oddVBand="0" w:evenVBand="0" w:oddHBand="1" w:evenHBand="0"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13.</w:t>
            </w:r>
          </w:p>
        </w:tc>
        <w:tc>
          <w:tcPr>
            <w:tcW w:w="4694" w:type="dxa"/>
          </w:tcPr>
          <w:p w:rsidR="00C16905" w:rsidRPr="002A3FAB" w:rsidRDefault="00C16905" w:rsidP="00C1690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Credit reference services</w:t>
            </w:r>
          </w:p>
        </w:tc>
        <w:tc>
          <w:tcPr>
            <w:tcW w:w="1551" w:type="dxa"/>
          </w:tcPr>
          <w:p w:rsidR="00C16905" w:rsidRPr="003A4DF5"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tc>
          <w:tcPr>
            <w:tcW w:w="1324" w:type="dxa"/>
          </w:tcPr>
          <w:p w:rsidR="00C16905" w:rsidRPr="002A3FAB" w:rsidRDefault="00F27791" w:rsidP="00C1690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81127475"/>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010000" w:firstRow="0" w:lastRow="0" w:firstColumn="0" w:lastColumn="0" w:oddVBand="0" w:evenVBand="0" w:oddHBand="0" w:evenHBand="1"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14.</w:t>
            </w:r>
          </w:p>
        </w:tc>
        <w:tc>
          <w:tcPr>
            <w:tcW w:w="4694" w:type="dxa"/>
          </w:tcPr>
          <w:p w:rsidR="00C16905" w:rsidRPr="002A3FAB" w:rsidRDefault="00C16905" w:rsidP="00C16905">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Safe custody services</w:t>
            </w:r>
          </w:p>
        </w:tc>
        <w:tc>
          <w:tcPr>
            <w:tcW w:w="1551" w:type="dxa"/>
          </w:tcPr>
          <w:p w:rsidR="00C16905" w:rsidRPr="003A4DF5" w:rsidRDefault="00C16905" w:rsidP="003A4DF5">
            <w:pPr>
              <w:keepNext w:val="0"/>
              <w:spacing w:after="0" w:line="276" w:lineRule="auto"/>
              <w:ind w:left="123" w:right="279"/>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bookmarkStart w:id="4" w:name="_Hlk100060905"/>
        <w:tc>
          <w:tcPr>
            <w:tcW w:w="1324" w:type="dxa"/>
          </w:tcPr>
          <w:p w:rsidR="00C16905" w:rsidRPr="002A3FAB" w:rsidRDefault="00F27791" w:rsidP="00C1690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273174075"/>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bookmarkEnd w:id="4"/>
          </w:p>
        </w:tc>
        <w:tc>
          <w:tcPr>
            <w:tcW w:w="1465" w:type="dxa"/>
          </w:tcPr>
          <w:p w:rsidR="00C16905" w:rsidRDefault="00C16905" w:rsidP="003A4DF5">
            <w:pPr>
              <w:jc w:val="left"/>
              <w:cnfStyle w:val="000000100000" w:firstRow="0" w:lastRow="0" w:firstColumn="0" w:lastColumn="0" w:oddVBand="0" w:evenVBand="0" w:oddHBand="1" w:evenHBand="0"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r w:rsidR="00C16905" w:rsidRPr="002A3FAB" w:rsidTr="00C169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rsidR="00C16905" w:rsidRPr="002A3FAB" w:rsidRDefault="00C16905" w:rsidP="00C16905">
            <w:pPr>
              <w:keepLines/>
              <w:spacing w:after="0" w:line="276" w:lineRule="auto"/>
              <w:ind w:left="0" w:right="144"/>
              <w:rPr>
                <w:rFonts w:asciiTheme="minorHAnsi" w:hAnsiTheme="minorHAnsi"/>
                <w:b w:val="0"/>
                <w:szCs w:val="18"/>
              </w:rPr>
            </w:pPr>
            <w:r w:rsidRPr="002A3FAB">
              <w:rPr>
                <w:rFonts w:asciiTheme="minorHAnsi" w:hAnsiTheme="minorHAnsi"/>
                <w:b w:val="0"/>
                <w:szCs w:val="18"/>
              </w:rPr>
              <w:t>15.</w:t>
            </w:r>
          </w:p>
        </w:tc>
        <w:tc>
          <w:tcPr>
            <w:tcW w:w="4694" w:type="dxa"/>
          </w:tcPr>
          <w:p w:rsidR="00C16905" w:rsidRPr="002A3FAB" w:rsidRDefault="00C16905" w:rsidP="00C1690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Issuing electronic money</w:t>
            </w:r>
          </w:p>
        </w:tc>
        <w:tc>
          <w:tcPr>
            <w:tcW w:w="1551" w:type="dxa"/>
          </w:tcPr>
          <w:p w:rsidR="00C16905" w:rsidRPr="003A4DF5" w:rsidRDefault="00C16905" w:rsidP="003A4DF5">
            <w:pPr>
              <w:keepNext w:val="0"/>
              <w:spacing w:after="0" w:line="276" w:lineRule="auto"/>
              <w:ind w:left="123" w:right="279"/>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noProof/>
                <w:szCs w:val="20"/>
              </w:rPr>
            </w:pPr>
            <w:r w:rsidRPr="00BE7715">
              <w:rPr>
                <w:rFonts w:asciiTheme="minorHAnsi" w:hAnsiTheme="minorHAnsi" w:cs="Arial"/>
                <w:noProof/>
                <w:szCs w:val="20"/>
              </w:rPr>
              <w:fldChar w:fldCharType="begin">
                <w:ffData>
                  <w:name w:val="Text1"/>
                  <w:enabled/>
                  <w:calcOnExit w:val="0"/>
                  <w:textInput/>
                </w:ffData>
              </w:fldChar>
            </w:r>
            <w:r w:rsidRPr="00BE7715">
              <w:rPr>
                <w:rFonts w:asciiTheme="minorHAnsi" w:hAnsiTheme="minorHAnsi" w:cs="Arial"/>
                <w:noProof/>
                <w:szCs w:val="20"/>
              </w:rPr>
              <w:instrText xml:space="preserve"> FORMTEXT </w:instrText>
            </w:r>
            <w:r w:rsidRPr="00BE7715">
              <w:rPr>
                <w:rFonts w:asciiTheme="minorHAnsi" w:hAnsiTheme="minorHAnsi" w:cs="Arial"/>
                <w:noProof/>
                <w:szCs w:val="20"/>
              </w:rPr>
            </w:r>
            <w:r w:rsidRPr="00BE7715">
              <w:rPr>
                <w:rFonts w:asciiTheme="minorHAnsi" w:hAnsiTheme="minorHAnsi" w:cs="Arial"/>
                <w:noProof/>
                <w:szCs w:val="20"/>
              </w:rPr>
              <w:fldChar w:fldCharType="separate"/>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t> </w:t>
            </w:r>
            <w:r w:rsidRPr="00BE7715">
              <w:rPr>
                <w:rFonts w:asciiTheme="minorHAnsi" w:hAnsiTheme="minorHAnsi" w:cs="Arial"/>
                <w:noProof/>
                <w:szCs w:val="20"/>
              </w:rPr>
              <w:fldChar w:fldCharType="end"/>
            </w:r>
          </w:p>
        </w:tc>
        <w:tc>
          <w:tcPr>
            <w:tcW w:w="1324" w:type="dxa"/>
          </w:tcPr>
          <w:p w:rsidR="00C16905" w:rsidRPr="002A3FAB" w:rsidRDefault="00F27791" w:rsidP="00C16905">
            <w:pPr>
              <w:keepLines/>
              <w:spacing w:after="0" w:line="276" w:lineRule="auto"/>
              <w:ind w:left="247" w:right="27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855951960"/>
                <w14:checkbox>
                  <w14:checked w14:val="0"/>
                  <w14:checkedState w14:val="2612" w14:font="MS Gothic"/>
                  <w14:uncheckedState w14:val="2610" w14:font="MS Gothic"/>
                </w14:checkbox>
              </w:sdtPr>
              <w:sdtEndPr/>
              <w:sdtContent>
                <w:r w:rsidR="00C16905">
                  <w:rPr>
                    <w:rFonts w:ascii="MS Gothic" w:eastAsia="MS Gothic" w:hAnsi="MS Gothic" w:hint="eastAsia"/>
                    <w:szCs w:val="18"/>
                  </w:rPr>
                  <w:t>☐</w:t>
                </w:r>
              </w:sdtContent>
            </w:sdt>
          </w:p>
        </w:tc>
        <w:tc>
          <w:tcPr>
            <w:tcW w:w="1465" w:type="dxa"/>
          </w:tcPr>
          <w:p w:rsidR="00C16905" w:rsidRDefault="00C16905" w:rsidP="003A4DF5">
            <w:pPr>
              <w:jc w:val="left"/>
              <w:cnfStyle w:val="000000010000" w:firstRow="0" w:lastRow="0" w:firstColumn="0" w:lastColumn="0" w:oddVBand="0" w:evenVBand="0" w:oddHBand="0" w:evenHBand="1" w:firstRowFirstColumn="0" w:firstRowLastColumn="0" w:lastRowFirstColumn="0" w:lastRowLastColumn="0"/>
            </w:pPr>
            <w:r w:rsidRPr="00F335D8">
              <w:rPr>
                <w:rFonts w:asciiTheme="minorHAnsi" w:hAnsiTheme="minorHAnsi" w:cs="Arial"/>
                <w:noProof/>
                <w:szCs w:val="20"/>
              </w:rPr>
              <w:fldChar w:fldCharType="begin">
                <w:ffData>
                  <w:name w:val="Text1"/>
                  <w:enabled/>
                  <w:calcOnExit w:val="0"/>
                  <w:textInput/>
                </w:ffData>
              </w:fldChar>
            </w:r>
            <w:r w:rsidRPr="00F335D8">
              <w:rPr>
                <w:rFonts w:asciiTheme="minorHAnsi" w:hAnsiTheme="minorHAnsi" w:cs="Arial"/>
                <w:noProof/>
                <w:szCs w:val="20"/>
              </w:rPr>
              <w:instrText xml:space="preserve"> FORMTEXT </w:instrText>
            </w:r>
            <w:r w:rsidRPr="00F335D8">
              <w:rPr>
                <w:rFonts w:asciiTheme="minorHAnsi" w:hAnsiTheme="minorHAnsi" w:cs="Arial"/>
                <w:noProof/>
                <w:szCs w:val="20"/>
              </w:rPr>
            </w:r>
            <w:r w:rsidRPr="00F335D8">
              <w:rPr>
                <w:rFonts w:asciiTheme="minorHAnsi" w:hAnsiTheme="minorHAnsi" w:cs="Arial"/>
                <w:noProof/>
                <w:szCs w:val="20"/>
              </w:rPr>
              <w:fldChar w:fldCharType="separate"/>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t> </w:t>
            </w:r>
            <w:r w:rsidRPr="00F335D8">
              <w:rPr>
                <w:rFonts w:asciiTheme="minorHAnsi" w:hAnsiTheme="minorHAnsi" w:cs="Arial"/>
                <w:noProof/>
                <w:szCs w:val="20"/>
              </w:rPr>
              <w:fldChar w:fldCharType="end"/>
            </w:r>
          </w:p>
        </w:tc>
      </w:tr>
    </w:tbl>
    <w:p w:rsidR="00B91D09" w:rsidRPr="00B91D09" w:rsidRDefault="00B91D09" w:rsidP="00B91D09"/>
    <w:p w:rsidR="00220761" w:rsidRDefault="00D27BE4" w:rsidP="00220761">
      <w:pPr>
        <w:pStyle w:val="Heading3"/>
      </w:pPr>
      <w:r w:rsidRPr="00D27BE4">
        <w:t xml:space="preserve">List of the services and activities that the credit institution intends to carry out in the host Member State, and which are provided for in Sections A and B of Annex I to Directive 2014/65/EU of the European Parliament and of the </w:t>
      </w:r>
      <w:r w:rsidR="00CB4004" w:rsidRPr="00E21D7E">
        <w:t>Council</w:t>
      </w:r>
      <w:r w:rsidR="00CF7E9A" w:rsidRPr="00CF7E9A">
        <w:rPr>
          <w:rStyle w:val="FootnoteReference"/>
          <w:color w:val="auto"/>
          <w:sz w:val="20"/>
        </w:rPr>
        <w:footnoteReference w:id="3"/>
      </w:r>
      <w:r w:rsidR="00CB4004" w:rsidRPr="00E21D7E">
        <w:t xml:space="preserve"> , when referring to the financial instruments provided for in Section C of Annex I of that Directive.</w:t>
      </w:r>
      <w:r>
        <w:t xml:space="preserve"> </w:t>
      </w:r>
    </w:p>
    <w:p w:rsidR="00055E0C" w:rsidRPr="00055E0C" w:rsidRDefault="00055E0C" w:rsidP="00055E0C">
      <w:pPr>
        <w:pStyle w:val="Normal3"/>
        <w:ind w:left="1418"/>
        <w:rPr>
          <w:i/>
          <w:sz w:val="15"/>
          <w:szCs w:val="15"/>
        </w:rPr>
      </w:pPr>
      <w:r w:rsidRPr="00055E0C">
        <w:rPr>
          <w:i/>
          <w:sz w:val="15"/>
          <w:szCs w:val="15"/>
        </w:rPr>
        <w:t>Row and column headings are references to the relevant section and item numbers in Annex I to Directive 2014/65/EU (e.g. A1 refers to point 1 of Section A of Annex I).</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single" w:sz="2" w:space="0" w:color="E7E9E8" w:themeColor="accent4" w:themeTint="1A"/>
        </w:tblBorders>
        <w:tblLayout w:type="fixed"/>
        <w:tblCellMar>
          <w:left w:w="6" w:type="dxa"/>
          <w:right w:w="0" w:type="dxa"/>
        </w:tblCellMar>
        <w:tblLook w:val="04A0" w:firstRow="1" w:lastRow="0" w:firstColumn="1" w:lastColumn="0" w:noHBand="0" w:noVBand="1"/>
      </w:tblPr>
      <w:tblGrid>
        <w:gridCol w:w="1457"/>
        <w:gridCol w:w="510"/>
        <w:gridCol w:w="510"/>
        <w:gridCol w:w="510"/>
        <w:gridCol w:w="510"/>
        <w:gridCol w:w="510"/>
        <w:gridCol w:w="510"/>
        <w:gridCol w:w="510"/>
        <w:gridCol w:w="510"/>
        <w:gridCol w:w="559"/>
        <w:gridCol w:w="461"/>
        <w:gridCol w:w="510"/>
        <w:gridCol w:w="510"/>
        <w:gridCol w:w="510"/>
        <w:gridCol w:w="510"/>
        <w:gridCol w:w="510"/>
        <w:gridCol w:w="533"/>
      </w:tblGrid>
      <w:tr w:rsidR="00B91D09" w:rsidRPr="00723A13" w:rsidTr="00F83534">
        <w:tc>
          <w:tcPr>
            <w:tcW w:w="1457" w:type="dxa"/>
            <w:vMerge w:val="restart"/>
            <w:tcBorders>
              <w:right w:val="single" w:sz="4" w:space="0" w:color="8F8174" w:themeColor="background2" w:themeShade="BF"/>
            </w:tcBorders>
          </w:tcPr>
          <w:p w:rsidR="00B91D09" w:rsidRPr="00723A13" w:rsidRDefault="00B91D09" w:rsidP="000E7D35">
            <w:pPr>
              <w:spacing w:beforeLines="60" w:before="144" w:afterLines="60" w:after="144" w:line="240" w:lineRule="auto"/>
              <w:ind w:left="0" w:right="279"/>
              <w:jc w:val="center"/>
              <w:rPr>
                <w:rFonts w:asciiTheme="minorHAnsi" w:hAnsiTheme="minorHAnsi" w:cs="Arial"/>
                <w:b/>
                <w:sz w:val="16"/>
                <w:szCs w:val="16"/>
              </w:rPr>
            </w:pPr>
            <w:r w:rsidRPr="00991F97">
              <w:rPr>
                <w:rFonts w:asciiTheme="minorHAnsi" w:hAnsiTheme="minorHAnsi" w:cs="Arial"/>
                <w:b/>
                <w:color w:val="115E67" w:themeColor="accent6"/>
                <w:sz w:val="16"/>
                <w:szCs w:val="16"/>
              </w:rPr>
              <w:t>Financial instruments</w:t>
            </w:r>
          </w:p>
        </w:tc>
        <w:tc>
          <w:tcPr>
            <w:tcW w:w="4639" w:type="dxa"/>
            <w:gridSpan w:val="9"/>
            <w:tcBorders>
              <w:left w:val="single" w:sz="4" w:space="0" w:color="8F8174" w:themeColor="background2" w:themeShade="BF"/>
              <w:bottom w:val="single" w:sz="4" w:space="0" w:color="B6ADA5" w:themeColor="background2"/>
              <w:right w:val="single" w:sz="4" w:space="0" w:color="8F8174" w:themeColor="background2" w:themeShade="BF"/>
            </w:tcBorders>
            <w:vAlign w:val="center"/>
          </w:tcPr>
          <w:p w:rsidR="00B91D09" w:rsidRPr="00991F97" w:rsidRDefault="00B91D09" w:rsidP="00723A13">
            <w:pPr>
              <w:spacing w:beforeLines="60" w:before="144" w:afterLines="60" w:after="144" w:line="240" w:lineRule="auto"/>
              <w:ind w:left="0" w:right="279"/>
              <w:jc w:val="center"/>
              <w:rPr>
                <w:rFonts w:asciiTheme="minorHAnsi" w:hAnsiTheme="minorHAnsi" w:cs="Arial"/>
                <w:b/>
                <w:color w:val="115E67" w:themeColor="accent6"/>
                <w:sz w:val="16"/>
                <w:szCs w:val="16"/>
              </w:rPr>
            </w:pPr>
            <w:r w:rsidRPr="00991F97">
              <w:rPr>
                <w:rFonts w:asciiTheme="minorHAnsi" w:hAnsiTheme="minorHAnsi" w:cs="Arial"/>
                <w:b/>
                <w:color w:val="115E67" w:themeColor="accent6"/>
                <w:sz w:val="16"/>
                <w:szCs w:val="16"/>
              </w:rPr>
              <w:t>Investment services and activities</w:t>
            </w:r>
          </w:p>
        </w:tc>
        <w:tc>
          <w:tcPr>
            <w:tcW w:w="3544" w:type="dxa"/>
            <w:gridSpan w:val="7"/>
            <w:tcBorders>
              <w:left w:val="single" w:sz="4" w:space="0" w:color="8F8174" w:themeColor="background2" w:themeShade="BF"/>
              <w:bottom w:val="single" w:sz="4" w:space="0" w:color="B6ADA5" w:themeColor="background2"/>
            </w:tcBorders>
            <w:vAlign w:val="center"/>
          </w:tcPr>
          <w:p w:rsidR="00B91D09" w:rsidRPr="00991F97" w:rsidRDefault="00B91D09" w:rsidP="00723A13">
            <w:pPr>
              <w:spacing w:beforeLines="60" w:before="144" w:afterLines="60" w:after="144" w:line="240" w:lineRule="auto"/>
              <w:ind w:left="0" w:right="279"/>
              <w:jc w:val="center"/>
              <w:rPr>
                <w:rFonts w:asciiTheme="minorHAnsi" w:hAnsiTheme="minorHAnsi" w:cs="Arial"/>
                <w:b/>
                <w:color w:val="115E67" w:themeColor="accent6"/>
                <w:sz w:val="16"/>
                <w:szCs w:val="16"/>
              </w:rPr>
            </w:pPr>
            <w:r w:rsidRPr="00991F97">
              <w:rPr>
                <w:rFonts w:asciiTheme="minorHAnsi" w:hAnsiTheme="minorHAnsi" w:cs="Arial"/>
                <w:b/>
                <w:color w:val="115E67" w:themeColor="accent6"/>
                <w:sz w:val="16"/>
                <w:szCs w:val="16"/>
              </w:rPr>
              <w:t>Ancillary services</w:t>
            </w:r>
          </w:p>
        </w:tc>
      </w:tr>
      <w:tr w:rsidR="00F83534" w:rsidRPr="00723A13" w:rsidTr="00B20B7A">
        <w:trPr>
          <w:trHeight w:val="394"/>
        </w:trPr>
        <w:tc>
          <w:tcPr>
            <w:tcW w:w="1457" w:type="dxa"/>
            <w:vMerge/>
            <w:tcBorders>
              <w:bottom w:val="single" w:sz="4" w:space="0" w:color="8F8174" w:themeColor="background2" w:themeShade="BF"/>
              <w:right w:val="single" w:sz="4" w:space="0" w:color="8F8174" w:themeColor="background2" w:themeShade="BF"/>
            </w:tcBorders>
            <w:shd w:val="clear" w:color="auto" w:fill="D0D3D3" w:themeFill="accent2"/>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p>
        </w:tc>
        <w:tc>
          <w:tcPr>
            <w:tcW w:w="510" w:type="dxa"/>
            <w:tcBorders>
              <w:top w:val="single" w:sz="4" w:space="0" w:color="B6ADA5" w:themeColor="background2"/>
              <w:left w:val="single" w:sz="4" w:space="0" w:color="8F8174" w:themeColor="background2" w:themeShade="BF"/>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A1</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A2</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A3</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A4</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A5</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A6</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A7</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A8</w:t>
            </w:r>
          </w:p>
        </w:tc>
        <w:tc>
          <w:tcPr>
            <w:tcW w:w="559" w:type="dxa"/>
            <w:tcBorders>
              <w:top w:val="single" w:sz="4" w:space="0" w:color="B6ADA5" w:themeColor="background2"/>
              <w:left w:val="single" w:sz="4" w:space="0" w:color="B6ADA5" w:themeColor="background2"/>
              <w:bottom w:val="single" w:sz="4" w:space="0" w:color="8F8174" w:themeColor="background2" w:themeShade="BF"/>
              <w:right w:val="single" w:sz="4" w:space="0" w:color="8F8174" w:themeColor="background2" w:themeShade="BF"/>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A9</w:t>
            </w:r>
          </w:p>
        </w:tc>
        <w:tc>
          <w:tcPr>
            <w:tcW w:w="461" w:type="dxa"/>
            <w:tcBorders>
              <w:top w:val="single" w:sz="4" w:space="0" w:color="B6ADA5" w:themeColor="background2"/>
              <w:left w:val="single" w:sz="4" w:space="0" w:color="8F8174" w:themeColor="background2" w:themeShade="BF"/>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B1</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B2</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B3</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B4</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B5</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B6</w:t>
            </w:r>
          </w:p>
        </w:tc>
        <w:tc>
          <w:tcPr>
            <w:tcW w:w="533" w:type="dxa"/>
            <w:tcBorders>
              <w:top w:val="single" w:sz="4" w:space="0" w:color="B6ADA5" w:themeColor="background2"/>
              <w:left w:val="single" w:sz="4" w:space="0" w:color="B6ADA5" w:themeColor="background2"/>
              <w:bottom w:val="single" w:sz="4" w:space="0" w:color="8F8174" w:themeColor="background2" w:themeShade="BF"/>
              <w:right w:val="single" w:sz="4" w:space="0" w:color="99A0A0" w:themeColor="accent2" w:themeShade="BF"/>
            </w:tcBorders>
            <w:shd w:val="clear" w:color="auto" w:fill="7FA9AE" w:themeFill="background1"/>
            <w:vAlign w:val="center"/>
          </w:tcPr>
          <w:p w:rsidR="00B91D09" w:rsidRPr="00723A13" w:rsidRDefault="00B91D09" w:rsidP="001A4E5D">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B7</w:t>
            </w:r>
          </w:p>
        </w:tc>
      </w:tr>
      <w:tr w:rsidR="00FC1259" w:rsidRPr="00723A13" w:rsidTr="00F83534">
        <w:trPr>
          <w:trHeight w:val="394"/>
        </w:trPr>
        <w:tc>
          <w:tcPr>
            <w:tcW w:w="1457" w:type="dxa"/>
            <w:tcBorders>
              <w:top w:val="single" w:sz="4" w:space="0" w:color="8F8174" w:themeColor="background2" w:themeShade="BF"/>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sidRPr="00723A13">
              <w:rPr>
                <w:rFonts w:asciiTheme="minorHAnsi" w:hAnsiTheme="minorHAnsi" w:cs="Arial"/>
                <w:b/>
                <w:sz w:val="16"/>
                <w:szCs w:val="16"/>
              </w:rPr>
              <w:t>C1</w:t>
            </w:r>
          </w:p>
        </w:tc>
        <w:sdt>
          <w:sdtPr>
            <w:rPr>
              <w:rFonts w:asciiTheme="minorHAnsi" w:hAnsiTheme="minorHAnsi" w:cs="Arial"/>
              <w:b/>
              <w:sz w:val="16"/>
              <w:szCs w:val="16"/>
            </w:rPr>
            <w:id w:val="-92611189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8F8174" w:themeColor="background2" w:themeShade="BF"/>
                  <w:right w:val="single" w:sz="4" w:space="0" w:color="B6ADA5" w:themeColor="background2"/>
                </w:tcBorders>
              </w:tcPr>
              <w:p w:rsidR="0082715F" w:rsidRPr="00723A13" w:rsidRDefault="00055E0C"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60030313"/>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79171336"/>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B91D09"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24408973"/>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66315761"/>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7824735"/>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550815"/>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2438644"/>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4830460"/>
            <w14:checkbox>
              <w14:checked w14:val="0"/>
              <w14:checkedState w14:val="2612" w14:font="MS Gothic"/>
              <w14:uncheckedState w14:val="2610" w14:font="MS Gothic"/>
            </w14:checkbox>
          </w:sdtPr>
          <w:sdtEndPr/>
          <w:sdtContent>
            <w:tc>
              <w:tcPr>
                <w:tcW w:w="559" w:type="dxa"/>
                <w:tcBorders>
                  <w:top w:val="single" w:sz="4" w:space="0" w:color="8F8174" w:themeColor="background2" w:themeShade="BF"/>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58038092"/>
            <w14:checkbox>
              <w14:checked w14:val="0"/>
              <w14:checkedState w14:val="2612" w14:font="MS Gothic"/>
              <w14:uncheckedState w14:val="2610" w14:font="MS Gothic"/>
            </w14:checkbox>
          </w:sdtPr>
          <w:sdtEndPr/>
          <w:sdtContent>
            <w:tc>
              <w:tcPr>
                <w:tcW w:w="461" w:type="dxa"/>
                <w:tcBorders>
                  <w:top w:val="single" w:sz="4" w:space="0" w:color="8F8174" w:themeColor="background2" w:themeShade="BF"/>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41526204"/>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50741339"/>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6392205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6205534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7516708"/>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1724960"/>
            <w14:checkbox>
              <w14:checked w14:val="0"/>
              <w14:checkedState w14:val="2612" w14:font="MS Gothic"/>
              <w14:uncheckedState w14:val="2610" w14:font="MS Gothic"/>
            </w14:checkbox>
          </w:sdtPr>
          <w:sdtEndPr/>
          <w:sdtContent>
            <w:tc>
              <w:tcPr>
                <w:tcW w:w="533" w:type="dxa"/>
                <w:tcBorders>
                  <w:top w:val="single" w:sz="4" w:space="0" w:color="8F8174" w:themeColor="background2" w:themeShade="BF"/>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A4442F">
        <w:trPr>
          <w:trHeight w:val="394"/>
        </w:trPr>
        <w:tc>
          <w:tcPr>
            <w:tcW w:w="1457" w:type="dxa"/>
            <w:tcBorders>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C2</w:t>
            </w:r>
          </w:p>
        </w:tc>
        <w:sdt>
          <w:sdtPr>
            <w:rPr>
              <w:rFonts w:asciiTheme="minorHAnsi" w:hAnsiTheme="minorHAnsi" w:cs="Arial"/>
              <w:b/>
              <w:sz w:val="16"/>
              <w:szCs w:val="16"/>
            </w:rPr>
            <w:id w:val="-10950574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6000765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47767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3940548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4319530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964569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292A3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941014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046048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8709168"/>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192477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2665585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953020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506824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505082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205592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76098372"/>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FC1259">
        <w:trPr>
          <w:trHeight w:val="394"/>
        </w:trPr>
        <w:tc>
          <w:tcPr>
            <w:tcW w:w="1457" w:type="dxa"/>
            <w:tcBorders>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C3</w:t>
            </w:r>
          </w:p>
        </w:tc>
        <w:sdt>
          <w:sdtPr>
            <w:rPr>
              <w:rFonts w:asciiTheme="minorHAnsi" w:hAnsiTheme="minorHAnsi" w:cs="Arial"/>
              <w:b/>
              <w:sz w:val="16"/>
              <w:szCs w:val="16"/>
            </w:rPr>
            <w:id w:val="-201098065"/>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82715F" w:rsidRPr="00723A13" w:rsidRDefault="00E965AE"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8929828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671867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939892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9926715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776039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3935035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6013295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84680454"/>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006544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9110607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9885787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7917937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508431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033792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44243403"/>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A4442F">
        <w:trPr>
          <w:trHeight w:val="394"/>
        </w:trPr>
        <w:tc>
          <w:tcPr>
            <w:tcW w:w="1457" w:type="dxa"/>
            <w:tcBorders>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C4</w:t>
            </w:r>
          </w:p>
        </w:tc>
        <w:sdt>
          <w:sdtPr>
            <w:rPr>
              <w:rFonts w:asciiTheme="minorHAnsi" w:hAnsiTheme="minorHAnsi" w:cs="Arial"/>
              <w:b/>
              <w:sz w:val="16"/>
              <w:szCs w:val="16"/>
            </w:rPr>
            <w:id w:val="-1446851983"/>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145851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9791037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215715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6412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97745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4739583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088610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0821998"/>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1877770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7229912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7926262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37691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034440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39311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68066867"/>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FC1259">
        <w:trPr>
          <w:trHeight w:val="394"/>
        </w:trPr>
        <w:tc>
          <w:tcPr>
            <w:tcW w:w="1457" w:type="dxa"/>
            <w:tcBorders>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C5</w:t>
            </w:r>
          </w:p>
        </w:tc>
        <w:sdt>
          <w:sdtPr>
            <w:rPr>
              <w:rFonts w:asciiTheme="minorHAnsi" w:hAnsiTheme="minorHAnsi" w:cs="Arial"/>
              <w:b/>
              <w:sz w:val="16"/>
              <w:szCs w:val="16"/>
            </w:rPr>
            <w:id w:val="-429427168"/>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307461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812114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57616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7065992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6517515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1340061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192866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6417147"/>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2496551"/>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8736509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0891025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033190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1700071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541445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8577117"/>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A4442F">
        <w:trPr>
          <w:trHeight w:val="394"/>
        </w:trPr>
        <w:tc>
          <w:tcPr>
            <w:tcW w:w="1457" w:type="dxa"/>
            <w:tcBorders>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C6</w:t>
            </w:r>
          </w:p>
        </w:tc>
        <w:sdt>
          <w:sdtPr>
            <w:rPr>
              <w:rFonts w:asciiTheme="minorHAnsi" w:hAnsiTheme="minorHAnsi" w:cs="Arial"/>
              <w:b/>
              <w:sz w:val="16"/>
              <w:szCs w:val="16"/>
            </w:rPr>
            <w:id w:val="24161056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619796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1167935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576191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41601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491173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361561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848172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5366336"/>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5103487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971803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9837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3031462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4142159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2580330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0885621"/>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FC1259">
        <w:trPr>
          <w:trHeight w:val="394"/>
        </w:trPr>
        <w:tc>
          <w:tcPr>
            <w:tcW w:w="1457" w:type="dxa"/>
            <w:tcBorders>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C7</w:t>
            </w:r>
          </w:p>
        </w:tc>
        <w:sdt>
          <w:sdtPr>
            <w:rPr>
              <w:rFonts w:asciiTheme="minorHAnsi" w:hAnsiTheme="minorHAnsi" w:cs="Arial"/>
              <w:b/>
              <w:sz w:val="16"/>
              <w:szCs w:val="16"/>
            </w:rPr>
            <w:id w:val="-180345534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033144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864095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112853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3746632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499202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684324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8496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42068462"/>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2453000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9859394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5032041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4860607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59654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472316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0E7D35"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3247201"/>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A4442F">
        <w:trPr>
          <w:trHeight w:val="394"/>
        </w:trPr>
        <w:tc>
          <w:tcPr>
            <w:tcW w:w="1457" w:type="dxa"/>
            <w:tcBorders>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C8</w:t>
            </w:r>
          </w:p>
        </w:tc>
        <w:sdt>
          <w:sdtPr>
            <w:rPr>
              <w:rFonts w:asciiTheme="minorHAnsi" w:hAnsiTheme="minorHAnsi" w:cs="Arial"/>
              <w:b/>
              <w:sz w:val="16"/>
              <w:szCs w:val="16"/>
            </w:rPr>
            <w:id w:val="-1519998169"/>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584570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9617290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3698276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698540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0248932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735418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4866282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4732486"/>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18526944"/>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196741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8104552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636262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711331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162991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68358370"/>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FC1259">
        <w:trPr>
          <w:trHeight w:val="394"/>
        </w:trPr>
        <w:tc>
          <w:tcPr>
            <w:tcW w:w="1457" w:type="dxa"/>
            <w:tcBorders>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C9</w:t>
            </w:r>
          </w:p>
        </w:tc>
        <w:sdt>
          <w:sdtPr>
            <w:rPr>
              <w:rFonts w:asciiTheme="minorHAnsi" w:hAnsiTheme="minorHAnsi" w:cs="Arial"/>
              <w:b/>
              <w:sz w:val="16"/>
              <w:szCs w:val="16"/>
            </w:rPr>
            <w:id w:val="-210995571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465347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827448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2886897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860578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7809632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774376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21438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6709284"/>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9221595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5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095892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831431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73091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1477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54831754"/>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A4442F">
        <w:trPr>
          <w:trHeight w:val="394"/>
        </w:trPr>
        <w:tc>
          <w:tcPr>
            <w:tcW w:w="1457" w:type="dxa"/>
            <w:tcBorders>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lastRenderedPageBreak/>
              <w:t>C10</w:t>
            </w:r>
          </w:p>
        </w:tc>
        <w:sdt>
          <w:sdtPr>
            <w:rPr>
              <w:rFonts w:asciiTheme="minorHAnsi" w:hAnsiTheme="minorHAnsi" w:cs="Arial"/>
              <w:b/>
              <w:sz w:val="16"/>
              <w:szCs w:val="16"/>
            </w:rPr>
            <w:id w:val="-1698077437"/>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909885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946504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6135606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258125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095007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715912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4799240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63318372"/>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4665608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168377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72177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461679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6861089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95698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54044090"/>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FC1259" w:rsidRPr="00723A13" w:rsidTr="00FC1259">
        <w:trPr>
          <w:trHeight w:val="394"/>
        </w:trPr>
        <w:tc>
          <w:tcPr>
            <w:tcW w:w="1457" w:type="dxa"/>
            <w:tcBorders>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Theme="minorHAnsi" w:hAnsiTheme="minorHAnsi" w:cs="Arial"/>
                <w:b/>
                <w:sz w:val="16"/>
                <w:szCs w:val="16"/>
              </w:rPr>
              <w:t>C11</w:t>
            </w:r>
          </w:p>
        </w:tc>
        <w:sdt>
          <w:sdtPr>
            <w:rPr>
              <w:rFonts w:asciiTheme="minorHAnsi" w:hAnsiTheme="minorHAnsi" w:cs="Arial"/>
              <w:b/>
              <w:sz w:val="16"/>
              <w:szCs w:val="16"/>
            </w:rPr>
            <w:id w:val="111569456"/>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155172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223434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3057167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14407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4095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984970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807686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0822653"/>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2121218"/>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671942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6885638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105910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17896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2673521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55087522"/>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82715F" w:rsidRPr="00723A13" w:rsidRDefault="0082715F" w:rsidP="0082715F">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bl>
    <w:p w:rsidR="00CB4004" w:rsidRPr="000E7D35" w:rsidRDefault="00CB4004" w:rsidP="001A4ED1">
      <w:pPr>
        <w:pStyle w:val="Heading2"/>
      </w:pPr>
      <w:r>
        <w:t>Structural o</w:t>
      </w:r>
      <w:r w:rsidRPr="003D124E">
        <w:t xml:space="preserve">rganisation </w:t>
      </w:r>
      <w:r>
        <w:t>of the branch</w:t>
      </w:r>
    </w:p>
    <w:p w:rsidR="00CB4004" w:rsidRPr="000E7D35" w:rsidRDefault="00D27BE4" w:rsidP="001A4ED1">
      <w:pPr>
        <w:pStyle w:val="Heading3"/>
        <w:rPr>
          <w:b/>
        </w:rPr>
      </w:pPr>
      <w:r w:rsidRPr="00D27BE4">
        <w:t>Description of the organisational structure of the branch, including functional and legal reporting lines and the position and role of the branch within the corporate structure of the institution and, where applicable, of its group</w:t>
      </w:r>
      <w:r>
        <w:t>.</w:t>
      </w:r>
    </w:p>
    <w:p w:rsidR="00CB4004" w:rsidRPr="00055E0C" w:rsidRDefault="00CB4004" w:rsidP="00D27BE4">
      <w:pPr>
        <w:tabs>
          <w:tab w:val="left" w:pos="1418"/>
        </w:tabs>
        <w:ind w:left="1418"/>
        <w:rPr>
          <w:sz w:val="17"/>
          <w:szCs w:val="17"/>
        </w:rPr>
      </w:pPr>
      <w:r w:rsidRPr="00055E0C">
        <w:rPr>
          <w:sz w:val="17"/>
          <w:szCs w:val="17"/>
        </w:rPr>
        <w:t>The description can be supported by relevant documents, such as an organisational chart.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E21D7E" w:rsidRDefault="00D27BE4" w:rsidP="001A4ED1">
      <w:pPr>
        <w:pStyle w:val="Heading3"/>
        <w:rPr>
          <w:b/>
        </w:rPr>
      </w:pPr>
      <w:r w:rsidRPr="00D27BE4">
        <w:t>Description of the governance arrangements and internal control mechanisms of the branch, including the following information:</w:t>
      </w:r>
    </w:p>
    <w:p w:rsidR="00CB4004" w:rsidRPr="00055E0C" w:rsidRDefault="00D27BE4" w:rsidP="001A4ED1">
      <w:pPr>
        <w:pStyle w:val="Heading4"/>
        <w:rPr>
          <w:b w:val="0"/>
        </w:rPr>
      </w:pPr>
      <w:r w:rsidRPr="00055E0C">
        <w:rPr>
          <w:b w:val="0"/>
        </w:rPr>
        <w:t>Risk management procedures of the branch and details of liquidity risk management of the institution, and where applicable, of its group.</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Any limits that apply to the activities of the branch, in particular to its lending activities.</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Details of the internal audit arrangements of the branch, including details of the person responsible for these arrangements and, where applicable, details of the external auditor.</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Anti-money laundering arrangements of the branch including details of the person appointed to ensure compliance with these arrangements.</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Controls over outsourcing and other arrangements with third parties in connection with the activities carried out in the branch that are covered by the institution’s authorisation.</w:t>
      </w:r>
    </w:p>
    <w:tbl>
      <w:tblPr>
        <w:tblStyle w:val="TableGrid"/>
        <w:tblW w:w="7938" w:type="dxa"/>
        <w:tblInd w:w="1413" w:type="dxa"/>
        <w:tblLook w:val="04A0" w:firstRow="1" w:lastRow="0" w:firstColumn="1" w:lastColumn="0" w:noHBand="0" w:noVBand="1"/>
      </w:tblPr>
      <w:tblGrid>
        <w:gridCol w:w="7938"/>
      </w:tblGrid>
      <w:tr w:rsidR="001A4ED1" w:rsidTr="004A2B6B">
        <w:tc>
          <w:tcPr>
            <w:tcW w:w="7938" w:type="dxa"/>
          </w:tcPr>
          <w:p w:rsidR="001A4ED1"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3D124E" w:rsidRDefault="00CB4004" w:rsidP="00A9646E">
      <w:pPr>
        <w:ind w:left="0" w:right="279"/>
        <w:rPr>
          <w:rFonts w:ascii="Arial" w:hAnsi="Arial" w:cs="Arial"/>
          <w:b/>
          <w:sz w:val="20"/>
          <w:szCs w:val="20"/>
        </w:rPr>
      </w:pPr>
    </w:p>
    <w:p w:rsidR="00CB4004" w:rsidRPr="00A9646E" w:rsidRDefault="00D27BE4" w:rsidP="001A4ED1">
      <w:pPr>
        <w:pStyle w:val="Heading3"/>
        <w:rPr>
          <w:b/>
        </w:rPr>
      </w:pPr>
      <w:r w:rsidRPr="00D27BE4">
        <w:lastRenderedPageBreak/>
        <w:t>Where the branch is expected to carry out one or more of the investment services and activities defined in Article 4(1), point (2), of Directive 2014/65/EU, a description of the following arrangements:</w:t>
      </w:r>
    </w:p>
    <w:p w:rsidR="00CB4004" w:rsidRPr="00055E0C" w:rsidRDefault="00A9646E" w:rsidP="001A4ED1">
      <w:pPr>
        <w:pStyle w:val="Heading4"/>
        <w:rPr>
          <w:b w:val="0"/>
        </w:rPr>
      </w:pPr>
      <w:r w:rsidRPr="00055E0C">
        <w:rPr>
          <w:b w:val="0"/>
        </w:rPr>
        <w:t>A</w:t>
      </w:r>
      <w:r w:rsidR="00CB4004" w:rsidRPr="00055E0C">
        <w:rPr>
          <w:b w:val="0"/>
        </w:rPr>
        <w:t>rrangements for safeguarding client money and assets</w:t>
      </w:r>
      <w:r w:rsidR="00D27BE4" w:rsidRPr="00055E0C">
        <w:rPr>
          <w:b w:val="0"/>
        </w:rPr>
        <w: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Arrangements for compliance with the obligations laid down in Articles 24, 25, 27 and 28 of Directive 2014/65/EU and measures adopted pursuant thereto by the relevant competent authorities of the host Member State.</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A9646E" w:rsidP="001A4ED1">
      <w:pPr>
        <w:pStyle w:val="Heading4"/>
        <w:rPr>
          <w:b w:val="0"/>
        </w:rPr>
      </w:pPr>
      <w:r w:rsidRPr="00055E0C">
        <w:rPr>
          <w:b w:val="0"/>
        </w:rPr>
        <w:t>I</w:t>
      </w:r>
      <w:r w:rsidR="00CB4004" w:rsidRPr="00055E0C">
        <w:rPr>
          <w:b w:val="0"/>
        </w:rPr>
        <w:t>nternal code of conduct including controls over personal account dealing</w:t>
      </w:r>
      <w:r w:rsidR="00D27BE4" w:rsidRPr="00055E0C">
        <w:rPr>
          <w:b w:val="0"/>
        </w:rPr>
        <w: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Details of the person responsible for dealing with complaints in relation to the investment services and activities of the branch.</w:t>
      </w:r>
    </w:p>
    <w:tbl>
      <w:tblPr>
        <w:tblStyle w:val="TableGrid"/>
        <w:tblW w:w="7938" w:type="dxa"/>
        <w:tblInd w:w="1413" w:type="dxa"/>
        <w:tblLook w:val="04A0" w:firstRow="1" w:lastRow="0" w:firstColumn="1" w:lastColumn="0" w:noHBand="0" w:noVBand="1"/>
      </w:tblPr>
      <w:tblGrid>
        <w:gridCol w:w="7938"/>
      </w:tblGrid>
      <w:tr w:rsidR="001A4ED1" w:rsidTr="004A2B6B">
        <w:tc>
          <w:tcPr>
            <w:tcW w:w="7938" w:type="dxa"/>
          </w:tcPr>
          <w:p w:rsidR="001A4ED1"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055E0C" w:rsidRDefault="00D27BE4" w:rsidP="001A4ED1">
      <w:pPr>
        <w:pStyle w:val="Heading4"/>
        <w:rPr>
          <w:b w:val="0"/>
        </w:rPr>
      </w:pPr>
      <w:r w:rsidRPr="00055E0C">
        <w:rPr>
          <w:b w:val="0"/>
        </w:rPr>
        <w:t>Details of the person appointed to ensure compliance with the arrangements of the branch relating to investment services and activities.</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Default="00CB4004" w:rsidP="001A4ED1">
      <w:pPr>
        <w:pStyle w:val="Heading3"/>
      </w:pPr>
      <w:r>
        <w:t xml:space="preserve">Details of professional </w:t>
      </w:r>
      <w:r w:rsidRPr="003D124E">
        <w:t>exp</w:t>
      </w:r>
      <w:r>
        <w:t>e</w:t>
      </w:r>
      <w:r w:rsidRPr="003D124E">
        <w:t xml:space="preserve">rience </w:t>
      </w:r>
      <w:r>
        <w:t xml:space="preserve">of the persons </w:t>
      </w:r>
      <w:r w:rsidRPr="003D124E">
        <w:t>respons</w:t>
      </w:r>
      <w:r>
        <w:t>i</w:t>
      </w:r>
      <w:r w:rsidRPr="003D124E">
        <w:t>ble</w:t>
      </w:r>
      <w:r>
        <w:t xml:space="preserve"> for the management of the branch</w:t>
      </w:r>
      <w:r w:rsidRPr="003D124E">
        <w: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A9646E" w:rsidRDefault="00CB4004" w:rsidP="001A4ED1">
      <w:pPr>
        <w:pStyle w:val="Heading2"/>
      </w:pPr>
      <w:r>
        <w:t>Other</w:t>
      </w:r>
      <w:r w:rsidRPr="003D124E">
        <w:t xml:space="preserve"> information</w:t>
      </w:r>
    </w:p>
    <w:p w:rsidR="00CB4004" w:rsidRPr="00A9646E" w:rsidRDefault="00A9646E" w:rsidP="001A4ED1">
      <w:pPr>
        <w:pStyle w:val="Heading3"/>
        <w:rPr>
          <w:b/>
        </w:rPr>
      </w:pPr>
      <w:r w:rsidRPr="00A9646E">
        <w:t>Financial plan containing forecasts for balance sheet and profit and loss account, covering a period of three years comprising the underlying assumptions</w:t>
      </w:r>
      <w:r w:rsidR="009E26B6">
        <w:t>.</w:t>
      </w:r>
    </w:p>
    <w:p w:rsidR="00CB4004" w:rsidRPr="00055E0C" w:rsidRDefault="00CB4004" w:rsidP="009E26B6">
      <w:pPr>
        <w:ind w:left="1418"/>
        <w:rPr>
          <w:sz w:val="17"/>
          <w:szCs w:val="17"/>
        </w:rPr>
      </w:pPr>
      <w:r w:rsidRPr="00055E0C">
        <w:rPr>
          <w:sz w:val="17"/>
          <w:szCs w:val="17"/>
        </w:rPr>
        <w:t>This information can be provided as an attachment to the notification.</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FC1259" w:rsidRPr="003D124E" w:rsidRDefault="00FC1259" w:rsidP="00FC1259">
      <w:pPr>
        <w:ind w:left="680"/>
        <w:rPr>
          <w:b/>
        </w:rPr>
      </w:pPr>
    </w:p>
    <w:p w:rsidR="00CB4004" w:rsidRPr="003D124E" w:rsidRDefault="009E26B6" w:rsidP="001A4ED1">
      <w:pPr>
        <w:pStyle w:val="Heading3"/>
        <w:rPr>
          <w:b/>
        </w:rPr>
      </w:pPr>
      <w:r w:rsidRPr="009E26B6">
        <w:lastRenderedPageBreak/>
        <w:t>Name and contact details of the Union deposit guarantee and investor protection schemes in the Member State of which the institution is a member and which cover the activities and services of the branch, together with the maximum coverage of the investor protection scheme</w:t>
      </w:r>
      <w:r>
        <w: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3D124E" w:rsidRDefault="00CB4004" w:rsidP="001A4ED1">
      <w:pPr>
        <w:pStyle w:val="Heading3"/>
        <w:rPr>
          <w:b/>
        </w:rPr>
      </w:pPr>
      <w:r>
        <w:t>Details of the branch’s IT arrangements</w:t>
      </w:r>
      <w:r w:rsidRPr="003D124E">
        <w:t>.</w:t>
      </w:r>
    </w:p>
    <w:tbl>
      <w:tblPr>
        <w:tblStyle w:val="TableGrid"/>
        <w:tblW w:w="7938" w:type="dxa"/>
        <w:tblInd w:w="1413" w:type="dxa"/>
        <w:tblLook w:val="04A0" w:firstRow="1" w:lastRow="0" w:firstColumn="1" w:lastColumn="0" w:noHBand="0" w:noVBand="1"/>
      </w:tblPr>
      <w:tblGrid>
        <w:gridCol w:w="7938"/>
      </w:tblGrid>
      <w:tr w:rsidR="00FC1259" w:rsidTr="004A2B6B">
        <w:tc>
          <w:tcPr>
            <w:tcW w:w="7938" w:type="dxa"/>
          </w:tcPr>
          <w:p w:rsidR="00FC1259" w:rsidRDefault="00C16905" w:rsidP="001A694B">
            <w:pPr>
              <w:pStyle w:val="Normal3"/>
              <w:keepNext/>
              <w:keepLines/>
              <w:spacing w:before="120" w:line="240" w:lineRule="auto"/>
              <w:ind w:left="-108" w:firstLine="369"/>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CB4004" w:rsidRPr="003D124E" w:rsidRDefault="00CB4004" w:rsidP="00CB4004">
      <w:pPr>
        <w:ind w:right="279"/>
        <w:rPr>
          <w:rFonts w:ascii="Arial" w:hAnsi="Arial" w:cs="Arial"/>
          <w:b/>
          <w:sz w:val="20"/>
          <w:szCs w:val="20"/>
        </w:rPr>
      </w:pPr>
    </w:p>
    <w:p w:rsidR="00CB4004" w:rsidRDefault="00CB4004" w:rsidP="00CB4004">
      <w:pPr>
        <w:ind w:right="279"/>
        <w:rPr>
          <w:rFonts w:ascii="Arial" w:hAnsi="Arial" w:cs="Arial"/>
          <w:b/>
          <w:sz w:val="20"/>
          <w:szCs w:val="20"/>
        </w:rPr>
      </w:pPr>
    </w:p>
    <w:p w:rsidR="00CB4004" w:rsidRDefault="00CB4004" w:rsidP="00CB4004">
      <w:pPr>
        <w:ind w:right="279"/>
        <w:rPr>
          <w:rFonts w:ascii="Arial" w:hAnsi="Arial" w:cs="Arial"/>
          <w:b/>
          <w:sz w:val="20"/>
          <w:szCs w:val="20"/>
        </w:rPr>
      </w:pPr>
    </w:p>
    <w:p w:rsidR="00CB4004" w:rsidRPr="00D650A1" w:rsidRDefault="00CB4004" w:rsidP="00CB4004">
      <w:pPr>
        <w:ind w:right="279"/>
        <w:jc w:val="center"/>
        <w:rPr>
          <w:smallCaps/>
        </w:rPr>
      </w:pPr>
      <w:r>
        <w:rPr>
          <w:smallCaps/>
        </w:rPr>
        <w:t xml:space="preserve">SSM </w:t>
      </w:r>
      <w:r w:rsidRPr="00D650A1">
        <w:rPr>
          <w:smallCaps/>
        </w:rPr>
        <w:t>Privacy Statement</w:t>
      </w:r>
    </w:p>
    <w:p w:rsidR="00CB4004" w:rsidRDefault="00CB4004" w:rsidP="00CB4004">
      <w:pPr>
        <w:ind w:right="279"/>
        <w:jc w:val="center"/>
        <w:rPr>
          <w:smallCaps/>
        </w:rPr>
      </w:pPr>
    </w:p>
    <w:p w:rsidR="00CB4004" w:rsidRPr="00770839" w:rsidRDefault="00CB4004" w:rsidP="00CB4004">
      <w:pPr>
        <w:ind w:right="279"/>
        <w:rPr>
          <w:rFonts w:ascii="Arial" w:hAnsi="Arial" w:cs="Arial"/>
          <w:b/>
          <w:iCs/>
          <w:sz w:val="20"/>
          <w:szCs w:val="20"/>
        </w:rPr>
      </w:pPr>
      <w:r w:rsidRPr="00770839">
        <w:rPr>
          <w:rFonts w:ascii="Arial" w:hAnsi="Arial" w:cs="Arial"/>
          <w:iCs/>
          <w:sz w:val="20"/>
          <w:szCs w:val="20"/>
        </w:rPr>
        <w:t xml:space="preserve">In compliance with </w:t>
      </w:r>
      <w:hyperlink r:id="rId8" w:history="1">
        <w:r w:rsidRPr="00770839">
          <w:rPr>
            <w:rStyle w:val="Hyperlink"/>
            <w:rFonts w:ascii="Arial" w:hAnsi="Arial" w:cs="Arial"/>
            <w:iCs/>
            <w:sz w:val="20"/>
            <w:szCs w:val="20"/>
          </w:rPr>
          <w:t>Regulation (EU) 2018/1725)</w:t>
        </w:r>
      </w:hyperlink>
      <w:r w:rsidRPr="00770839">
        <w:rPr>
          <w:rFonts w:ascii="Arial" w:hAnsi="Arial" w:cs="Arial"/>
          <w:iCs/>
          <w:sz w:val="20"/>
          <w:szCs w:val="20"/>
        </w:rPr>
        <w:t>, this privacy statement informs the data subjects of how the ECB collects and processes personal data</w:t>
      </w:r>
      <w:r w:rsidRPr="00770839">
        <w:rPr>
          <w:rFonts w:ascii="Arial" w:hAnsi="Arial" w:cs="Arial"/>
          <w:sz w:val="20"/>
          <w:szCs w:val="20"/>
        </w:rPr>
        <w:t xml:space="preserve"> </w:t>
      </w:r>
      <w:r w:rsidRPr="00770839">
        <w:rPr>
          <w:rFonts w:ascii="Arial" w:hAnsi="Arial" w:cs="Arial"/>
          <w:iCs/>
          <w:sz w:val="20"/>
          <w:szCs w:val="20"/>
        </w:rPr>
        <w:t xml:space="preserve">in the context of prudential supervision under the Single Supervisory Mechanism in line with </w:t>
      </w:r>
      <w:hyperlink r:id="rId9" w:history="1">
        <w:r w:rsidRPr="00770839">
          <w:rPr>
            <w:rStyle w:val="Hyperlink"/>
            <w:rFonts w:ascii="Arial" w:hAnsi="Arial" w:cs="Arial"/>
            <w:iCs/>
            <w:sz w:val="20"/>
            <w:szCs w:val="20"/>
          </w:rPr>
          <w:t>the Council Regulation (EU) No 1024/2013</w:t>
        </w:r>
      </w:hyperlink>
      <w:r w:rsidRPr="00770839">
        <w:rPr>
          <w:rFonts w:ascii="Arial" w:hAnsi="Arial" w:cs="Arial"/>
          <w:iCs/>
          <w:sz w:val="20"/>
          <w:szCs w:val="20"/>
        </w:rPr>
        <w:t xml:space="preserve"> and </w:t>
      </w:r>
      <w:hyperlink r:id="rId10" w:history="1">
        <w:r w:rsidRPr="00770839">
          <w:rPr>
            <w:rStyle w:val="Hyperlink"/>
            <w:rFonts w:ascii="Arial" w:hAnsi="Arial" w:cs="Arial"/>
            <w:iCs/>
            <w:sz w:val="20"/>
            <w:szCs w:val="20"/>
          </w:rPr>
          <w:t>Regulation (EU) No 468/2014</w:t>
        </w:r>
      </w:hyperlink>
      <w:r w:rsidRPr="00770839">
        <w:rPr>
          <w:rFonts w:ascii="Arial" w:hAnsi="Arial" w:cs="Arial"/>
          <w:iCs/>
          <w:sz w:val="20"/>
          <w:szCs w:val="20"/>
        </w:rPr>
        <w:t>.</w:t>
      </w:r>
    </w:p>
    <w:p w:rsidR="00CB4004" w:rsidRDefault="00CB4004" w:rsidP="00CB4004">
      <w:pPr>
        <w:ind w:right="279"/>
        <w:rPr>
          <w:rFonts w:ascii="Arial" w:hAnsi="Arial" w:cs="Arial"/>
          <w:b/>
          <w:i/>
          <w:iCs/>
          <w:sz w:val="20"/>
          <w:szCs w:val="20"/>
        </w:rPr>
      </w:pPr>
    </w:p>
    <w:p w:rsidR="00CB4004" w:rsidRDefault="00CB4004" w:rsidP="00CB4004">
      <w:pPr>
        <w:ind w:right="279"/>
        <w:jc w:val="center"/>
        <w:rPr>
          <w:smallCaps/>
        </w:rPr>
      </w:pPr>
      <w:r>
        <w:rPr>
          <w:smallCaps/>
        </w:rPr>
        <w:t>Direct L</w:t>
      </w:r>
      <w:r w:rsidRPr="002C1CFD">
        <w:rPr>
          <w:smallCaps/>
        </w:rPr>
        <w:t>ink</w:t>
      </w:r>
      <w:r>
        <w:rPr>
          <w:smallCaps/>
        </w:rPr>
        <w:t xml:space="preserve"> to the SSM </w:t>
      </w:r>
      <w:r w:rsidRPr="00D650A1">
        <w:rPr>
          <w:smallCaps/>
        </w:rPr>
        <w:t>Privacy Statement</w:t>
      </w:r>
      <w:r w:rsidRPr="002C1CFD">
        <w:rPr>
          <w:smallCaps/>
        </w:rPr>
        <w:t>:</w:t>
      </w:r>
    </w:p>
    <w:p w:rsidR="00CB4004" w:rsidRPr="00770839" w:rsidRDefault="00CB4004" w:rsidP="00222115">
      <w:pPr>
        <w:ind w:left="0" w:right="279"/>
        <w:rPr>
          <w:b/>
          <w:smallCaps/>
        </w:rPr>
      </w:pPr>
    </w:p>
    <w:p w:rsidR="00CB4004" w:rsidRPr="00770839" w:rsidRDefault="00F27791" w:rsidP="00CB4004">
      <w:pPr>
        <w:ind w:right="279"/>
        <w:jc w:val="center"/>
        <w:rPr>
          <w:b/>
          <w:smallCaps/>
        </w:rPr>
      </w:pPr>
      <w:hyperlink r:id="rId11" w:history="1">
        <w:r w:rsidR="00CB4004" w:rsidRPr="00770839">
          <w:rPr>
            <w:rStyle w:val="Hyperlink"/>
          </w:rPr>
          <w:t>Privacy statement for the processing of personal data related to prudential supervision under the Single Supervisory Mechanism (europa.eu)</w:t>
        </w:r>
      </w:hyperlink>
    </w:p>
    <w:p w:rsidR="00CB4004" w:rsidRDefault="00CB4004" w:rsidP="00CB4004">
      <w:pPr>
        <w:ind w:right="279"/>
        <w:jc w:val="center"/>
        <w:rPr>
          <w:b/>
          <w:smallCaps/>
        </w:rPr>
      </w:pPr>
    </w:p>
    <w:p w:rsidR="00CB4004" w:rsidRPr="00770839" w:rsidRDefault="00CB4004" w:rsidP="00CB4004">
      <w:pPr>
        <w:ind w:right="279"/>
        <w:jc w:val="center"/>
        <w:rPr>
          <w:smallCaps/>
        </w:rPr>
      </w:pPr>
      <w:r w:rsidRPr="00770839">
        <w:rPr>
          <w:smallCaps/>
        </w:rPr>
        <w:t>Please Confirm by Ticking Both Boxes:</w:t>
      </w:r>
    </w:p>
    <w:p w:rsidR="00CB4004" w:rsidRPr="00770839" w:rsidRDefault="00CB4004" w:rsidP="00CB4004">
      <w:pPr>
        <w:ind w:right="279"/>
        <w:jc w:val="center"/>
        <w:rPr>
          <w:b/>
          <w:smallCaps/>
        </w:rPr>
      </w:pPr>
    </w:p>
    <w:p w:rsidR="00CB4004" w:rsidRPr="00770839" w:rsidRDefault="00F27791" w:rsidP="00FC1259">
      <w:pPr>
        <w:ind w:left="1134" w:right="279" w:hanging="720"/>
        <w:rPr>
          <w:rFonts w:ascii="Arial" w:hAnsi="Arial" w:cs="Arial"/>
          <w:b/>
          <w:i/>
          <w:iCs/>
          <w:sz w:val="20"/>
          <w:szCs w:val="20"/>
        </w:rPr>
      </w:pPr>
      <w:sdt>
        <w:sdtPr>
          <w:rPr>
            <w:rFonts w:ascii="Arial" w:eastAsia="MS Mincho" w:hAnsi="MS Mincho" w:cs="Arial"/>
            <w:sz w:val="20"/>
            <w:szCs w:val="20"/>
          </w:rPr>
          <w:id w:val="-1361660943"/>
          <w14:checkbox>
            <w14:checked w14:val="0"/>
            <w14:checkedState w14:val="2612" w14:font="MS Gothic"/>
            <w14:uncheckedState w14:val="2610" w14:font="MS Gothic"/>
          </w14:checkbox>
        </w:sdtPr>
        <w:sdtEndPr/>
        <w:sdtContent>
          <w:r w:rsidR="00222115">
            <w:rPr>
              <w:rFonts w:ascii="MS Gothic" w:eastAsia="MS Gothic" w:hAnsi="MS Gothic" w:cs="Arial" w:hint="eastAsia"/>
              <w:sz w:val="20"/>
              <w:szCs w:val="20"/>
            </w:rPr>
            <w:t>☐</w:t>
          </w:r>
        </w:sdtContent>
      </w:sdt>
      <w:r w:rsidR="00CB4004">
        <w:rPr>
          <w:rFonts w:ascii="Arial" w:eastAsia="MS Mincho" w:hAnsi="MS Mincho" w:cs="Arial"/>
          <w:sz w:val="20"/>
          <w:szCs w:val="20"/>
        </w:rPr>
        <w:tab/>
      </w:r>
      <w:r w:rsidR="00CB4004" w:rsidRPr="00770839">
        <w:rPr>
          <w:rFonts w:ascii="Arial" w:hAnsi="Arial" w:cs="Arial"/>
          <w:i/>
          <w:iCs/>
          <w:sz w:val="20"/>
          <w:szCs w:val="20"/>
        </w:rPr>
        <w:t>I hereby declare that I have informed all data subjects whose personal data are incorporated to the form that they are assessed as part of this procedure and, as a result, their data are being processed in the terms of the SSM privacy statement.</w:t>
      </w:r>
    </w:p>
    <w:p w:rsidR="00CB4004" w:rsidRDefault="00F27791" w:rsidP="00FC1259">
      <w:pPr>
        <w:tabs>
          <w:tab w:val="left" w:pos="1134"/>
        </w:tabs>
        <w:ind w:left="426" w:right="279"/>
      </w:pPr>
      <w:sdt>
        <w:sdtPr>
          <w:rPr>
            <w:rFonts w:ascii="Arial" w:hAnsi="Arial" w:cs="Arial"/>
            <w:sz w:val="20"/>
            <w:szCs w:val="20"/>
          </w:rPr>
          <w:id w:val="-1126700289"/>
          <w14:checkbox>
            <w14:checked w14:val="0"/>
            <w14:checkedState w14:val="2612" w14:font="MS Gothic"/>
            <w14:uncheckedState w14:val="2610" w14:font="MS Gothic"/>
          </w14:checkbox>
        </w:sdtPr>
        <w:sdtEndPr/>
        <w:sdtContent>
          <w:r w:rsidR="00222115">
            <w:rPr>
              <w:rFonts w:ascii="MS Gothic" w:eastAsia="MS Gothic" w:hAnsi="MS Gothic" w:cs="Arial" w:hint="eastAsia"/>
              <w:sz w:val="20"/>
              <w:szCs w:val="20"/>
            </w:rPr>
            <w:t>☐</w:t>
          </w:r>
        </w:sdtContent>
      </w:sdt>
      <w:r w:rsidR="00CB4004">
        <w:rPr>
          <w:rFonts w:ascii="Arial" w:hAnsi="Arial" w:cs="Arial"/>
          <w:sz w:val="20"/>
          <w:szCs w:val="20"/>
        </w:rPr>
        <w:tab/>
      </w:r>
      <w:r w:rsidR="00CB4004" w:rsidRPr="00770839">
        <w:rPr>
          <w:rFonts w:ascii="Arial" w:hAnsi="Arial" w:cs="Arial"/>
          <w:i/>
          <w:iCs/>
          <w:sz w:val="20"/>
          <w:szCs w:val="20"/>
        </w:rPr>
        <w:t>I have read the SSM privacy statement</w:t>
      </w:r>
    </w:p>
    <w:p w:rsidR="0006215E" w:rsidRDefault="0006215E" w:rsidP="0034340F">
      <w:pPr>
        <w:spacing w:after="0" w:line="240" w:lineRule="auto"/>
        <w:ind w:left="0"/>
        <w:jc w:val="left"/>
        <w:rPr>
          <w:lang w:val="en-US"/>
        </w:rPr>
      </w:pPr>
    </w:p>
    <w:sectPr w:rsidR="0006215E" w:rsidSect="00FB0B4E">
      <w:headerReference w:type="default" r:id="rId12"/>
      <w:footerReference w:type="even" r:id="rId13"/>
      <w:footerReference w:type="default" r:id="rId14"/>
      <w:pgSz w:w="11906" w:h="16838"/>
      <w:pgMar w:top="1440" w:right="1133" w:bottom="1440" w:left="1440"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91" w:rsidRDefault="00F27791" w:rsidP="00D80DD3">
      <w:pPr>
        <w:spacing w:after="0" w:line="240" w:lineRule="auto"/>
      </w:pPr>
      <w:r>
        <w:separator/>
      </w:r>
    </w:p>
    <w:p w:rsidR="00F27791" w:rsidRDefault="00F27791"/>
    <w:p w:rsidR="00F27791" w:rsidRDefault="00F27791"/>
    <w:p w:rsidR="00F27791" w:rsidRDefault="00F27791"/>
  </w:endnote>
  <w:endnote w:type="continuationSeparator" w:id="0">
    <w:p w:rsidR="00F27791" w:rsidRDefault="00F27791" w:rsidP="00D80DD3">
      <w:pPr>
        <w:spacing w:after="0" w:line="240" w:lineRule="auto"/>
      </w:pPr>
      <w:r>
        <w:continuationSeparator/>
      </w:r>
    </w:p>
    <w:p w:rsidR="00F27791" w:rsidRDefault="00F27791"/>
    <w:p w:rsidR="00F27791" w:rsidRDefault="00F27791"/>
    <w:p w:rsidR="00F27791" w:rsidRDefault="00F27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4055E1" w:rsidRDefault="004055E1" w:rsidP="00262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55E1" w:rsidRDefault="004055E1"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E1" w:rsidRPr="00377240" w:rsidRDefault="004055E1" w:rsidP="00551C4C">
    <w:pPr>
      <w:pStyle w:val="Footer"/>
      <w:spacing w:before="360"/>
      <w:ind w:left="-142"/>
      <w:rPr>
        <w:lang w:val="en-US"/>
      </w:rPr>
    </w:pPr>
    <w:r>
      <w:rPr>
        <w:lang w:val="en-US"/>
      </w:rPr>
      <w:t xml:space="preserve">BRANCH PASSPORT NOTIFICATION FORM </w:t>
    </w:r>
    <w:r>
      <w:rPr>
        <w:lang w:val="en-US"/>
      </w:rPr>
      <w:br/>
      <w:t>CHANGE IN BRANCH PARTICULARS NOTIFICATION FORM</w:t>
    </w:r>
    <w:r w:rsidRPr="00564CB9">
      <w:rPr>
        <w:noProof/>
        <w:lang w:val="fr-LU" w:eastAsia="fr-LU"/>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41850367"/>
      <w:docPartObj>
        <w:docPartGallery w:val="Page Numbers (Bottom of Page)"/>
        <w:docPartUnique/>
      </w:docPartObj>
    </w:sdtPr>
    <w:sdtEndPr>
      <w:rPr>
        <w:rStyle w:val="PageNumber"/>
      </w:rPr>
    </w:sdtEndPr>
    <w:sdtContent>
      <w:p w:rsidR="004055E1" w:rsidRPr="00377240" w:rsidRDefault="004055E1" w:rsidP="007D771F">
        <w:pPr>
          <w:pStyle w:val="Footer"/>
          <w:framePr w:wrap="none" w:vAnchor="text" w:hAnchor="page" w:x="10767" w:y="45"/>
          <w:ind w:left="0"/>
          <w:jc w:val="right"/>
          <w:rPr>
            <w:rStyle w:val="PageNumber"/>
            <w:lang w:val="en-US"/>
          </w:rPr>
        </w:pPr>
        <w:r>
          <w:rPr>
            <w:rStyle w:val="PageNumber"/>
          </w:rPr>
          <w:fldChar w:fldCharType="begin"/>
        </w:r>
        <w:r w:rsidRPr="00377240">
          <w:rPr>
            <w:rStyle w:val="PageNumber"/>
            <w:lang w:val="en-US"/>
          </w:rPr>
          <w:instrText xml:space="preserve"> PAGE </w:instrText>
        </w:r>
        <w:r>
          <w:rPr>
            <w:rStyle w:val="PageNumber"/>
          </w:rPr>
          <w:fldChar w:fldCharType="separate"/>
        </w:r>
        <w:r w:rsidRPr="00377240">
          <w:rPr>
            <w:rStyle w:val="PageNumber"/>
            <w:noProof/>
            <w:lang w:val="en-US"/>
          </w:rPr>
          <w:t>4</w:t>
        </w:r>
        <w:r>
          <w:rPr>
            <w:rStyle w:val="PageNumber"/>
          </w:rPr>
          <w:fldChar w:fldCharType="end"/>
        </w:r>
        <w:r w:rsidRPr="00377240">
          <w:rPr>
            <w:rStyle w:val="PageNumber"/>
            <w:lang w:val="en-US"/>
          </w:rPr>
          <w:t>/</w:t>
        </w:r>
        <w:r>
          <w:rPr>
            <w:rStyle w:val="PageNumber"/>
          </w:rPr>
          <w:fldChar w:fldCharType="begin"/>
        </w:r>
        <w:r w:rsidRPr="00377240">
          <w:rPr>
            <w:rStyle w:val="PageNumber"/>
            <w:lang w:val="en-US"/>
          </w:rPr>
          <w:instrText xml:space="preserve"> NUMPAGES   \* MERGEFORMAT </w:instrText>
        </w:r>
        <w:r>
          <w:rPr>
            <w:rStyle w:val="PageNumber"/>
          </w:rPr>
          <w:fldChar w:fldCharType="separate"/>
        </w:r>
        <w:r w:rsidRPr="00377240">
          <w:rPr>
            <w:rStyle w:val="PageNumber"/>
            <w:noProof/>
            <w:lang w:val="en-US"/>
          </w:rPr>
          <w:t>5</w:t>
        </w:r>
        <w:r>
          <w:rPr>
            <w:rStyle w:val="PageNumber"/>
          </w:rPr>
          <w:fldChar w:fldCharType="end"/>
        </w:r>
      </w:p>
    </w:sdtContent>
  </w:sdt>
  <w:p w:rsidR="004055E1" w:rsidRPr="00377240" w:rsidRDefault="004055E1" w:rsidP="0006073F">
    <w:pPr>
      <w:pStyle w:val="Footer2"/>
      <w:rPr>
        <w:lang w:val="en-US"/>
      </w:rPr>
    </w:pPr>
    <w:r w:rsidRPr="0037724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91" w:rsidRPr="00551C4C" w:rsidRDefault="00F27791" w:rsidP="00551C4C">
      <w:pPr>
        <w:pStyle w:val="Footer"/>
      </w:pPr>
    </w:p>
  </w:footnote>
  <w:footnote w:type="continuationSeparator" w:id="0">
    <w:p w:rsidR="00F27791" w:rsidRDefault="00F27791" w:rsidP="00D80DD3">
      <w:pPr>
        <w:spacing w:after="0" w:line="240" w:lineRule="auto"/>
      </w:pPr>
      <w:r>
        <w:continuationSeparator/>
      </w:r>
    </w:p>
    <w:p w:rsidR="00F27791" w:rsidRDefault="00F27791"/>
    <w:p w:rsidR="00F27791" w:rsidRDefault="00F27791"/>
    <w:p w:rsidR="00F27791" w:rsidRDefault="00F27791"/>
  </w:footnote>
  <w:footnote w:id="1">
    <w:p w:rsidR="004055E1" w:rsidRPr="001A694B" w:rsidRDefault="004055E1" w:rsidP="001A694B">
      <w:pPr>
        <w:pStyle w:val="FootnoteText"/>
        <w:ind w:left="567"/>
        <w:rPr>
          <w:color w:val="auto"/>
        </w:rPr>
      </w:pPr>
      <w:r w:rsidRPr="001A694B">
        <w:rPr>
          <w:rStyle w:val="FootnoteReference"/>
          <w:color w:val="auto"/>
        </w:rPr>
        <w:footnoteRef/>
      </w:r>
      <w:r w:rsidRPr="001A694B">
        <w:rPr>
          <w:color w:val="auto"/>
        </w:rPr>
        <w:t xml:space="preserve"> </w:t>
      </w:r>
      <w:r>
        <w:rPr>
          <w:color w:val="auto"/>
        </w:rPr>
        <w:t>Please fill in with “S” in case t</w:t>
      </w:r>
      <w:r w:rsidRPr="001A694B">
        <w:rPr>
          <w:color w:val="auto"/>
        </w:rPr>
        <w:t xml:space="preserve">he credit institution intends to </w:t>
      </w:r>
      <w:r>
        <w:rPr>
          <w:color w:val="auto"/>
        </w:rPr>
        <w:t xml:space="preserve">start to </w:t>
      </w:r>
      <w:r w:rsidRPr="001A694B">
        <w:rPr>
          <w:color w:val="auto"/>
        </w:rPr>
        <w:t xml:space="preserve">carry out </w:t>
      </w:r>
      <w:r>
        <w:rPr>
          <w:color w:val="auto"/>
        </w:rPr>
        <w:t xml:space="preserve">the activity or with “C” in cas the credit institution intends to </w:t>
      </w:r>
      <w:r w:rsidRPr="001A694B">
        <w:rPr>
          <w:color w:val="auto"/>
        </w:rPr>
        <w:t xml:space="preserve">cease carrying out </w:t>
      </w:r>
      <w:r>
        <w:rPr>
          <w:color w:val="auto"/>
        </w:rPr>
        <w:t>the activity.</w:t>
      </w:r>
    </w:p>
  </w:footnote>
  <w:footnote w:id="2">
    <w:p w:rsidR="004055E1" w:rsidRPr="001176CE" w:rsidRDefault="004055E1" w:rsidP="00551C4C">
      <w:pPr>
        <w:pStyle w:val="FootnoteText"/>
        <w:ind w:left="567"/>
        <w:rPr>
          <w:color w:val="auto"/>
        </w:rPr>
      </w:pPr>
      <w:r w:rsidRPr="001176CE">
        <w:rPr>
          <w:rStyle w:val="FootnoteReference"/>
          <w:color w:val="auto"/>
        </w:rPr>
        <w:footnoteRef/>
      </w:r>
      <w:r w:rsidRPr="001176CE">
        <w:rPr>
          <w:color w:val="auto"/>
        </w:rPr>
        <w:t xml:space="preserve"> Directive (EU) 2015/2366 of the European Parliament and of the Council of 25 November 2015</w:t>
      </w:r>
      <w:r>
        <w:rPr>
          <w:color w:val="auto"/>
        </w:rPr>
        <w:t xml:space="preserve"> </w:t>
      </w:r>
      <w:r w:rsidRPr="001176CE">
        <w:rPr>
          <w:color w:val="auto"/>
        </w:rPr>
        <w:t>on payment services in the internal market (OJ L 337, 23.12.2015, p. 35).</w:t>
      </w:r>
    </w:p>
    <w:p w:rsidR="004055E1" w:rsidRPr="004055E1" w:rsidRDefault="004055E1" w:rsidP="001A694B">
      <w:pPr>
        <w:pStyle w:val="FootnoteText"/>
        <w:ind w:left="567"/>
        <w:rPr>
          <w:color w:val="auto"/>
          <w:lang w:val="en-US"/>
        </w:rPr>
      </w:pPr>
    </w:p>
  </w:footnote>
  <w:footnote w:id="3">
    <w:p w:rsidR="004055E1" w:rsidRPr="00CF7E9A" w:rsidRDefault="004055E1" w:rsidP="00FC1259">
      <w:pPr>
        <w:pStyle w:val="FootnoteText"/>
        <w:ind w:left="567"/>
        <w:rPr>
          <w:lang w:val="en-US"/>
        </w:rPr>
      </w:pPr>
      <w:r w:rsidRPr="00CF7E9A">
        <w:rPr>
          <w:rStyle w:val="FootnoteReference"/>
          <w:color w:val="auto"/>
        </w:rPr>
        <w:footnoteRef/>
      </w:r>
      <w:r w:rsidRPr="00CF7E9A">
        <w:rPr>
          <w:color w:val="auto"/>
        </w:rPr>
        <w:t xml:space="preserve"> Directive 2014/65/EU of the European Parliament and of the Council of 15 May 2014 on markets in financial instruments and amending Directive 2002/92/EC and Directive 2011/61/EU (OJ L 173, 12.6.2014, p. 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E1" w:rsidRDefault="004055E1" w:rsidP="00A4442F">
    <w:pPr>
      <w:pStyle w:val="Header"/>
      <w:spacing w:after="240"/>
      <w:ind w:left="-851"/>
    </w:pPr>
    <w:r>
      <w:rPr>
        <w:noProof/>
        <w:lang w:val="fr-LU" w:eastAsia="fr-LU"/>
      </w:rPr>
      <w:drawing>
        <wp:inline distT="0" distB="0" distL="0" distR="0">
          <wp:extent cx="1382400" cy="1080000"/>
          <wp:effectExtent l="0" t="0" r="8255" b="635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237132"/>
    <w:multiLevelType w:val="hybridMultilevel"/>
    <w:tmpl w:val="BFB8AAB0"/>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2" w15:restartNumberingAfterBreak="0">
    <w:nsid w:val="343A4E0F"/>
    <w:multiLevelType w:val="hybridMultilevel"/>
    <w:tmpl w:val="3CF84EC2"/>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97482C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b w:val="0"/>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6B2D5FFA"/>
    <w:multiLevelType w:val="hybridMultilevel"/>
    <w:tmpl w:val="AB44CBFC"/>
    <w:lvl w:ilvl="0" w:tplc="80BACB36">
      <w:start w:val="1"/>
      <w:numFmt w:val="bullet"/>
      <w:lvlText w:val="-"/>
      <w:lvlJc w:val="left"/>
      <w:pPr>
        <w:ind w:left="720" w:hanging="360"/>
      </w:pPr>
      <w:rPr>
        <w:rFonts w:ascii="Arial" w:hAnsi="Arial" w:hint="default"/>
        <w:b w:val="0"/>
        <w:i w:val="0"/>
        <w:color w:val="auto"/>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67378C6"/>
    <w:multiLevelType w:val="hybridMultilevel"/>
    <w:tmpl w:val="663A35A8"/>
    <w:lvl w:ilvl="0" w:tplc="68E8FC5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249"/>
    <w:multiLevelType w:val="hybridMultilevel"/>
    <w:tmpl w:val="D300328A"/>
    <w:lvl w:ilvl="0" w:tplc="6312296E">
      <w:start w:val="14"/>
      <w:numFmt w:val="bullet"/>
      <w:lvlText w:val="—"/>
      <w:lvlJc w:val="left"/>
      <w:pPr>
        <w:ind w:left="514" w:hanging="360"/>
      </w:pPr>
      <w:rPr>
        <w:rFonts w:ascii="Verdana" w:eastAsiaTheme="minorHAnsi" w:hAnsi="Verdana" w:cs="Times New Roman (Corps CS)" w:hint="default"/>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20" w15:restartNumberingAfterBreak="0">
    <w:nsid w:val="7D0613A9"/>
    <w:multiLevelType w:val="hybridMultilevel"/>
    <w:tmpl w:val="9A96FA68"/>
    <w:lvl w:ilvl="0" w:tplc="9912CEE4">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10"/>
  </w:num>
  <w:num w:numId="13">
    <w:abstractNumId w:val="17"/>
    <w:lvlOverride w:ilvl="0">
      <w:startOverride w:val="3"/>
    </w:lvlOverride>
  </w:num>
  <w:num w:numId="14">
    <w:abstractNumId w:val="14"/>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20"/>
  </w:num>
  <w:num w:numId="28">
    <w:abstractNumId w:val="18"/>
  </w:num>
  <w:num w:numId="29">
    <w:abstractNumId w:val="12"/>
  </w:num>
  <w:num w:numId="30">
    <w:abstractNumId w:val="19"/>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kKGXrX+kZAWb7IWC96/pbDmqVvvyjdk1S87jt+NWEk+/GyQ/siiDpFxNIojcVFKlHe5dgxfUCPXB1E8jz9Mg==" w:salt="hftZQ0hDoWufQssDGHdwj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3F"/>
    <w:rsid w:val="00000022"/>
    <w:rsid w:val="00013ECF"/>
    <w:rsid w:val="000174D6"/>
    <w:rsid w:val="00023164"/>
    <w:rsid w:val="0002365B"/>
    <w:rsid w:val="000251B4"/>
    <w:rsid w:val="00055E0C"/>
    <w:rsid w:val="0006073F"/>
    <w:rsid w:val="0006215E"/>
    <w:rsid w:val="0006298D"/>
    <w:rsid w:val="00072D13"/>
    <w:rsid w:val="0007542F"/>
    <w:rsid w:val="00081A4C"/>
    <w:rsid w:val="000838CA"/>
    <w:rsid w:val="00084B2D"/>
    <w:rsid w:val="00086C01"/>
    <w:rsid w:val="00087FC7"/>
    <w:rsid w:val="000A3001"/>
    <w:rsid w:val="000A313E"/>
    <w:rsid w:val="000A3D00"/>
    <w:rsid w:val="000A45F1"/>
    <w:rsid w:val="000E7D35"/>
    <w:rsid w:val="000E7F6E"/>
    <w:rsid w:val="000F462C"/>
    <w:rsid w:val="000F5E46"/>
    <w:rsid w:val="00102AFA"/>
    <w:rsid w:val="0010609C"/>
    <w:rsid w:val="001176CE"/>
    <w:rsid w:val="0016147C"/>
    <w:rsid w:val="00162AFB"/>
    <w:rsid w:val="0018071B"/>
    <w:rsid w:val="00187D8B"/>
    <w:rsid w:val="001947AE"/>
    <w:rsid w:val="001A4CB0"/>
    <w:rsid w:val="001A4E5D"/>
    <w:rsid w:val="001A4ED1"/>
    <w:rsid w:val="001A694B"/>
    <w:rsid w:val="001B289E"/>
    <w:rsid w:val="001B5514"/>
    <w:rsid w:val="001E3565"/>
    <w:rsid w:val="001E459A"/>
    <w:rsid w:val="001E4CE4"/>
    <w:rsid w:val="00200F25"/>
    <w:rsid w:val="00207B75"/>
    <w:rsid w:val="00216564"/>
    <w:rsid w:val="0021761D"/>
    <w:rsid w:val="0022016A"/>
    <w:rsid w:val="00220761"/>
    <w:rsid w:val="0022195A"/>
    <w:rsid w:val="00222115"/>
    <w:rsid w:val="002241EB"/>
    <w:rsid w:val="00224F68"/>
    <w:rsid w:val="002267C1"/>
    <w:rsid w:val="00235748"/>
    <w:rsid w:val="002544D5"/>
    <w:rsid w:val="00262C3B"/>
    <w:rsid w:val="002845E0"/>
    <w:rsid w:val="00292A3F"/>
    <w:rsid w:val="00296826"/>
    <w:rsid w:val="002A3FAB"/>
    <w:rsid w:val="002A7118"/>
    <w:rsid w:val="002A7BFD"/>
    <w:rsid w:val="002B280F"/>
    <w:rsid w:val="002B3CD3"/>
    <w:rsid w:val="002E12A6"/>
    <w:rsid w:val="002F0F0F"/>
    <w:rsid w:val="00305693"/>
    <w:rsid w:val="00311467"/>
    <w:rsid w:val="0031229D"/>
    <w:rsid w:val="003150AD"/>
    <w:rsid w:val="00315B11"/>
    <w:rsid w:val="003201A9"/>
    <w:rsid w:val="003251F4"/>
    <w:rsid w:val="00325E37"/>
    <w:rsid w:val="00332AF4"/>
    <w:rsid w:val="00334632"/>
    <w:rsid w:val="00342B5F"/>
    <w:rsid w:val="0034300B"/>
    <w:rsid w:val="0034340F"/>
    <w:rsid w:val="0034538D"/>
    <w:rsid w:val="003470BD"/>
    <w:rsid w:val="00351163"/>
    <w:rsid w:val="00367837"/>
    <w:rsid w:val="0037500F"/>
    <w:rsid w:val="00377240"/>
    <w:rsid w:val="00377C05"/>
    <w:rsid w:val="0038296D"/>
    <w:rsid w:val="00382A0F"/>
    <w:rsid w:val="003A2387"/>
    <w:rsid w:val="003A4DF5"/>
    <w:rsid w:val="003A50E7"/>
    <w:rsid w:val="003A6028"/>
    <w:rsid w:val="003B1424"/>
    <w:rsid w:val="003B1F0A"/>
    <w:rsid w:val="003B66C3"/>
    <w:rsid w:val="003C2D9C"/>
    <w:rsid w:val="003D6B01"/>
    <w:rsid w:val="003E6F94"/>
    <w:rsid w:val="003F0EAB"/>
    <w:rsid w:val="003F635F"/>
    <w:rsid w:val="003F7189"/>
    <w:rsid w:val="004055E1"/>
    <w:rsid w:val="00405713"/>
    <w:rsid w:val="004168AE"/>
    <w:rsid w:val="004431BC"/>
    <w:rsid w:val="004646DB"/>
    <w:rsid w:val="004719D1"/>
    <w:rsid w:val="00474CDB"/>
    <w:rsid w:val="004809A9"/>
    <w:rsid w:val="00493705"/>
    <w:rsid w:val="00495587"/>
    <w:rsid w:val="004A225D"/>
    <w:rsid w:val="004A2B6B"/>
    <w:rsid w:val="004A4ADB"/>
    <w:rsid w:val="004B2103"/>
    <w:rsid w:val="004B3FB5"/>
    <w:rsid w:val="004C007A"/>
    <w:rsid w:val="004C095D"/>
    <w:rsid w:val="00501E35"/>
    <w:rsid w:val="0050702B"/>
    <w:rsid w:val="00513429"/>
    <w:rsid w:val="00524D7B"/>
    <w:rsid w:val="005515A6"/>
    <w:rsid w:val="00551C4C"/>
    <w:rsid w:val="00564CB9"/>
    <w:rsid w:val="00565259"/>
    <w:rsid w:val="00566D17"/>
    <w:rsid w:val="00572EBA"/>
    <w:rsid w:val="0057619D"/>
    <w:rsid w:val="005764C2"/>
    <w:rsid w:val="005A66EE"/>
    <w:rsid w:val="005A74FF"/>
    <w:rsid w:val="005E235C"/>
    <w:rsid w:val="005E39F6"/>
    <w:rsid w:val="006047BE"/>
    <w:rsid w:val="00611C59"/>
    <w:rsid w:val="006132A7"/>
    <w:rsid w:val="00614F22"/>
    <w:rsid w:val="00615925"/>
    <w:rsid w:val="00623F95"/>
    <w:rsid w:val="00632A39"/>
    <w:rsid w:val="00651523"/>
    <w:rsid w:val="00652A66"/>
    <w:rsid w:val="00676FBE"/>
    <w:rsid w:val="00680438"/>
    <w:rsid w:val="00680998"/>
    <w:rsid w:val="00692473"/>
    <w:rsid w:val="00696D6E"/>
    <w:rsid w:val="006A4358"/>
    <w:rsid w:val="006B02B0"/>
    <w:rsid w:val="006B4FBD"/>
    <w:rsid w:val="006B61D4"/>
    <w:rsid w:val="0070177C"/>
    <w:rsid w:val="007030E5"/>
    <w:rsid w:val="007148EF"/>
    <w:rsid w:val="00721FBC"/>
    <w:rsid w:val="00723A13"/>
    <w:rsid w:val="00723E46"/>
    <w:rsid w:val="007328FC"/>
    <w:rsid w:val="007433F6"/>
    <w:rsid w:val="00752833"/>
    <w:rsid w:val="00792B21"/>
    <w:rsid w:val="00797642"/>
    <w:rsid w:val="007D2AFB"/>
    <w:rsid w:val="007D771F"/>
    <w:rsid w:val="007E021D"/>
    <w:rsid w:val="007E2C74"/>
    <w:rsid w:val="007E3958"/>
    <w:rsid w:val="00806307"/>
    <w:rsid w:val="008075F0"/>
    <w:rsid w:val="00813C84"/>
    <w:rsid w:val="0082715F"/>
    <w:rsid w:val="00832596"/>
    <w:rsid w:val="00846877"/>
    <w:rsid w:val="00854F9E"/>
    <w:rsid w:val="00874E83"/>
    <w:rsid w:val="00875FA6"/>
    <w:rsid w:val="008900B8"/>
    <w:rsid w:val="008B1C40"/>
    <w:rsid w:val="008B4E67"/>
    <w:rsid w:val="008C398F"/>
    <w:rsid w:val="008E68F6"/>
    <w:rsid w:val="008E7D26"/>
    <w:rsid w:val="008F7E6B"/>
    <w:rsid w:val="00915FBE"/>
    <w:rsid w:val="00921C9E"/>
    <w:rsid w:val="00923430"/>
    <w:rsid w:val="00934365"/>
    <w:rsid w:val="0094327D"/>
    <w:rsid w:val="00945440"/>
    <w:rsid w:val="00991F97"/>
    <w:rsid w:val="009A0ED6"/>
    <w:rsid w:val="009A1945"/>
    <w:rsid w:val="009A527A"/>
    <w:rsid w:val="009B1784"/>
    <w:rsid w:val="009B4D0B"/>
    <w:rsid w:val="009C7229"/>
    <w:rsid w:val="009D524B"/>
    <w:rsid w:val="009E22BE"/>
    <w:rsid w:val="009E26B6"/>
    <w:rsid w:val="009E5C7B"/>
    <w:rsid w:val="00A06105"/>
    <w:rsid w:val="00A27484"/>
    <w:rsid w:val="00A37814"/>
    <w:rsid w:val="00A409BD"/>
    <w:rsid w:val="00A4442F"/>
    <w:rsid w:val="00A4496E"/>
    <w:rsid w:val="00A47581"/>
    <w:rsid w:val="00A5078A"/>
    <w:rsid w:val="00A52B64"/>
    <w:rsid w:val="00A52C3D"/>
    <w:rsid w:val="00A53D62"/>
    <w:rsid w:val="00A64CCE"/>
    <w:rsid w:val="00A731DF"/>
    <w:rsid w:val="00A77799"/>
    <w:rsid w:val="00A87EC4"/>
    <w:rsid w:val="00A9393E"/>
    <w:rsid w:val="00A95609"/>
    <w:rsid w:val="00A9646E"/>
    <w:rsid w:val="00AA0F21"/>
    <w:rsid w:val="00AA4406"/>
    <w:rsid w:val="00AB38D3"/>
    <w:rsid w:val="00AB713D"/>
    <w:rsid w:val="00AC5668"/>
    <w:rsid w:val="00AC6128"/>
    <w:rsid w:val="00AD619D"/>
    <w:rsid w:val="00AE2B84"/>
    <w:rsid w:val="00AE3C4D"/>
    <w:rsid w:val="00AF07E4"/>
    <w:rsid w:val="00AF4B68"/>
    <w:rsid w:val="00AF62BA"/>
    <w:rsid w:val="00B16D24"/>
    <w:rsid w:val="00B20B7A"/>
    <w:rsid w:val="00B35288"/>
    <w:rsid w:val="00B4214C"/>
    <w:rsid w:val="00B42213"/>
    <w:rsid w:val="00B50061"/>
    <w:rsid w:val="00B60790"/>
    <w:rsid w:val="00B6634E"/>
    <w:rsid w:val="00B6760A"/>
    <w:rsid w:val="00B76B1F"/>
    <w:rsid w:val="00B91D09"/>
    <w:rsid w:val="00B928A5"/>
    <w:rsid w:val="00BA51D7"/>
    <w:rsid w:val="00BD7200"/>
    <w:rsid w:val="00C01ADC"/>
    <w:rsid w:val="00C03196"/>
    <w:rsid w:val="00C16905"/>
    <w:rsid w:val="00C41017"/>
    <w:rsid w:val="00C45F4E"/>
    <w:rsid w:val="00C65A90"/>
    <w:rsid w:val="00C71E33"/>
    <w:rsid w:val="00C81B04"/>
    <w:rsid w:val="00CA4797"/>
    <w:rsid w:val="00CA677E"/>
    <w:rsid w:val="00CB2C63"/>
    <w:rsid w:val="00CB4004"/>
    <w:rsid w:val="00CB54FE"/>
    <w:rsid w:val="00CB60B3"/>
    <w:rsid w:val="00CB636E"/>
    <w:rsid w:val="00CC4ED6"/>
    <w:rsid w:val="00CD1D9A"/>
    <w:rsid w:val="00CD5CFB"/>
    <w:rsid w:val="00CE7F38"/>
    <w:rsid w:val="00CF1F14"/>
    <w:rsid w:val="00CF7E9A"/>
    <w:rsid w:val="00D27BE4"/>
    <w:rsid w:val="00D349C1"/>
    <w:rsid w:val="00D34A8F"/>
    <w:rsid w:val="00D43F81"/>
    <w:rsid w:val="00D459E6"/>
    <w:rsid w:val="00D53F5D"/>
    <w:rsid w:val="00D54C16"/>
    <w:rsid w:val="00D80DD3"/>
    <w:rsid w:val="00DA26B2"/>
    <w:rsid w:val="00DA2AAD"/>
    <w:rsid w:val="00DC15F3"/>
    <w:rsid w:val="00DD4DD8"/>
    <w:rsid w:val="00E2132A"/>
    <w:rsid w:val="00E24D6B"/>
    <w:rsid w:val="00E471E9"/>
    <w:rsid w:val="00E501F9"/>
    <w:rsid w:val="00E61D12"/>
    <w:rsid w:val="00E74A07"/>
    <w:rsid w:val="00E86A3F"/>
    <w:rsid w:val="00E8766B"/>
    <w:rsid w:val="00E9235D"/>
    <w:rsid w:val="00E965AE"/>
    <w:rsid w:val="00EE0C14"/>
    <w:rsid w:val="00F0297A"/>
    <w:rsid w:val="00F06F88"/>
    <w:rsid w:val="00F23428"/>
    <w:rsid w:val="00F27791"/>
    <w:rsid w:val="00F32231"/>
    <w:rsid w:val="00F36E7F"/>
    <w:rsid w:val="00F53EAB"/>
    <w:rsid w:val="00F5405A"/>
    <w:rsid w:val="00F55725"/>
    <w:rsid w:val="00F6349E"/>
    <w:rsid w:val="00F83534"/>
    <w:rsid w:val="00F83C26"/>
    <w:rsid w:val="00F869F3"/>
    <w:rsid w:val="00FA5E4E"/>
    <w:rsid w:val="00FA6015"/>
    <w:rsid w:val="00FB0B4E"/>
    <w:rsid w:val="00FC1259"/>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46E"/>
    <w:pPr>
      <w:spacing w:after="120" w:line="312" w:lineRule="auto"/>
      <w:ind w:left="284"/>
      <w:jc w:val="both"/>
    </w:pPr>
    <w:rPr>
      <w:rFonts w:ascii="Verdana" w:hAnsi="Verdana" w:cs="Times New Roman (Corps CS)"/>
      <w:sz w:val="18"/>
    </w:rPr>
  </w:style>
  <w:style w:type="paragraph" w:styleId="Heading1">
    <w:name w:val="heading 1"/>
    <w:basedOn w:val="Normal"/>
    <w:next w:val="Normal"/>
    <w:link w:val="Heading1Char"/>
    <w:uiPriority w:val="9"/>
    <w:qFormat/>
    <w:rsid w:val="00551C4C"/>
    <w:pPr>
      <w:keepNext/>
      <w:numPr>
        <w:numId w:val="26"/>
      </w:numPr>
      <w:spacing w:line="360" w:lineRule="exact"/>
      <w:ind w:left="709"/>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1A4ED1"/>
    <w:pPr>
      <w:keepNext/>
      <w:keepLines/>
      <w:numPr>
        <w:ilvl w:val="1"/>
        <w:numId w:val="26"/>
      </w:numPr>
      <w:spacing w:before="480"/>
      <w:ind w:left="851" w:hanging="567"/>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1A4ED1"/>
    <w:pPr>
      <w:keepNext/>
      <w:keepLines/>
      <w:numPr>
        <w:ilvl w:val="2"/>
        <w:numId w:val="26"/>
      </w:numPr>
      <w:spacing w:before="360" w:line="240" w:lineRule="exact"/>
      <w:ind w:left="1418" w:hanging="709"/>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1A4ED1"/>
    <w:pPr>
      <w:keepNext/>
      <w:numPr>
        <w:ilvl w:val="3"/>
        <w:numId w:val="26"/>
      </w:numPr>
      <w:spacing w:before="360" w:line="200" w:lineRule="exact"/>
      <w:ind w:left="2694" w:hanging="1276"/>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551C4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1A4ED1"/>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1A4ED1"/>
    <w:rPr>
      <w:rFonts w:ascii="Verdana" w:eastAsiaTheme="majorEastAsia" w:hAnsi="Verdana" w:cstheme="majorBidi"/>
      <w:sz w:val="17"/>
    </w:rPr>
  </w:style>
  <w:style w:type="character" w:customStyle="1" w:styleId="Heading4Char">
    <w:name w:val="Heading 4 Char"/>
    <w:basedOn w:val="DefaultParagraphFont"/>
    <w:link w:val="Heading4"/>
    <w:uiPriority w:val="9"/>
    <w:rsid w:val="001A4ED1"/>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ind w:left="284"/>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EndnoteText">
    <w:name w:val="endnote text"/>
    <w:basedOn w:val="Normal"/>
    <w:link w:val="EndnoteTextChar"/>
    <w:uiPriority w:val="99"/>
    <w:semiHidden/>
    <w:unhideWhenUsed/>
    <w:rsid w:val="00315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B11"/>
    <w:rPr>
      <w:rFonts w:ascii="Verdana" w:hAnsi="Verdana" w:cs="Times New Roman (Corps CS)"/>
      <w:sz w:val="20"/>
      <w:szCs w:val="20"/>
    </w:rPr>
  </w:style>
  <w:style w:type="character" w:styleId="EndnoteReference">
    <w:name w:val="endnote reference"/>
    <w:basedOn w:val="DefaultParagraphFont"/>
    <w:uiPriority w:val="99"/>
    <w:semiHidden/>
    <w:unhideWhenUsed/>
    <w:rsid w:val="00315B11"/>
    <w:rPr>
      <w:vertAlign w:val="superscript"/>
    </w:rPr>
  </w:style>
  <w:style w:type="table" w:styleId="GridTable2-Accent1">
    <w:name w:val="Grid Table 2 Accent 1"/>
    <w:basedOn w:val="TableNormal"/>
    <w:uiPriority w:val="47"/>
    <w:rsid w:val="0034340F"/>
    <w:tblPr>
      <w:tblStyleRowBandSize w:val="1"/>
      <w:tblStyleColBandSize w:val="1"/>
      <w:tblBorders>
        <w:top w:val="single" w:sz="2" w:space="0" w:color="DCD3B4" w:themeColor="accent1" w:themeTint="99"/>
        <w:bottom w:val="single" w:sz="2" w:space="0" w:color="DCD3B4" w:themeColor="accent1" w:themeTint="99"/>
        <w:insideH w:val="single" w:sz="2" w:space="0" w:color="DCD3B4" w:themeColor="accent1" w:themeTint="99"/>
        <w:insideV w:val="single" w:sz="2" w:space="0" w:color="DCD3B4" w:themeColor="accent1" w:themeTint="99"/>
      </w:tblBorders>
    </w:tblPr>
    <w:tblStylePr w:type="firstRow">
      <w:rPr>
        <w:b/>
        <w:bCs/>
      </w:rPr>
      <w:tblPr/>
      <w:tcPr>
        <w:tcBorders>
          <w:top w:val="nil"/>
          <w:bottom w:val="single" w:sz="12" w:space="0" w:color="DCD3B4" w:themeColor="accent1" w:themeTint="99"/>
          <w:insideH w:val="nil"/>
          <w:insideV w:val="nil"/>
        </w:tcBorders>
        <w:shd w:val="clear" w:color="auto" w:fill="7FA9AE" w:themeFill="background1"/>
      </w:tcPr>
    </w:tblStylePr>
    <w:tblStylePr w:type="lastRow">
      <w:rPr>
        <w:b/>
        <w:bCs/>
      </w:rPr>
      <w:tblPr/>
      <w:tcPr>
        <w:tcBorders>
          <w:top w:val="double" w:sz="2" w:space="0" w:color="DCD3B4" w:themeColor="accent1"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3F0E6" w:themeFill="accent1" w:themeFillTint="33"/>
      </w:tcPr>
    </w:tblStylePr>
    <w:tblStylePr w:type="band1Horz">
      <w:tblPr/>
      <w:tcPr>
        <w:shd w:val="clear" w:color="auto" w:fill="F3F0E6" w:themeFill="accent1" w:themeFillTint="33"/>
      </w:tcPr>
    </w:tblStylePr>
  </w:style>
  <w:style w:type="paragraph" w:customStyle="1" w:styleId="note">
    <w:name w:val="note"/>
    <w:basedOn w:val="Normal"/>
    <w:rsid w:val="00CB4004"/>
    <w:pPr>
      <w:spacing w:before="100" w:beforeAutospacing="1" w:after="100" w:afterAutospacing="1" w:line="240" w:lineRule="auto"/>
      <w:ind w:left="0"/>
      <w:jc w:val="left"/>
    </w:pPr>
    <w:rPr>
      <w:rFonts w:ascii="Times New Roman" w:eastAsia="Times New Roman" w:hAnsi="Times New Roman" w:cs="Times New Roman"/>
      <w:sz w:val="24"/>
      <w:lang w:val="en-US"/>
    </w:rPr>
  </w:style>
  <w:style w:type="table" w:styleId="ListTable1Light-Accent2">
    <w:name w:val="List Table 1 Light Accent 2"/>
    <w:basedOn w:val="TableNormal"/>
    <w:uiPriority w:val="46"/>
    <w:rsid w:val="004B3FB5"/>
    <w:tblPr>
      <w:tblStyleRowBandSize w:val="1"/>
      <w:tblStyleColBandSize w:val="1"/>
    </w:tblPr>
    <w:tblStylePr w:type="firstRow">
      <w:rPr>
        <w:b/>
        <w:bCs/>
      </w:rPr>
      <w:tblPr/>
      <w:tcPr>
        <w:tcBorders>
          <w:bottom w:val="single" w:sz="4" w:space="0" w:color="E2E4E4" w:themeColor="accent2" w:themeTint="99"/>
        </w:tcBorders>
      </w:tcPr>
    </w:tblStylePr>
    <w:tblStylePr w:type="lastRow">
      <w:rPr>
        <w:b/>
        <w:bCs/>
      </w:rPr>
      <w:tblPr/>
      <w:tcPr>
        <w:tcBorders>
          <w:top w:val="single" w:sz="4" w:space="0" w:color="E2E4E4" w:themeColor="accent2" w:themeTint="99"/>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paragraph" w:styleId="BalloonText">
    <w:name w:val="Balloon Text"/>
    <w:basedOn w:val="Normal"/>
    <w:link w:val="BalloonTextChar"/>
    <w:uiPriority w:val="99"/>
    <w:semiHidden/>
    <w:unhideWhenUsed/>
    <w:rsid w:val="00BD72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D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R17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ingsupervision.europa.eu/home/data-protection/privacy-statements/html/ssm.privacy_statement_prudential_supervision.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EN/TXT/?uri=CELEX%3A32014R0468&amp;qid=1608283343733" TargetMode="External"/><Relationship Id="rId4" Type="http://schemas.openxmlformats.org/officeDocument/2006/relationships/settings" Target="settings.xml"/><Relationship Id="rId9" Type="http://schemas.openxmlformats.org/officeDocument/2006/relationships/hyperlink" Target="https://eur-lex.europa.eu/legal-content/EN/TXT/?&amp;uri=CELEX:32013R102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F37-5720-44AA-9217-DC336498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9935</Characters>
  <Application>Microsoft Office Word</Application>
  <DocSecurity>0</DocSecurity>
  <Lines>82</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2022-07-29T06:51:00Z</dcterms:created>
  <dcterms:modified xsi:type="dcterms:W3CDTF">2022-07-29T06:52:00Z</dcterms:modified>
</cp:coreProperties>
</file>