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9F" w:rsidRPr="005C79A5" w:rsidRDefault="00ED0D56" w:rsidP="005C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lang w:val="en-US"/>
        </w:rPr>
      </w:pPr>
      <w:r w:rsidRPr="005C79A5">
        <w:rPr>
          <w:rFonts w:ascii="Times New Roman" w:hAnsi="Times New Roman" w:cs="Times New Roman"/>
          <w:lang w:val="en-US"/>
        </w:rPr>
        <w:t>In case of discrepancies between the French and the English text, the French text shall prevail.</w:t>
      </w:r>
    </w:p>
    <w:p w:rsidR="0086109F" w:rsidRPr="00ED0D56" w:rsidRDefault="0086109F" w:rsidP="0086109F">
      <w:pPr>
        <w:ind w:left="4678"/>
        <w:rPr>
          <w:rFonts w:ascii="Times New Roman" w:hAnsi="Times New Roman" w:cs="Times New Roman"/>
          <w:lang w:val="en-US"/>
        </w:rPr>
      </w:pPr>
      <w:r w:rsidRPr="00ED0D56">
        <w:rPr>
          <w:rFonts w:ascii="Times New Roman" w:hAnsi="Times New Roman" w:cs="Times New Roman"/>
          <w:lang w:val="en-US"/>
        </w:rPr>
        <w:t xml:space="preserve">Luxembourg, </w:t>
      </w:r>
      <w:r w:rsidR="00007BBB">
        <w:rPr>
          <w:rFonts w:ascii="Times New Roman" w:hAnsi="Times New Roman" w:cs="Times New Roman"/>
          <w:lang w:val="en-US"/>
        </w:rPr>
        <w:t>18</w:t>
      </w:r>
      <w:r w:rsidRPr="00ED0D56">
        <w:rPr>
          <w:rFonts w:ascii="Times New Roman" w:hAnsi="Times New Roman" w:cs="Times New Roman"/>
          <w:lang w:val="en-US"/>
        </w:rPr>
        <w:t xml:space="preserve"> </w:t>
      </w:r>
      <w:r w:rsidR="00ED0D56" w:rsidRPr="00ED0D56">
        <w:rPr>
          <w:rFonts w:ascii="Times New Roman" w:hAnsi="Times New Roman" w:cs="Times New Roman"/>
          <w:lang w:val="en-US"/>
        </w:rPr>
        <w:t>December</w:t>
      </w:r>
      <w:r w:rsidRPr="00ED0D56">
        <w:rPr>
          <w:rFonts w:ascii="Times New Roman" w:hAnsi="Times New Roman" w:cs="Times New Roman"/>
          <w:lang w:val="en-US"/>
        </w:rPr>
        <w:t xml:space="preserve"> 2018</w:t>
      </w:r>
    </w:p>
    <w:p w:rsidR="0086109F" w:rsidRDefault="00ED0D56" w:rsidP="0086109F">
      <w:pPr>
        <w:ind w:left="4678"/>
        <w:rPr>
          <w:rFonts w:ascii="Times New Roman" w:hAnsi="Times New Roman" w:cs="Times New Roman"/>
          <w:lang w:val="en-US"/>
        </w:rPr>
      </w:pPr>
      <w:r w:rsidRPr="00ED0D56">
        <w:rPr>
          <w:rFonts w:ascii="Times New Roman" w:hAnsi="Times New Roman" w:cs="Times New Roman"/>
          <w:lang w:val="en-US"/>
        </w:rPr>
        <w:t xml:space="preserve">To all </w:t>
      </w:r>
      <w:r w:rsidR="00007BBB">
        <w:rPr>
          <w:rFonts w:ascii="Times New Roman" w:hAnsi="Times New Roman" w:cs="Times New Roman"/>
          <w:lang w:val="en-US"/>
        </w:rPr>
        <w:t xml:space="preserve">member institutions of the </w:t>
      </w:r>
      <w:proofErr w:type="spellStart"/>
      <w:r w:rsidR="00007BBB" w:rsidRPr="00007BBB">
        <w:rPr>
          <w:rFonts w:ascii="Times New Roman" w:hAnsi="Times New Roman" w:cs="Times New Roman"/>
          <w:i/>
          <w:lang w:val="en-US"/>
        </w:rPr>
        <w:t>Fonds</w:t>
      </w:r>
      <w:proofErr w:type="spellEnd"/>
      <w:r w:rsidR="00007BBB" w:rsidRPr="00007BBB">
        <w:rPr>
          <w:rFonts w:ascii="Times New Roman" w:hAnsi="Times New Roman" w:cs="Times New Roman"/>
          <w:i/>
          <w:lang w:val="en-US"/>
        </w:rPr>
        <w:t xml:space="preserve"> de </w:t>
      </w:r>
      <w:proofErr w:type="spellStart"/>
      <w:r w:rsidR="00007BBB" w:rsidRPr="00007BBB">
        <w:rPr>
          <w:rFonts w:ascii="Times New Roman" w:hAnsi="Times New Roman" w:cs="Times New Roman"/>
          <w:i/>
          <w:lang w:val="en-US"/>
        </w:rPr>
        <w:t>garantie</w:t>
      </w:r>
      <w:proofErr w:type="spellEnd"/>
      <w:r w:rsidR="00007BBB" w:rsidRPr="00007BBB">
        <w:rPr>
          <w:rFonts w:ascii="Times New Roman" w:hAnsi="Times New Roman" w:cs="Times New Roman"/>
          <w:i/>
          <w:lang w:val="en-US"/>
        </w:rPr>
        <w:t xml:space="preserve"> des </w:t>
      </w:r>
      <w:proofErr w:type="spellStart"/>
      <w:r w:rsidR="00007BBB" w:rsidRPr="00007BBB">
        <w:rPr>
          <w:rFonts w:ascii="Times New Roman" w:hAnsi="Times New Roman" w:cs="Times New Roman"/>
          <w:i/>
          <w:lang w:val="en-US"/>
        </w:rPr>
        <w:t>dépôts</w:t>
      </w:r>
      <w:proofErr w:type="spellEnd"/>
      <w:r w:rsidR="00007BBB" w:rsidRPr="00007BBB">
        <w:rPr>
          <w:rFonts w:ascii="Times New Roman" w:hAnsi="Times New Roman" w:cs="Times New Roman"/>
          <w:i/>
          <w:lang w:val="en-US"/>
        </w:rPr>
        <w:t xml:space="preserve"> Luxembourg</w:t>
      </w:r>
      <w:r>
        <w:rPr>
          <w:rFonts w:ascii="Times New Roman" w:hAnsi="Times New Roman" w:cs="Times New Roman"/>
          <w:lang w:val="en-US"/>
        </w:rPr>
        <w:t>.</w:t>
      </w:r>
    </w:p>
    <w:p w:rsidR="00ED0D56" w:rsidRPr="00ED0D56" w:rsidRDefault="00ED0D56" w:rsidP="0086109F">
      <w:pPr>
        <w:ind w:left="4678"/>
        <w:rPr>
          <w:rFonts w:ascii="Times New Roman" w:hAnsi="Times New Roman" w:cs="Times New Roman"/>
          <w:lang w:val="en-US"/>
        </w:rPr>
      </w:pPr>
    </w:p>
    <w:p w:rsidR="0086109F" w:rsidRPr="005F5DD8" w:rsidRDefault="0086109F" w:rsidP="0086109F">
      <w:pPr>
        <w:jc w:val="center"/>
        <w:rPr>
          <w:rFonts w:ascii="Times New Roman" w:hAnsi="Times New Roman" w:cs="Times New Roman"/>
          <w:bdr w:val="single" w:sz="4" w:space="0" w:color="auto"/>
          <w:lang w:val="en-US"/>
        </w:rPr>
      </w:pPr>
      <w:r w:rsidRPr="005F5DD8">
        <w:rPr>
          <w:rFonts w:ascii="Times New Roman" w:hAnsi="Times New Roman" w:cs="Times New Roman"/>
          <w:color w:val="FFFFFF" w:themeColor="background1"/>
          <w:bdr w:val="single" w:sz="4" w:space="0" w:color="auto"/>
          <w:lang w:val="en-US"/>
        </w:rPr>
        <w:t xml:space="preserve">X </w:t>
      </w:r>
      <w:r w:rsidRPr="005F5DD8">
        <w:rPr>
          <w:rFonts w:ascii="Times New Roman" w:hAnsi="Times New Roman" w:cs="Times New Roman"/>
          <w:b/>
          <w:bdr w:val="single" w:sz="4" w:space="0" w:color="auto"/>
          <w:lang w:val="en-US"/>
        </w:rPr>
        <w:t>CIRCULAR CSSF-CPDI 18/</w:t>
      </w:r>
      <w:r w:rsidR="00007BBB" w:rsidRPr="005F5DD8">
        <w:rPr>
          <w:rFonts w:ascii="Times New Roman" w:hAnsi="Times New Roman" w:cs="Times New Roman"/>
          <w:b/>
          <w:bdr w:val="single" w:sz="4" w:space="0" w:color="auto"/>
          <w:lang w:val="en-US"/>
        </w:rPr>
        <w:t>14</w:t>
      </w:r>
      <w:r w:rsidRPr="005F5DD8">
        <w:rPr>
          <w:rFonts w:ascii="Times New Roman" w:hAnsi="Times New Roman" w:cs="Times New Roman"/>
          <w:color w:val="FFFFFF" w:themeColor="background1"/>
          <w:bdr w:val="single" w:sz="4" w:space="0" w:color="auto"/>
          <w:lang w:val="en-US"/>
        </w:rPr>
        <w:t>X</w:t>
      </w:r>
    </w:p>
    <w:p w:rsidR="004E3776" w:rsidRDefault="004E3776" w:rsidP="0086109F">
      <w:pPr>
        <w:rPr>
          <w:rFonts w:ascii="Times New Roman" w:hAnsi="Times New Roman" w:cs="Times New Roman"/>
          <w:b/>
          <w:u w:val="single"/>
          <w:lang w:val="en-US"/>
        </w:rPr>
      </w:pPr>
    </w:p>
    <w:p w:rsidR="001C2261" w:rsidRDefault="00ED0D56" w:rsidP="0086109F">
      <w:pPr>
        <w:rPr>
          <w:rFonts w:ascii="Times New Roman" w:hAnsi="Times New Roman" w:cs="Times New Roman"/>
          <w:b/>
          <w:lang w:val="en-US"/>
        </w:rPr>
      </w:pPr>
      <w:proofErr w:type="gramStart"/>
      <w:r w:rsidRPr="001C2261">
        <w:rPr>
          <w:rFonts w:ascii="Times New Roman" w:hAnsi="Times New Roman" w:cs="Times New Roman"/>
          <w:b/>
          <w:u w:val="single"/>
          <w:lang w:val="en-US"/>
        </w:rPr>
        <w:t>Re</w:t>
      </w:r>
      <w:r w:rsidR="0086109F" w:rsidRPr="001C2261">
        <w:rPr>
          <w:rFonts w:ascii="Times New Roman" w:hAnsi="Times New Roman" w:cs="Times New Roman"/>
          <w:b/>
          <w:u w:val="single"/>
          <w:lang w:val="en-US"/>
        </w:rPr>
        <w:t> :</w:t>
      </w:r>
      <w:proofErr w:type="gramEnd"/>
      <w:r w:rsidR="0086109F" w:rsidRPr="001C2261">
        <w:rPr>
          <w:rFonts w:ascii="Times New Roman" w:hAnsi="Times New Roman" w:cs="Times New Roman"/>
          <w:b/>
          <w:lang w:val="en-US"/>
        </w:rPr>
        <w:t xml:space="preserve"> </w:t>
      </w:r>
      <w:r w:rsidR="001C2261" w:rsidRPr="001C2261">
        <w:rPr>
          <w:rFonts w:ascii="Times New Roman" w:hAnsi="Times New Roman" w:cs="Times New Roman"/>
          <w:b/>
          <w:lang w:val="en-US"/>
        </w:rPr>
        <w:t xml:space="preserve">Definition of public authorities in the context of exclusions from deposit guarantee. </w:t>
      </w:r>
    </w:p>
    <w:p w:rsidR="0086109F" w:rsidRPr="00ED0D56" w:rsidRDefault="00ED0D56" w:rsidP="0086109F">
      <w:pPr>
        <w:jc w:val="both"/>
        <w:rPr>
          <w:rFonts w:ascii="Times New Roman" w:hAnsi="Times New Roman" w:cs="Times New Roman"/>
          <w:lang w:val="en-US"/>
        </w:rPr>
      </w:pPr>
      <w:r w:rsidRPr="00ED0D56">
        <w:rPr>
          <w:rFonts w:ascii="Times New Roman" w:hAnsi="Times New Roman" w:cs="Times New Roman"/>
          <w:lang w:val="en-US"/>
        </w:rPr>
        <w:t>Ladies and Gentlemen</w:t>
      </w:r>
      <w:r w:rsidR="0086109F" w:rsidRPr="00ED0D56">
        <w:rPr>
          <w:rFonts w:ascii="Times New Roman" w:hAnsi="Times New Roman" w:cs="Times New Roman"/>
          <w:lang w:val="en-US"/>
        </w:rPr>
        <w:t>,</w:t>
      </w:r>
    </w:p>
    <w:p w:rsidR="00ED0D56" w:rsidRDefault="00ED0D56" w:rsidP="0086109F">
      <w:pPr>
        <w:jc w:val="both"/>
        <w:rPr>
          <w:rFonts w:ascii="Times New Roman" w:hAnsi="Times New Roman" w:cs="Times New Roman"/>
          <w:lang w:val="en-US"/>
        </w:rPr>
      </w:pPr>
      <w:r w:rsidRPr="00ED0D56">
        <w:rPr>
          <w:rFonts w:ascii="Times New Roman" w:hAnsi="Times New Roman" w:cs="Times New Roman"/>
          <w:lang w:val="en-US"/>
        </w:rPr>
        <w:t xml:space="preserve">This circular aims at </w:t>
      </w:r>
      <w:r>
        <w:rPr>
          <w:rFonts w:ascii="Times New Roman" w:hAnsi="Times New Roman" w:cs="Times New Roman"/>
          <w:lang w:val="en-US"/>
        </w:rPr>
        <w:t xml:space="preserve">clarifying the exclusion of public authorities from the deposit guarantee pursuant to Article 172(1), point 10, </w:t>
      </w:r>
      <w:r w:rsidRPr="00ED0D56">
        <w:rPr>
          <w:rFonts w:ascii="Times New Roman" w:hAnsi="Times New Roman" w:cs="Times New Roman"/>
          <w:lang w:val="en-US"/>
        </w:rPr>
        <w:t>of the amended law of 18 December 2015 on the failure of credit institutions and certain investment firms</w:t>
      </w:r>
      <w:r>
        <w:rPr>
          <w:rFonts w:ascii="Times New Roman" w:hAnsi="Times New Roman" w:cs="Times New Roman"/>
          <w:lang w:val="en-US"/>
        </w:rPr>
        <w:t xml:space="preserve">. It </w:t>
      </w:r>
      <w:r w:rsidR="00007BBB">
        <w:rPr>
          <w:rFonts w:ascii="Times New Roman" w:hAnsi="Times New Roman" w:cs="Times New Roman"/>
          <w:lang w:val="en-US"/>
        </w:rPr>
        <w:t xml:space="preserve">is </w:t>
      </w:r>
      <w:r w:rsidRPr="00ED0D56">
        <w:rPr>
          <w:rFonts w:ascii="Times New Roman" w:hAnsi="Times New Roman" w:cs="Times New Roman"/>
          <w:lang w:val="en-US"/>
        </w:rPr>
        <w:t>addresse</w:t>
      </w:r>
      <w:r w:rsidR="00007BBB">
        <w:rPr>
          <w:rFonts w:ascii="Times New Roman" w:hAnsi="Times New Roman" w:cs="Times New Roman"/>
          <w:lang w:val="en-US"/>
        </w:rPr>
        <w:t>d</w:t>
      </w:r>
      <w:r w:rsidRPr="00ED0D56">
        <w:rPr>
          <w:rFonts w:ascii="Times New Roman" w:hAnsi="Times New Roman" w:cs="Times New Roman"/>
          <w:lang w:val="en-US"/>
        </w:rPr>
        <w:t xml:space="preserve"> to </w:t>
      </w:r>
      <w:r>
        <w:rPr>
          <w:rFonts w:ascii="Times New Roman" w:hAnsi="Times New Roman" w:cs="Times New Roman"/>
          <w:lang w:val="en-US"/>
        </w:rPr>
        <w:t>institutions that are</w:t>
      </w:r>
      <w:r w:rsidR="00A76693">
        <w:rPr>
          <w:rFonts w:ascii="Times New Roman" w:hAnsi="Times New Roman" w:cs="Times New Roman"/>
          <w:lang w:val="en-US"/>
        </w:rPr>
        <w:t xml:space="preserve"> members of the “</w:t>
      </w:r>
      <w:proofErr w:type="spellStart"/>
      <w:r w:rsidRPr="00ED0D56">
        <w:rPr>
          <w:rFonts w:ascii="Times New Roman" w:hAnsi="Times New Roman" w:cs="Times New Roman"/>
          <w:lang w:val="en-US"/>
        </w:rPr>
        <w:t>Fonds</w:t>
      </w:r>
      <w:proofErr w:type="spellEnd"/>
      <w:r w:rsidRPr="00ED0D56">
        <w:rPr>
          <w:rFonts w:ascii="Times New Roman" w:hAnsi="Times New Roman" w:cs="Times New Roman"/>
          <w:lang w:val="en-US"/>
        </w:rPr>
        <w:t xml:space="preserve"> de</w:t>
      </w:r>
      <w:r w:rsidR="00A766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76693">
        <w:rPr>
          <w:rFonts w:ascii="Times New Roman" w:hAnsi="Times New Roman" w:cs="Times New Roman"/>
          <w:lang w:val="en-US"/>
        </w:rPr>
        <w:t>garantie</w:t>
      </w:r>
      <w:proofErr w:type="spellEnd"/>
      <w:r w:rsidR="00A76693">
        <w:rPr>
          <w:rFonts w:ascii="Times New Roman" w:hAnsi="Times New Roman" w:cs="Times New Roman"/>
          <w:lang w:val="en-US"/>
        </w:rPr>
        <w:t xml:space="preserve"> des </w:t>
      </w:r>
      <w:proofErr w:type="spellStart"/>
      <w:r w:rsidR="00A76693">
        <w:rPr>
          <w:rFonts w:ascii="Times New Roman" w:hAnsi="Times New Roman" w:cs="Times New Roman"/>
          <w:lang w:val="en-US"/>
        </w:rPr>
        <w:t>dépôts</w:t>
      </w:r>
      <w:proofErr w:type="spellEnd"/>
      <w:r w:rsidR="00A76693">
        <w:rPr>
          <w:rFonts w:ascii="Times New Roman" w:hAnsi="Times New Roman" w:cs="Times New Roman"/>
          <w:lang w:val="en-US"/>
        </w:rPr>
        <w:t xml:space="preserve"> Luxembourg” (FGDL</w:t>
      </w:r>
      <w:r w:rsidRPr="00ED0D56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>.</w:t>
      </w:r>
    </w:p>
    <w:p w:rsidR="00ED0D56" w:rsidRDefault="00ED0D56" w:rsidP="00ED0D56">
      <w:pPr>
        <w:jc w:val="both"/>
        <w:rPr>
          <w:rFonts w:ascii="Times New Roman" w:hAnsi="Times New Roman" w:cs="Times New Roman"/>
          <w:lang w:val="en-US"/>
        </w:rPr>
      </w:pPr>
      <w:r w:rsidRPr="00ED0D56">
        <w:rPr>
          <w:rFonts w:ascii="Times New Roman" w:hAnsi="Times New Roman" w:cs="Times New Roman"/>
          <w:lang w:val="en-US"/>
        </w:rPr>
        <w:t xml:space="preserve">In view of the legal principle that exceptions are to be </w:t>
      </w:r>
      <w:r>
        <w:rPr>
          <w:rFonts w:ascii="Times New Roman" w:hAnsi="Times New Roman" w:cs="Times New Roman"/>
          <w:lang w:val="en-US"/>
        </w:rPr>
        <w:t xml:space="preserve">construed </w:t>
      </w:r>
      <w:r w:rsidRPr="00ED0D56">
        <w:rPr>
          <w:rFonts w:ascii="Times New Roman" w:hAnsi="Times New Roman" w:cs="Times New Roman"/>
          <w:lang w:val="en-US"/>
        </w:rPr>
        <w:t>strictly, a</w:t>
      </w:r>
      <w:r w:rsidR="00A76693">
        <w:rPr>
          <w:rFonts w:ascii="Times New Roman" w:hAnsi="Times New Roman" w:cs="Times New Roman"/>
          <w:lang w:val="en-US"/>
        </w:rPr>
        <w:t xml:space="preserve"> narrow definition of the term “public authorit</w:t>
      </w:r>
      <w:r w:rsidR="001C2261">
        <w:rPr>
          <w:rFonts w:ascii="Times New Roman" w:hAnsi="Times New Roman" w:cs="Times New Roman"/>
          <w:lang w:val="en-US"/>
        </w:rPr>
        <w:t>y</w:t>
      </w:r>
      <w:r w:rsidR="00A76693">
        <w:rPr>
          <w:rFonts w:ascii="Times New Roman" w:hAnsi="Times New Roman" w:cs="Times New Roman"/>
          <w:lang w:val="en-US"/>
        </w:rPr>
        <w:t>”</w:t>
      </w:r>
      <w:r w:rsidRPr="00ED0D56">
        <w:rPr>
          <w:rFonts w:ascii="Times New Roman" w:hAnsi="Times New Roman" w:cs="Times New Roman"/>
          <w:lang w:val="en-US"/>
        </w:rPr>
        <w:t xml:space="preserve"> should be adopted. Thus, for the purposes of the aforementioned article, are to be considered as public authorities </w:t>
      </w:r>
      <w:r w:rsidR="00780983" w:rsidRPr="00ED0D56">
        <w:rPr>
          <w:rFonts w:ascii="Times New Roman" w:hAnsi="Times New Roman" w:cs="Times New Roman"/>
          <w:lang w:val="en-US"/>
        </w:rPr>
        <w:t xml:space="preserve">the following counterparties </w:t>
      </w:r>
      <w:r w:rsidRPr="00ED0D56">
        <w:rPr>
          <w:rFonts w:ascii="Times New Roman" w:hAnsi="Times New Roman" w:cs="Times New Roman"/>
          <w:lang w:val="en-US"/>
        </w:rPr>
        <w:t>as defined in</w:t>
      </w:r>
      <w:r w:rsidR="001C2261">
        <w:rPr>
          <w:rFonts w:ascii="Times New Roman" w:hAnsi="Times New Roman" w:cs="Times New Roman"/>
          <w:lang w:val="en-US"/>
        </w:rPr>
        <w:t xml:space="preserve"> Chapter 5.3.1 of the document “</w:t>
      </w:r>
      <w:r w:rsidRPr="00ED0D56">
        <w:rPr>
          <w:rFonts w:ascii="Times New Roman" w:hAnsi="Times New Roman" w:cs="Times New Roman"/>
          <w:lang w:val="en-US"/>
        </w:rPr>
        <w:t>Definitions and concepts for the statistical r</w:t>
      </w:r>
      <w:r w:rsidR="001C2261">
        <w:rPr>
          <w:rFonts w:ascii="Times New Roman" w:hAnsi="Times New Roman" w:cs="Times New Roman"/>
          <w:lang w:val="en-US"/>
        </w:rPr>
        <w:t>eporting of credit institutions”</w:t>
      </w:r>
      <w:r w:rsidR="00007BBB">
        <w:rPr>
          <w:rStyle w:val="FootnoteReference"/>
          <w:rFonts w:ascii="Times New Roman" w:hAnsi="Times New Roman" w:cs="Times New Roman"/>
          <w:lang w:val="en-US"/>
        </w:rPr>
        <w:footnoteReference w:id="1"/>
      </w:r>
      <w:r w:rsidRPr="00ED0D56">
        <w:rPr>
          <w:rFonts w:ascii="Times New Roman" w:hAnsi="Times New Roman" w:cs="Times New Roman"/>
          <w:lang w:val="en-US"/>
        </w:rPr>
        <w:t xml:space="preserve"> of the </w:t>
      </w:r>
      <w:r w:rsidR="00780983">
        <w:rPr>
          <w:rFonts w:ascii="Times New Roman" w:hAnsi="Times New Roman" w:cs="Times New Roman"/>
          <w:lang w:val="en-US"/>
        </w:rPr>
        <w:t>Central Bank of</w:t>
      </w:r>
      <w:r w:rsidRPr="00ED0D56">
        <w:rPr>
          <w:rFonts w:ascii="Times New Roman" w:hAnsi="Times New Roman" w:cs="Times New Roman"/>
          <w:lang w:val="en-US"/>
        </w:rPr>
        <w:t xml:space="preserve"> Luxembourg: </w:t>
      </w:r>
    </w:p>
    <w:p w:rsidR="00780983" w:rsidRPr="000165D2" w:rsidRDefault="00A76693" w:rsidP="007809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central </w:t>
      </w:r>
      <w:proofErr w:type="spellStart"/>
      <w:r>
        <w:rPr>
          <w:rFonts w:ascii="Times New Roman" w:hAnsi="Times New Roman" w:cs="Times New Roman"/>
        </w:rPr>
        <w:t>government</w:t>
      </w:r>
      <w:proofErr w:type="spellEnd"/>
      <w:r w:rsidR="00780983" w:rsidRPr="000165D2">
        <w:rPr>
          <w:rFonts w:ascii="Times New Roman" w:hAnsi="Times New Roman" w:cs="Times New Roman"/>
        </w:rPr>
        <w:t xml:space="preserve"> (code</w:t>
      </w:r>
      <w:r>
        <w:rPr>
          <w:rFonts w:ascii="Times New Roman" w:hAnsi="Times New Roman" w:cs="Times New Roman"/>
        </w:rPr>
        <w:t>:</w:t>
      </w:r>
      <w:r w:rsidR="00780983" w:rsidRPr="000165D2">
        <w:rPr>
          <w:rFonts w:ascii="Times New Roman" w:hAnsi="Times New Roman" w:cs="Times New Roman"/>
        </w:rPr>
        <w:t xml:space="preserve"> 11000), </w:t>
      </w:r>
      <w:r>
        <w:rPr>
          <w:rFonts w:ascii="Times New Roman" w:hAnsi="Times New Roman" w:cs="Times New Roman"/>
        </w:rPr>
        <w:t>and</w:t>
      </w:r>
    </w:p>
    <w:p w:rsidR="00780983" w:rsidRPr="000165D2" w:rsidRDefault="00A76693" w:rsidP="007809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other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general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government</w:t>
      </w:r>
      <w:proofErr w:type="spellEnd"/>
      <w:r w:rsidR="00780983" w:rsidRPr="000165D2">
        <w:rPr>
          <w:rFonts w:ascii="Times New Roman" w:hAnsi="Times New Roman" w:cs="Times New Roman"/>
        </w:rPr>
        <w:t xml:space="preserve"> (code</w:t>
      </w:r>
      <w:r>
        <w:rPr>
          <w:rFonts w:ascii="Times New Roman" w:hAnsi="Times New Roman" w:cs="Times New Roman"/>
        </w:rPr>
        <w:t>:</w:t>
      </w:r>
      <w:r w:rsidR="00780983" w:rsidRPr="000165D2">
        <w:rPr>
          <w:rFonts w:ascii="Times New Roman" w:hAnsi="Times New Roman" w:cs="Times New Roman"/>
        </w:rPr>
        <w:t xml:space="preserve"> 12000).</w:t>
      </w:r>
    </w:p>
    <w:p w:rsidR="00ED0D56" w:rsidRDefault="00ED0D56" w:rsidP="00ED0D5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D0D56">
        <w:rPr>
          <w:rFonts w:ascii="Times New Roman" w:hAnsi="Times New Roman" w:cs="Times New Roman"/>
          <w:lang w:val="en-US"/>
        </w:rPr>
        <w:t xml:space="preserve">For any questions regarding this circular, please contact </w:t>
      </w:r>
      <w:proofErr w:type="spellStart"/>
      <w:r w:rsidRPr="00ED0D56">
        <w:rPr>
          <w:rFonts w:ascii="Times New Roman" w:hAnsi="Times New Roman" w:cs="Times New Roman"/>
          <w:lang w:val="en-US"/>
        </w:rPr>
        <w:t>Mr</w:t>
      </w:r>
      <w:proofErr w:type="spellEnd"/>
      <w:r w:rsidRPr="00ED0D56">
        <w:rPr>
          <w:rFonts w:ascii="Times New Roman" w:hAnsi="Times New Roman" w:cs="Times New Roman"/>
          <w:lang w:val="en-US"/>
        </w:rPr>
        <w:t xml:space="preserve"> Laurent </w:t>
      </w:r>
      <w:proofErr w:type="spellStart"/>
      <w:r w:rsidRPr="00ED0D56">
        <w:rPr>
          <w:rFonts w:ascii="Times New Roman" w:hAnsi="Times New Roman" w:cs="Times New Roman"/>
          <w:lang w:val="en-US"/>
        </w:rPr>
        <w:t>Goergen</w:t>
      </w:r>
      <w:proofErr w:type="spellEnd"/>
      <w:r w:rsidRPr="00ED0D56">
        <w:rPr>
          <w:rFonts w:ascii="Times New Roman" w:hAnsi="Times New Roman" w:cs="Times New Roman"/>
          <w:lang w:val="en-US"/>
        </w:rPr>
        <w:t xml:space="preserve"> (</w:t>
      </w:r>
      <w:r w:rsidR="004E3776">
        <w:rPr>
          <w:rFonts w:ascii="Times New Roman" w:hAnsi="Times New Roman" w:cs="Times New Roman"/>
          <w:lang w:val="en-US"/>
        </w:rPr>
        <w:t xml:space="preserve">e-mail: </w:t>
      </w:r>
      <w:hyperlink r:id="rId8" w:history="1">
        <w:r w:rsidR="00741AF0" w:rsidRPr="00C12125">
          <w:rPr>
            <w:rStyle w:val="Hyperlink"/>
            <w:rFonts w:ascii="Times New Roman" w:hAnsi="Times New Roman" w:cs="Times New Roman"/>
            <w:lang w:val="en-US"/>
          </w:rPr>
          <w:t>laurent.goergen@cssf.lu</w:t>
        </w:r>
      </w:hyperlink>
      <w:r w:rsidRPr="00ED0D56">
        <w:rPr>
          <w:rFonts w:ascii="Times New Roman" w:hAnsi="Times New Roman" w:cs="Times New Roman"/>
          <w:lang w:val="en-US"/>
        </w:rPr>
        <w:t xml:space="preserve">). </w:t>
      </w:r>
    </w:p>
    <w:p w:rsidR="00ED0D56" w:rsidRPr="00ED0D56" w:rsidRDefault="00ED0D56" w:rsidP="00ED0D56">
      <w:pPr>
        <w:spacing w:after="0" w:line="240" w:lineRule="auto"/>
        <w:ind w:firstLine="142"/>
        <w:jc w:val="center"/>
        <w:rPr>
          <w:rFonts w:ascii="Times New Roman" w:hAnsi="Times New Roman" w:cs="Times New Roman"/>
          <w:lang w:val="en-US"/>
        </w:rPr>
      </w:pPr>
    </w:p>
    <w:p w:rsidR="00ED0D56" w:rsidRDefault="00ED0D56" w:rsidP="00ED0D56">
      <w:pPr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  <w:proofErr w:type="spellStart"/>
      <w:r w:rsidRPr="00ED0D56">
        <w:rPr>
          <w:rFonts w:ascii="Times New Roman" w:hAnsi="Times New Roman" w:cs="Times New Roman"/>
        </w:rPr>
        <w:t>Yours</w:t>
      </w:r>
      <w:proofErr w:type="spellEnd"/>
      <w:r w:rsidRPr="00ED0D56">
        <w:rPr>
          <w:rFonts w:ascii="Times New Roman" w:hAnsi="Times New Roman" w:cs="Times New Roman"/>
        </w:rPr>
        <w:t xml:space="preserve"> </w:t>
      </w:r>
      <w:proofErr w:type="spellStart"/>
      <w:r w:rsidRPr="00ED0D56">
        <w:rPr>
          <w:rFonts w:ascii="Times New Roman" w:hAnsi="Times New Roman" w:cs="Times New Roman"/>
        </w:rPr>
        <w:t>faithfully</w:t>
      </w:r>
      <w:proofErr w:type="spellEnd"/>
      <w:r w:rsidRPr="00ED0D56">
        <w:rPr>
          <w:rFonts w:ascii="Times New Roman" w:hAnsi="Times New Roman" w:cs="Times New Roman"/>
        </w:rPr>
        <w:t xml:space="preserve">, </w:t>
      </w:r>
    </w:p>
    <w:p w:rsidR="00ED0D56" w:rsidRDefault="00ED0D56" w:rsidP="00ED0D56">
      <w:pPr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</w:p>
    <w:p w:rsidR="0086109F" w:rsidRPr="000165D2" w:rsidRDefault="0086109F" w:rsidP="00ED0D56">
      <w:pPr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  <w:r w:rsidRPr="000165D2">
        <w:rPr>
          <w:rFonts w:ascii="Times New Roman" w:hAnsi="Times New Roman" w:cs="Times New Roman"/>
        </w:rPr>
        <w:t>COMMISSION DE SURVEILLANCE DU SECTEUR FINANCIER</w:t>
      </w:r>
    </w:p>
    <w:p w:rsidR="0086109F" w:rsidRPr="000165D2" w:rsidRDefault="0086109F" w:rsidP="0086109F">
      <w:pPr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  <w:r w:rsidRPr="000165D2">
        <w:rPr>
          <w:rFonts w:ascii="Times New Roman" w:hAnsi="Times New Roman" w:cs="Times New Roman"/>
        </w:rPr>
        <w:t>Conseil de protection des déposants et des investisseurs</w:t>
      </w:r>
    </w:p>
    <w:p w:rsidR="0086109F" w:rsidRDefault="0086109F" w:rsidP="0086109F">
      <w:pPr>
        <w:ind w:firstLine="142"/>
        <w:jc w:val="center"/>
        <w:rPr>
          <w:rFonts w:ascii="Times New Roman" w:hAnsi="Times New Roman" w:cs="Times New Roman"/>
        </w:rPr>
      </w:pPr>
    </w:p>
    <w:p w:rsidR="0086109F" w:rsidRDefault="0086109F" w:rsidP="0086109F">
      <w:pPr>
        <w:ind w:firstLine="142"/>
        <w:jc w:val="center"/>
        <w:rPr>
          <w:rFonts w:ascii="Times New Roman" w:hAnsi="Times New Roman" w:cs="Times New Roman"/>
        </w:rPr>
      </w:pPr>
    </w:p>
    <w:p w:rsidR="004E3776" w:rsidRDefault="004E3776" w:rsidP="0086109F">
      <w:pPr>
        <w:ind w:firstLine="142"/>
        <w:jc w:val="center"/>
        <w:rPr>
          <w:rFonts w:ascii="Times New Roman" w:hAnsi="Times New Roman" w:cs="Times New Roman"/>
        </w:rPr>
      </w:pPr>
    </w:p>
    <w:p w:rsidR="0086109F" w:rsidRPr="000165D2" w:rsidRDefault="0086109F" w:rsidP="0086109F">
      <w:pPr>
        <w:ind w:firstLine="142"/>
        <w:jc w:val="center"/>
        <w:rPr>
          <w:rFonts w:ascii="Times New Roman" w:hAnsi="Times New Roman" w:cs="Times New Roman"/>
        </w:rPr>
      </w:pPr>
    </w:p>
    <w:p w:rsidR="0086109F" w:rsidRPr="005F5DD8" w:rsidRDefault="00ED0D56" w:rsidP="0086109F">
      <w:pPr>
        <w:spacing w:after="0"/>
        <w:ind w:firstLine="142"/>
        <w:jc w:val="center"/>
        <w:rPr>
          <w:rFonts w:ascii="Times New Roman" w:hAnsi="Times New Roman" w:cs="Times New Roman"/>
          <w:lang w:val="en-US"/>
        </w:rPr>
      </w:pPr>
      <w:r w:rsidRPr="005F5DD8">
        <w:rPr>
          <w:rFonts w:ascii="Times New Roman" w:hAnsi="Times New Roman" w:cs="Times New Roman"/>
          <w:lang w:val="en-US"/>
        </w:rPr>
        <w:t>On behalf of the</w:t>
      </w:r>
      <w:r w:rsidR="0086109F" w:rsidRPr="005F5DD8">
        <w:rPr>
          <w:rFonts w:ascii="Times New Roman" w:hAnsi="Times New Roman" w:cs="Times New Roman"/>
          <w:lang w:val="en-US"/>
        </w:rPr>
        <w:t xml:space="preserve"> CPDI</w:t>
      </w:r>
    </w:p>
    <w:p w:rsidR="0086109F" w:rsidRPr="005F5DD8" w:rsidRDefault="0086109F" w:rsidP="0086109F">
      <w:pPr>
        <w:spacing w:after="0"/>
        <w:ind w:firstLine="142"/>
        <w:jc w:val="center"/>
        <w:rPr>
          <w:rFonts w:ascii="Times New Roman" w:hAnsi="Times New Roman" w:cs="Times New Roman"/>
          <w:lang w:val="en-US"/>
        </w:rPr>
      </w:pPr>
      <w:r w:rsidRPr="005F5DD8">
        <w:rPr>
          <w:rFonts w:ascii="Times New Roman" w:hAnsi="Times New Roman" w:cs="Times New Roman"/>
          <w:lang w:val="en-US"/>
        </w:rPr>
        <w:t>Claude SIMON</w:t>
      </w:r>
    </w:p>
    <w:p w:rsidR="0086109F" w:rsidRPr="000165D2" w:rsidRDefault="00ED0D56" w:rsidP="0086109F">
      <w:pPr>
        <w:spacing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of the</w:t>
      </w:r>
      <w:r w:rsidR="0086109F" w:rsidRPr="000165D2">
        <w:rPr>
          <w:rFonts w:ascii="Times New Roman" w:hAnsi="Times New Roman" w:cs="Times New Roman"/>
        </w:rPr>
        <w:t xml:space="preserve"> CPDI</w:t>
      </w:r>
    </w:p>
    <w:sectPr w:rsidR="0086109F" w:rsidRPr="000165D2" w:rsidSect="003A0320">
      <w:headerReference w:type="default" r:id="rId9"/>
      <w:pgSz w:w="11906" w:h="16838" w:code="9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9A6" w:rsidRDefault="00CA59A6" w:rsidP="0086109F">
      <w:pPr>
        <w:spacing w:after="0" w:line="240" w:lineRule="auto"/>
      </w:pPr>
      <w:r>
        <w:separator/>
      </w:r>
    </w:p>
  </w:endnote>
  <w:endnote w:type="continuationSeparator" w:id="0">
    <w:p w:rsidR="00CA59A6" w:rsidRDefault="00CA59A6" w:rsidP="0086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9A6" w:rsidRDefault="00CA59A6" w:rsidP="0086109F">
      <w:pPr>
        <w:spacing w:after="0" w:line="240" w:lineRule="auto"/>
      </w:pPr>
      <w:r>
        <w:separator/>
      </w:r>
    </w:p>
  </w:footnote>
  <w:footnote w:type="continuationSeparator" w:id="0">
    <w:p w:rsidR="00CA59A6" w:rsidRDefault="00CA59A6" w:rsidP="0086109F">
      <w:pPr>
        <w:spacing w:after="0" w:line="240" w:lineRule="auto"/>
      </w:pPr>
      <w:r>
        <w:continuationSeparator/>
      </w:r>
    </w:p>
  </w:footnote>
  <w:footnote w:id="1">
    <w:p w:rsidR="00007BBB" w:rsidRDefault="00007B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752968" w:rsidRPr="00C12125">
          <w:rPr>
            <w:rStyle w:val="Hyperlink"/>
          </w:rPr>
          <w:t>http://www.bcl.lu/en/Regulatory-reporting/Etablissements_credit/Statistiques-bancaires-et-monetaires/Instructions/Definitions_Concepts_CIS_2014_EN.pdf</w:t>
        </w:r>
      </w:hyperlink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9A5" w:rsidRDefault="005C79A5">
    <w:pPr>
      <w:pStyle w:val="Header"/>
    </w:pPr>
    <w:r>
      <w:rPr>
        <w:rFonts w:ascii="Times New Roman" w:hAnsi="Times New Roman"/>
        <w:noProof/>
        <w:sz w:val="24"/>
        <w:szCs w:val="24"/>
        <w:lang w:eastAsia="fr-LU"/>
      </w:rPr>
      <w:drawing>
        <wp:anchor distT="0" distB="0" distL="114300" distR="114300" simplePos="0" relativeHeight="251659264" behindDoc="0" locked="0" layoutInCell="1" allowOverlap="1" wp14:anchorId="6ADA28C0" wp14:editId="4E5A2D82">
          <wp:simplePos x="0" y="0"/>
          <wp:positionH relativeFrom="column">
            <wp:posOffset>-476250</wp:posOffset>
          </wp:positionH>
          <wp:positionV relativeFrom="page">
            <wp:posOffset>115570</wp:posOffset>
          </wp:positionV>
          <wp:extent cx="3085200" cy="1407600"/>
          <wp:effectExtent l="0" t="0" r="1270" b="254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201" b="85153"/>
                  <a:stretch>
                    <a:fillRect/>
                  </a:stretch>
                </pic:blipFill>
                <pic:spPr bwMode="auto">
                  <a:xfrm>
                    <a:off x="0" y="0"/>
                    <a:ext cx="3085200" cy="140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D3337"/>
    <w:multiLevelType w:val="hybridMultilevel"/>
    <w:tmpl w:val="FB9C320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F"/>
    <w:rsid w:val="00007BBB"/>
    <w:rsid w:val="001709E3"/>
    <w:rsid w:val="001C2261"/>
    <w:rsid w:val="00226C71"/>
    <w:rsid w:val="00300C76"/>
    <w:rsid w:val="003A0320"/>
    <w:rsid w:val="003F1E96"/>
    <w:rsid w:val="0048592A"/>
    <w:rsid w:val="004E3776"/>
    <w:rsid w:val="005C79A5"/>
    <w:rsid w:val="005F5DD8"/>
    <w:rsid w:val="00741AF0"/>
    <w:rsid w:val="00752968"/>
    <w:rsid w:val="00780983"/>
    <w:rsid w:val="0086109F"/>
    <w:rsid w:val="00A76693"/>
    <w:rsid w:val="00CA59A6"/>
    <w:rsid w:val="00D7577B"/>
    <w:rsid w:val="00ED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CF61B-1C40-4B15-9F9E-261A7F05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09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610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10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109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D0D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7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9A5"/>
  </w:style>
  <w:style w:type="paragraph" w:styleId="Footer">
    <w:name w:val="footer"/>
    <w:basedOn w:val="Normal"/>
    <w:link w:val="FooterChar"/>
    <w:uiPriority w:val="99"/>
    <w:unhideWhenUsed/>
    <w:rsid w:val="005C7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t.goergen@cssf.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l.lu/en/Regulatory-reporting/Etablissements_credit/Statistiques-bancaires-et-monetaires/Instructions/Definitions_Concepts_CIS_2014_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94871-2034-4C14-BD2F-02714E26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1329</Characters>
  <Application>Microsoft Office Word</Application>
  <DocSecurity>0</DocSecurity>
  <Lines>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CSSF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Mendaly RIES</dc:creator>
  <cp:keywords/>
  <dc:description/>
  <cp:lastModifiedBy>CSSF</cp:lastModifiedBy>
  <cp:revision>5</cp:revision>
  <cp:lastPrinted>2018-12-18T14:14:00Z</cp:lastPrinted>
  <dcterms:created xsi:type="dcterms:W3CDTF">2018-12-20T08:00:00Z</dcterms:created>
  <dcterms:modified xsi:type="dcterms:W3CDTF">2018-12-20T08:07:00Z</dcterms:modified>
</cp:coreProperties>
</file>