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4BC7" w:rsidRPr="00B94BC7" w:rsidRDefault="00B94BC7" w:rsidP="0090688B">
      <w:pPr>
        <w:pBdr>
          <w:top w:val="double" w:sz="4" w:space="1" w:color="auto"/>
          <w:left w:val="double" w:sz="4" w:space="4" w:color="auto"/>
          <w:bottom w:val="double" w:sz="4" w:space="1" w:color="auto"/>
          <w:right w:val="double" w:sz="4" w:space="4" w:color="auto"/>
        </w:pBdr>
        <w:suppressAutoHyphens w:val="0"/>
        <w:autoSpaceDN/>
        <w:ind w:left="-2694"/>
        <w:textAlignment w:val="auto"/>
        <w:rPr>
          <w:b/>
          <w:sz w:val="2"/>
          <w:szCs w:val="2"/>
          <w:lang w:val="fr-LU"/>
        </w:rPr>
      </w:pPr>
      <w:bookmarkStart w:id="0" w:name="_GoBack"/>
      <w:bookmarkEnd w:id="0"/>
    </w:p>
    <w:p w:rsidR="00B94BC7" w:rsidRPr="00883415" w:rsidRDefault="00883415" w:rsidP="00883415">
      <w:pPr>
        <w:pBdr>
          <w:top w:val="double" w:sz="4" w:space="1" w:color="auto"/>
          <w:left w:val="double" w:sz="4" w:space="4" w:color="auto"/>
          <w:bottom w:val="double" w:sz="4" w:space="1" w:color="auto"/>
          <w:right w:val="double" w:sz="4" w:space="4" w:color="auto"/>
        </w:pBdr>
        <w:suppressAutoHyphens w:val="0"/>
        <w:autoSpaceDN/>
        <w:ind w:left="-2694"/>
        <w:jc w:val="center"/>
        <w:textAlignment w:val="auto"/>
        <w:rPr>
          <w:b/>
          <w:sz w:val="2"/>
          <w:szCs w:val="2"/>
          <w:lang w:val="en-US"/>
        </w:rPr>
      </w:pPr>
      <w:r w:rsidRPr="00883415">
        <w:rPr>
          <w:b/>
          <w:sz w:val="28"/>
          <w:szCs w:val="28"/>
          <w:lang w:val="en-US"/>
        </w:rPr>
        <w:t>Form for the notification referred to in Articles 3(1) and 10(1) of the law of 21 July 2012 on mandatory squeeze-out and sell-out of securities of companies currently admitted or previously admitted to trading on a regulated market or having been offered to the public (hereinafter, “Squeeze-Out/Sell-Out Law”)</w:t>
      </w:r>
    </w:p>
    <w:p w:rsidR="0098773E" w:rsidRDefault="0098773E">
      <w:pPr>
        <w:spacing w:line="360" w:lineRule="auto"/>
        <w:ind w:left="357" w:hanging="357"/>
        <w:rPr>
          <w:lang w:val="en-US"/>
        </w:rPr>
      </w:pPr>
    </w:p>
    <w:p w:rsidR="00883415" w:rsidRPr="008D0C0B" w:rsidRDefault="00883415" w:rsidP="00883415">
      <w:pPr>
        <w:pStyle w:val="ListParagraph"/>
        <w:numPr>
          <w:ilvl w:val="0"/>
          <w:numId w:val="4"/>
        </w:numPr>
        <w:spacing w:line="360" w:lineRule="auto"/>
        <w:ind w:left="357" w:hanging="357"/>
        <w:rPr>
          <w:lang w:val="en-US"/>
        </w:rPr>
      </w:pPr>
      <w:r w:rsidRPr="008D0C0B">
        <w:rPr>
          <w:lang w:val="en-US"/>
        </w:rPr>
        <w:t>Identity of the issuer or underlying issuer of existing securities to which voting rights are attached</w:t>
      </w:r>
      <w:r>
        <w:rPr>
          <w:rStyle w:val="FootnoteReference"/>
          <w:lang w:val="en-US"/>
        </w:rPr>
        <w:footnoteReference w:id="1"/>
      </w:r>
      <w:r w:rsidRPr="008D0C0B">
        <w:rPr>
          <w:lang w:val="en-US"/>
        </w:rPr>
        <w:t>:</w:t>
      </w:r>
    </w:p>
    <w:p w:rsidR="00883415" w:rsidRDefault="00883415" w:rsidP="00883415">
      <w:pPr>
        <w:pStyle w:val="ListParagraph"/>
        <w:numPr>
          <w:ilvl w:val="0"/>
          <w:numId w:val="4"/>
        </w:numPr>
        <w:spacing w:line="360" w:lineRule="auto"/>
        <w:ind w:left="357" w:hanging="357"/>
      </w:pPr>
      <w:r w:rsidRPr="008D0C0B">
        <w:rPr>
          <w:lang w:val="en-US"/>
        </w:rPr>
        <w:t>Identity of the majority shareholder</w:t>
      </w:r>
      <w:r>
        <w:rPr>
          <w:rStyle w:val="FootnoteReference"/>
          <w:lang w:val="en-US"/>
        </w:rPr>
        <w:footnoteReference w:id="2"/>
      </w:r>
      <w:r w:rsidRPr="008D0C0B">
        <w:rPr>
          <w:lang w:val="en-US"/>
        </w:rPr>
        <w:t>:</w:t>
      </w:r>
    </w:p>
    <w:p w:rsidR="00883415" w:rsidRPr="008D0C0B" w:rsidRDefault="00883415" w:rsidP="00883415">
      <w:pPr>
        <w:pStyle w:val="ListParagraph"/>
        <w:numPr>
          <w:ilvl w:val="0"/>
          <w:numId w:val="4"/>
        </w:numPr>
        <w:spacing w:line="360" w:lineRule="auto"/>
        <w:ind w:left="357" w:hanging="357"/>
        <w:rPr>
          <w:lang w:val="en-US"/>
        </w:rPr>
      </w:pPr>
      <w:r w:rsidRPr="00C24764">
        <w:rPr>
          <w:lang w:val="en-US"/>
        </w:rPr>
        <w:t>Identity of the persons acting in concert with the majority shareholder</w:t>
      </w:r>
      <w:r>
        <w:rPr>
          <w:rStyle w:val="FootnoteReference"/>
          <w:lang w:val="en-US"/>
        </w:rPr>
        <w:footnoteReference w:id="3"/>
      </w:r>
      <w:r w:rsidRPr="008D0C0B">
        <w:rPr>
          <w:lang w:val="en-US"/>
        </w:rPr>
        <w:t>:</w:t>
      </w:r>
    </w:p>
    <w:p w:rsidR="00883415" w:rsidRPr="008D0C0B" w:rsidRDefault="00883415" w:rsidP="00883415">
      <w:pPr>
        <w:pStyle w:val="ListParagraph"/>
        <w:numPr>
          <w:ilvl w:val="0"/>
          <w:numId w:val="4"/>
        </w:numPr>
        <w:spacing w:line="360" w:lineRule="auto"/>
        <w:ind w:left="357" w:hanging="357"/>
        <w:rPr>
          <w:lang w:val="en-US"/>
        </w:rPr>
      </w:pPr>
      <w:r w:rsidRPr="008D0C0B">
        <w:rPr>
          <w:lang w:val="en-US"/>
        </w:rPr>
        <w:t>Reason for the notification (please tick the appropriate box(es)</w:t>
      </w:r>
      <w:r>
        <w:rPr>
          <w:lang w:val="en-US"/>
        </w:rPr>
        <w:t>):</w:t>
      </w:r>
    </w:p>
    <w:p w:rsidR="00883415" w:rsidRPr="008D0C0B" w:rsidRDefault="00883415" w:rsidP="00883415">
      <w:pPr>
        <w:pStyle w:val="ListParagraph"/>
        <w:spacing w:before="240" w:after="240"/>
        <w:ind w:left="1077"/>
        <w:rPr>
          <w:lang w:val="en-US"/>
        </w:rPr>
      </w:pPr>
      <w:proofErr w:type="gramStart"/>
      <w:r w:rsidRPr="008D0C0B">
        <w:rPr>
          <w:lang w:val="en-US"/>
        </w:rPr>
        <w:t>[ ]</w:t>
      </w:r>
      <w:proofErr w:type="gramEnd"/>
      <w:r w:rsidRPr="008D0C0B">
        <w:rPr>
          <w:lang w:val="en-US"/>
        </w:rPr>
        <w:t xml:space="preserve"> the notifying person is a majority shareholder as at 1 October 2012 (date of entry into force of the Squeeze-Out/Sell-Out Law</w:t>
      </w:r>
      <w:r>
        <w:rPr>
          <w:rStyle w:val="FootnoteReference"/>
          <w:lang w:val="en-US"/>
        </w:rPr>
        <w:footnoteReference w:id="4"/>
      </w:r>
      <w:r w:rsidRPr="008D0C0B">
        <w:rPr>
          <w:lang w:val="en-US"/>
        </w:rPr>
        <w:t>;</w:t>
      </w:r>
    </w:p>
    <w:p w:rsidR="00883415" w:rsidRPr="008D0C0B" w:rsidRDefault="00883415" w:rsidP="00883415">
      <w:pPr>
        <w:pStyle w:val="ListParagraph"/>
        <w:spacing w:before="240" w:after="240"/>
        <w:ind w:left="1077"/>
        <w:rPr>
          <w:lang w:val="en-US"/>
        </w:rPr>
      </w:pPr>
      <w:proofErr w:type="gramStart"/>
      <w:r w:rsidRPr="008D0C0B">
        <w:rPr>
          <w:lang w:val="en-US"/>
        </w:rPr>
        <w:t>[ ]</w:t>
      </w:r>
      <w:proofErr w:type="gramEnd"/>
      <w:r w:rsidRPr="008D0C0B">
        <w:rPr>
          <w:lang w:val="en-US"/>
        </w:rPr>
        <w:t xml:space="preserve"> the notifying person becomes a majority shareholder following a transaction;</w:t>
      </w:r>
    </w:p>
    <w:p w:rsidR="00883415" w:rsidRDefault="00883415" w:rsidP="00883415">
      <w:pPr>
        <w:pStyle w:val="ListParagraph"/>
        <w:spacing w:before="240" w:after="240"/>
        <w:ind w:left="1077"/>
        <w:rPr>
          <w:lang w:val="en-US"/>
        </w:rPr>
      </w:pPr>
      <w:proofErr w:type="gramStart"/>
      <w:r w:rsidRPr="008D0C0B">
        <w:rPr>
          <w:lang w:val="en-US"/>
        </w:rPr>
        <w:t>[ ]</w:t>
      </w:r>
      <w:proofErr w:type="gramEnd"/>
      <w:r w:rsidRPr="008D0C0B">
        <w:rPr>
          <w:lang w:val="en-US"/>
        </w:rPr>
        <w:t xml:space="preserve"> the notifying person is a majority shareholder that falls below one of the thresholds laid down in Article 1(1) of the Squeeze-Out/Sell-Out Law;</w:t>
      </w:r>
    </w:p>
    <w:p w:rsidR="00883415" w:rsidRDefault="00883415" w:rsidP="00883415">
      <w:pPr>
        <w:pStyle w:val="ListParagraph"/>
        <w:spacing w:before="240" w:after="240"/>
        <w:ind w:left="1077"/>
        <w:rPr>
          <w:lang w:val="en-US"/>
        </w:rPr>
      </w:pPr>
      <w:proofErr w:type="gramStart"/>
      <w:r w:rsidRPr="008D0C0B">
        <w:rPr>
          <w:lang w:val="en-US"/>
        </w:rPr>
        <w:t>[ ]</w:t>
      </w:r>
      <w:proofErr w:type="gramEnd"/>
      <w:r w:rsidRPr="008D0C0B">
        <w:rPr>
          <w:lang w:val="en-US"/>
        </w:rPr>
        <w:t xml:space="preserve"> the notifying person is a majority shareholder that acquires additional securities of the company concerned.</w:t>
      </w:r>
    </w:p>
    <w:p w:rsidR="00883415" w:rsidRPr="008D0C0B" w:rsidRDefault="00883415" w:rsidP="00883415">
      <w:pPr>
        <w:pStyle w:val="ListParagraph"/>
        <w:spacing w:before="240" w:after="240"/>
        <w:ind w:left="1077"/>
        <w:rPr>
          <w:lang w:val="en-US"/>
        </w:rPr>
      </w:pPr>
    </w:p>
    <w:p w:rsidR="00DF6128" w:rsidRPr="00EB323E" w:rsidRDefault="00DF6128" w:rsidP="0090688B">
      <w:pPr>
        <w:pStyle w:val="ListParagraph"/>
        <w:spacing w:before="240" w:after="240"/>
        <w:ind w:left="1077"/>
        <w:rPr>
          <w:lang w:val="en-US"/>
        </w:rPr>
        <w:sectPr w:rsidR="00DF6128" w:rsidRPr="00EB323E" w:rsidSect="0090688B">
          <w:footerReference w:type="default" r:id="rId8"/>
          <w:headerReference w:type="first" r:id="rId9"/>
          <w:footerReference w:type="first" r:id="rId10"/>
          <w:footnotePr>
            <w:pos w:val="beneathText"/>
            <w:numFmt w:val="lowerRoman"/>
          </w:footnotePr>
          <w:pgSz w:w="11906" w:h="16838"/>
          <w:pgMar w:top="2835" w:right="595" w:bottom="1418" w:left="3544" w:header="709" w:footer="527" w:gutter="0"/>
          <w:pgNumType w:start="1"/>
          <w:cols w:space="720"/>
          <w:titlePg/>
          <w:docGrid w:linePitch="245"/>
        </w:sectPr>
      </w:pPr>
    </w:p>
    <w:p w:rsidR="00883415" w:rsidRPr="008D0C0B" w:rsidRDefault="00883415" w:rsidP="00883415">
      <w:pPr>
        <w:pStyle w:val="ListParagraph"/>
        <w:numPr>
          <w:ilvl w:val="0"/>
          <w:numId w:val="4"/>
        </w:numPr>
        <w:spacing w:line="360" w:lineRule="auto"/>
        <w:ind w:left="357" w:hanging="357"/>
        <w:rPr>
          <w:lang w:val="en-US"/>
        </w:rPr>
      </w:pPr>
      <w:r w:rsidRPr="008D0C0B">
        <w:rPr>
          <w:lang w:val="en-US"/>
        </w:rPr>
        <w:lastRenderedPageBreak/>
        <w:t>Date and description of the transaction that triggered the notification requirement</w:t>
      </w:r>
      <w:r>
        <w:rPr>
          <w:rStyle w:val="FootnoteReference"/>
          <w:lang w:val="en-US"/>
        </w:rPr>
        <w:footnoteReference w:id="5"/>
      </w:r>
      <w:r w:rsidRPr="008D0C0B">
        <w:rPr>
          <w:lang w:val="en-US"/>
        </w:rPr>
        <w:t>:</w:t>
      </w:r>
    </w:p>
    <w:p w:rsidR="00883415" w:rsidRPr="00846C91" w:rsidRDefault="00883415" w:rsidP="00883415">
      <w:pPr>
        <w:pStyle w:val="ListParagraph"/>
        <w:numPr>
          <w:ilvl w:val="0"/>
          <w:numId w:val="4"/>
        </w:numPr>
        <w:spacing w:line="360" w:lineRule="auto"/>
        <w:ind w:left="357" w:hanging="357"/>
        <w:rPr>
          <w:lang w:val="fr-LU"/>
        </w:rPr>
      </w:pPr>
      <w:proofErr w:type="spellStart"/>
      <w:r w:rsidRPr="00BB0FD9">
        <w:rPr>
          <w:lang w:val="fr-LU"/>
        </w:rPr>
        <w:t>Ways</w:t>
      </w:r>
      <w:proofErr w:type="spellEnd"/>
      <w:r w:rsidRPr="00BB0FD9">
        <w:rPr>
          <w:lang w:val="fr-LU"/>
        </w:rPr>
        <w:t xml:space="preserve"> </w:t>
      </w:r>
      <w:proofErr w:type="spellStart"/>
      <w:r w:rsidRPr="00BB0FD9">
        <w:rPr>
          <w:lang w:val="fr-LU"/>
        </w:rPr>
        <w:t>securities</w:t>
      </w:r>
      <w:proofErr w:type="spellEnd"/>
      <w:r w:rsidRPr="00BB0FD9">
        <w:rPr>
          <w:lang w:val="fr-LU"/>
        </w:rPr>
        <w:t xml:space="preserve"> are </w:t>
      </w:r>
      <w:proofErr w:type="spellStart"/>
      <w:r w:rsidRPr="00BB0FD9">
        <w:rPr>
          <w:lang w:val="fr-LU"/>
        </w:rPr>
        <w:t>held</w:t>
      </w:r>
      <w:proofErr w:type="spellEnd"/>
      <w:r>
        <w:rPr>
          <w:rStyle w:val="FootnoteReference"/>
          <w:lang w:val="fr-LU"/>
        </w:rPr>
        <w:footnoteReference w:id="6"/>
      </w:r>
      <w:r>
        <w:rPr>
          <w:lang w:val="fr-LU"/>
        </w:rPr>
        <w:t>:</w:t>
      </w:r>
    </w:p>
    <w:p w:rsidR="002B53B6" w:rsidRDefault="00883415" w:rsidP="00883415">
      <w:pPr>
        <w:pStyle w:val="ListParagraph"/>
        <w:numPr>
          <w:ilvl w:val="0"/>
          <w:numId w:val="4"/>
        </w:numPr>
        <w:spacing w:line="360" w:lineRule="auto"/>
        <w:ind w:left="357" w:hanging="357"/>
        <w:rPr>
          <w:lang w:val="fr-LU"/>
        </w:rPr>
      </w:pPr>
      <w:r w:rsidRPr="00BB0FD9">
        <w:rPr>
          <w:lang w:val="fr-LU"/>
        </w:rPr>
        <w:t xml:space="preserve">Notification </w:t>
      </w:r>
      <w:proofErr w:type="spellStart"/>
      <w:proofErr w:type="gramStart"/>
      <w:r w:rsidRPr="00BB0FD9">
        <w:rPr>
          <w:lang w:val="fr-LU"/>
        </w:rPr>
        <w:t>details</w:t>
      </w:r>
      <w:proofErr w:type="spellEnd"/>
      <w:r>
        <w:rPr>
          <w:lang w:val="fr-LU"/>
        </w:rPr>
        <w:t>:</w:t>
      </w:r>
      <w:proofErr w:type="gramEnd"/>
    </w:p>
    <w:tbl>
      <w:tblPr>
        <w:tblW w:w="7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17"/>
        <w:gridCol w:w="1758"/>
        <w:gridCol w:w="873"/>
        <w:gridCol w:w="1276"/>
        <w:gridCol w:w="992"/>
        <w:gridCol w:w="1241"/>
      </w:tblGrid>
      <w:tr w:rsidR="00883415" w:rsidRPr="00883415" w:rsidTr="00883415">
        <w:trPr>
          <w:trHeight w:val="573"/>
        </w:trPr>
        <w:tc>
          <w:tcPr>
            <w:tcW w:w="7757" w:type="dxa"/>
            <w:gridSpan w:val="6"/>
            <w:shd w:val="clear" w:color="auto" w:fill="007198" w:themeFill="accent5"/>
            <w:tcMar>
              <w:top w:w="0" w:type="dxa"/>
              <w:left w:w="108" w:type="dxa"/>
              <w:bottom w:w="0" w:type="dxa"/>
              <w:right w:w="108" w:type="dxa"/>
            </w:tcMar>
            <w:vAlign w:val="center"/>
          </w:tcPr>
          <w:p w:rsidR="00883415" w:rsidRPr="00883415" w:rsidRDefault="00883415" w:rsidP="00883415">
            <w:pPr>
              <w:jc w:val="left"/>
              <w:rPr>
                <w:color w:val="E7E9E8" w:themeColor="accent4" w:themeTint="1A"/>
                <w:lang w:val="en-US"/>
              </w:rPr>
            </w:pPr>
            <w:r w:rsidRPr="00883415">
              <w:rPr>
                <w:b/>
                <w:color w:val="E7E9E8" w:themeColor="accent4" w:themeTint="1A"/>
                <w:lang w:val="en-US"/>
              </w:rPr>
              <w:t>A. Capital carrying voting rights</w:t>
            </w:r>
            <w:r w:rsidRPr="00883415">
              <w:rPr>
                <w:b/>
                <w:color w:val="E7E9E8" w:themeColor="accent4" w:themeTint="1A"/>
                <w:sz w:val="16"/>
                <w:vertAlign w:val="superscript"/>
                <w:lang w:val="en-US"/>
              </w:rPr>
              <w:t xml:space="preserve"> </w:t>
            </w:r>
            <w:r w:rsidRPr="00883415">
              <w:rPr>
                <w:b/>
                <w:color w:val="E7E9E8" w:themeColor="accent4" w:themeTint="1A"/>
                <w:sz w:val="16"/>
                <w:vertAlign w:val="superscript"/>
                <w:lang w:val="fr-LU"/>
              </w:rPr>
              <w:footnoteReference w:id="7"/>
            </w:r>
          </w:p>
        </w:tc>
      </w:tr>
      <w:tr w:rsidR="00883415" w:rsidRPr="00883415" w:rsidTr="00883415">
        <w:trPr>
          <w:trHeight w:val="708"/>
        </w:trPr>
        <w:tc>
          <w:tcPr>
            <w:tcW w:w="7757" w:type="dxa"/>
            <w:gridSpan w:val="6"/>
            <w:shd w:val="clear" w:color="auto" w:fill="007198" w:themeFill="accent5"/>
            <w:tcMar>
              <w:top w:w="0" w:type="dxa"/>
              <w:left w:w="108" w:type="dxa"/>
              <w:bottom w:w="0" w:type="dxa"/>
              <w:right w:w="108" w:type="dxa"/>
            </w:tcMar>
            <w:vAlign w:val="center"/>
          </w:tcPr>
          <w:p w:rsidR="00883415" w:rsidRPr="00883415" w:rsidRDefault="00883415" w:rsidP="00883415">
            <w:pPr>
              <w:jc w:val="left"/>
              <w:rPr>
                <w:color w:val="E7E9E8" w:themeColor="accent4" w:themeTint="1A"/>
                <w:lang w:val="en-US"/>
              </w:rPr>
            </w:pPr>
            <w:r w:rsidRPr="00883415">
              <w:rPr>
                <w:color w:val="E7E9E8" w:themeColor="accent4" w:themeTint="1A"/>
                <w:lang w:val="en-US"/>
              </w:rPr>
              <w:t>Total amount of the company's capital on which the calculation is based:</w:t>
            </w:r>
          </w:p>
        </w:tc>
      </w:tr>
      <w:tr w:rsidR="00883415" w:rsidRPr="00883415" w:rsidTr="00883415">
        <w:trPr>
          <w:trHeight w:val="1002"/>
        </w:trPr>
        <w:tc>
          <w:tcPr>
            <w:tcW w:w="1617" w:type="dxa"/>
            <w:vMerge w:val="restart"/>
            <w:shd w:val="clear" w:color="auto" w:fill="auto"/>
            <w:tcMar>
              <w:top w:w="0" w:type="dxa"/>
              <w:left w:w="108" w:type="dxa"/>
              <w:bottom w:w="0" w:type="dxa"/>
              <w:right w:w="108" w:type="dxa"/>
            </w:tcMar>
            <w:vAlign w:val="bottom"/>
          </w:tcPr>
          <w:p w:rsidR="00883415" w:rsidRPr="00883415" w:rsidRDefault="00883415" w:rsidP="00883415">
            <w:pPr>
              <w:jc w:val="left"/>
              <w:rPr>
                <w:sz w:val="16"/>
                <w:szCs w:val="16"/>
                <w:lang w:val="en-US"/>
              </w:rPr>
            </w:pPr>
            <w:r w:rsidRPr="00883415">
              <w:rPr>
                <w:sz w:val="16"/>
                <w:szCs w:val="16"/>
                <w:lang w:val="en-US"/>
              </w:rPr>
              <w:t>Securities (identified by their ISIN code, the register of shareholders or other identification criteria)</w:t>
            </w:r>
          </w:p>
        </w:tc>
        <w:tc>
          <w:tcPr>
            <w:tcW w:w="1758" w:type="dxa"/>
            <w:shd w:val="clear" w:color="auto" w:fill="auto"/>
            <w:tcMar>
              <w:top w:w="0" w:type="dxa"/>
              <w:left w:w="108" w:type="dxa"/>
              <w:bottom w:w="0" w:type="dxa"/>
              <w:right w:w="108" w:type="dxa"/>
            </w:tcMar>
          </w:tcPr>
          <w:p w:rsidR="00883415" w:rsidRPr="00883415" w:rsidRDefault="00883415" w:rsidP="00883415">
            <w:pPr>
              <w:jc w:val="center"/>
              <w:rPr>
                <w:sz w:val="16"/>
                <w:szCs w:val="16"/>
                <w:lang w:val="en-US"/>
              </w:rPr>
            </w:pPr>
            <w:r w:rsidRPr="00883415">
              <w:rPr>
                <w:sz w:val="16"/>
                <w:szCs w:val="16"/>
                <w:lang w:val="en-US"/>
              </w:rPr>
              <w:t>Situation prior to the transaction that triggered the notification requirement</w:t>
            </w:r>
          </w:p>
        </w:tc>
        <w:tc>
          <w:tcPr>
            <w:tcW w:w="4382" w:type="dxa"/>
            <w:gridSpan w:val="4"/>
            <w:shd w:val="clear" w:color="auto" w:fill="auto"/>
            <w:tcMar>
              <w:top w:w="0" w:type="dxa"/>
              <w:left w:w="108" w:type="dxa"/>
              <w:bottom w:w="0" w:type="dxa"/>
              <w:right w:w="108" w:type="dxa"/>
            </w:tcMar>
            <w:vAlign w:val="center"/>
          </w:tcPr>
          <w:p w:rsidR="00883415" w:rsidRPr="00883415" w:rsidRDefault="00883415" w:rsidP="00883415">
            <w:pPr>
              <w:jc w:val="center"/>
              <w:rPr>
                <w:sz w:val="16"/>
                <w:szCs w:val="16"/>
                <w:lang w:val="en-US"/>
              </w:rPr>
            </w:pPr>
            <w:r w:rsidRPr="00883415">
              <w:rPr>
                <w:sz w:val="16"/>
                <w:szCs w:val="16"/>
                <w:lang w:val="en-US"/>
              </w:rPr>
              <w:t>Situation after the transaction that triggered the notification requirement</w:t>
            </w:r>
          </w:p>
        </w:tc>
      </w:tr>
      <w:tr w:rsidR="00883415" w:rsidRPr="00883415" w:rsidTr="00883415">
        <w:trPr>
          <w:trHeight w:val="883"/>
        </w:trPr>
        <w:tc>
          <w:tcPr>
            <w:tcW w:w="1617" w:type="dxa"/>
            <w:vMerge/>
            <w:shd w:val="clear" w:color="auto" w:fill="auto"/>
            <w:tcMar>
              <w:top w:w="0" w:type="dxa"/>
              <w:left w:w="108" w:type="dxa"/>
              <w:bottom w:w="0" w:type="dxa"/>
              <w:right w:w="108" w:type="dxa"/>
            </w:tcMar>
            <w:vAlign w:val="center"/>
          </w:tcPr>
          <w:p w:rsidR="00883415" w:rsidRPr="00883415" w:rsidRDefault="00883415" w:rsidP="00883415">
            <w:pPr>
              <w:rPr>
                <w:lang w:val="en-US"/>
              </w:rPr>
            </w:pPr>
          </w:p>
        </w:tc>
        <w:tc>
          <w:tcPr>
            <w:tcW w:w="1758" w:type="dxa"/>
            <w:vMerge w:val="restart"/>
            <w:shd w:val="clear" w:color="auto" w:fill="auto"/>
            <w:tcMar>
              <w:top w:w="0" w:type="dxa"/>
              <w:left w:w="108" w:type="dxa"/>
              <w:bottom w:w="0" w:type="dxa"/>
              <w:right w:w="108" w:type="dxa"/>
            </w:tcMar>
            <w:vAlign w:val="bottom"/>
          </w:tcPr>
          <w:p w:rsidR="00883415" w:rsidRPr="00883415" w:rsidRDefault="00883415" w:rsidP="00883415">
            <w:pPr>
              <w:jc w:val="left"/>
              <w:rPr>
                <w:sz w:val="16"/>
                <w:szCs w:val="16"/>
                <w:lang w:val="en-US"/>
              </w:rPr>
            </w:pPr>
            <w:r w:rsidRPr="00883415">
              <w:rPr>
                <w:sz w:val="16"/>
                <w:szCs w:val="16"/>
                <w:lang w:val="en-US"/>
              </w:rPr>
              <w:t>Amount of capital carrying voting rights (direct and indirect)</w:t>
            </w:r>
          </w:p>
        </w:tc>
        <w:tc>
          <w:tcPr>
            <w:tcW w:w="2149" w:type="dxa"/>
            <w:gridSpan w:val="2"/>
            <w:shd w:val="clear" w:color="auto" w:fill="auto"/>
            <w:tcMar>
              <w:top w:w="0" w:type="dxa"/>
              <w:left w:w="108" w:type="dxa"/>
              <w:bottom w:w="0" w:type="dxa"/>
              <w:right w:w="108" w:type="dxa"/>
            </w:tcMar>
            <w:vAlign w:val="center"/>
          </w:tcPr>
          <w:p w:rsidR="00883415" w:rsidRPr="00883415" w:rsidRDefault="00883415" w:rsidP="00883415">
            <w:pPr>
              <w:jc w:val="left"/>
              <w:rPr>
                <w:lang w:val="en-US"/>
              </w:rPr>
            </w:pPr>
            <w:r w:rsidRPr="00883415">
              <w:rPr>
                <w:sz w:val="16"/>
                <w:szCs w:val="16"/>
                <w:lang w:val="en-US"/>
              </w:rPr>
              <w:t>Amount of capital carrying voting rights</w:t>
            </w:r>
            <w:r w:rsidRPr="00883415">
              <w:rPr>
                <w:color w:val="B6ADA5"/>
                <w:sz w:val="16"/>
                <w:szCs w:val="16"/>
                <w:vertAlign w:val="superscript"/>
                <w:lang w:val="fr-LU"/>
              </w:rPr>
              <w:footnoteReference w:id="8"/>
            </w:r>
          </w:p>
        </w:tc>
        <w:tc>
          <w:tcPr>
            <w:tcW w:w="2233" w:type="dxa"/>
            <w:gridSpan w:val="2"/>
            <w:shd w:val="clear" w:color="auto" w:fill="auto"/>
            <w:tcMar>
              <w:top w:w="0" w:type="dxa"/>
              <w:left w:w="108" w:type="dxa"/>
              <w:bottom w:w="0" w:type="dxa"/>
              <w:right w:w="108" w:type="dxa"/>
            </w:tcMar>
            <w:vAlign w:val="center"/>
          </w:tcPr>
          <w:p w:rsidR="00883415" w:rsidRPr="00883415" w:rsidRDefault="00883415" w:rsidP="00883415">
            <w:pPr>
              <w:jc w:val="left"/>
              <w:rPr>
                <w:lang w:val="en-US"/>
              </w:rPr>
            </w:pPr>
            <w:r w:rsidRPr="00883415">
              <w:rPr>
                <w:sz w:val="16"/>
                <w:szCs w:val="16"/>
                <w:lang w:val="en-US"/>
              </w:rPr>
              <w:t>Percentage of capital carrying voting rights</w:t>
            </w:r>
            <w:r w:rsidRPr="00883415">
              <w:rPr>
                <w:color w:val="B6ADA5"/>
                <w:sz w:val="16"/>
                <w:szCs w:val="16"/>
                <w:vertAlign w:val="superscript"/>
                <w:lang w:val="en-US"/>
              </w:rPr>
              <w:t xml:space="preserve"> </w:t>
            </w:r>
            <w:r w:rsidRPr="00883415">
              <w:rPr>
                <w:color w:val="B6ADA5"/>
                <w:sz w:val="16"/>
                <w:szCs w:val="16"/>
                <w:vertAlign w:val="superscript"/>
                <w:lang w:val="fr-LU"/>
              </w:rPr>
              <w:footnoteReference w:id="9"/>
            </w:r>
          </w:p>
        </w:tc>
      </w:tr>
      <w:tr w:rsidR="00883415" w:rsidRPr="00883415" w:rsidTr="00883415">
        <w:trPr>
          <w:trHeight w:val="822"/>
        </w:trPr>
        <w:tc>
          <w:tcPr>
            <w:tcW w:w="1617" w:type="dxa"/>
            <w:vMerge/>
            <w:shd w:val="clear" w:color="auto" w:fill="auto"/>
            <w:tcMar>
              <w:top w:w="0" w:type="dxa"/>
              <w:left w:w="108" w:type="dxa"/>
              <w:bottom w:w="0" w:type="dxa"/>
              <w:right w:w="108" w:type="dxa"/>
            </w:tcMar>
            <w:vAlign w:val="center"/>
          </w:tcPr>
          <w:p w:rsidR="00883415" w:rsidRPr="00883415" w:rsidRDefault="00883415" w:rsidP="00883415">
            <w:pPr>
              <w:rPr>
                <w:lang w:val="en-US"/>
              </w:rPr>
            </w:pPr>
          </w:p>
        </w:tc>
        <w:tc>
          <w:tcPr>
            <w:tcW w:w="1758" w:type="dxa"/>
            <w:vMerge/>
            <w:shd w:val="clear" w:color="auto" w:fill="auto"/>
            <w:tcMar>
              <w:top w:w="0" w:type="dxa"/>
              <w:left w:w="108" w:type="dxa"/>
              <w:bottom w:w="0" w:type="dxa"/>
              <w:right w:w="108" w:type="dxa"/>
            </w:tcMar>
            <w:vAlign w:val="bottom"/>
          </w:tcPr>
          <w:p w:rsidR="00883415" w:rsidRPr="00883415" w:rsidRDefault="00883415" w:rsidP="00883415">
            <w:pPr>
              <w:rPr>
                <w:sz w:val="16"/>
                <w:szCs w:val="16"/>
                <w:lang w:val="en-US"/>
              </w:rPr>
            </w:pPr>
          </w:p>
        </w:tc>
        <w:tc>
          <w:tcPr>
            <w:tcW w:w="873" w:type="dxa"/>
            <w:shd w:val="clear" w:color="auto" w:fill="auto"/>
            <w:tcMar>
              <w:top w:w="0" w:type="dxa"/>
              <w:left w:w="108" w:type="dxa"/>
              <w:bottom w:w="0" w:type="dxa"/>
              <w:right w:w="108" w:type="dxa"/>
            </w:tcMar>
            <w:vAlign w:val="center"/>
          </w:tcPr>
          <w:p w:rsidR="00883415" w:rsidRPr="00883415" w:rsidRDefault="00883415" w:rsidP="00883415">
            <w:pPr>
              <w:jc w:val="left"/>
              <w:rPr>
                <w:sz w:val="16"/>
                <w:szCs w:val="16"/>
                <w:lang w:val="fr-LU"/>
              </w:rPr>
            </w:pPr>
            <w:proofErr w:type="gramStart"/>
            <w:r w:rsidRPr="00883415">
              <w:rPr>
                <w:sz w:val="16"/>
                <w:szCs w:val="16"/>
                <w:lang w:val="fr-LU"/>
              </w:rPr>
              <w:t>direct</w:t>
            </w:r>
            <w:proofErr w:type="gramEnd"/>
          </w:p>
        </w:tc>
        <w:tc>
          <w:tcPr>
            <w:tcW w:w="1276" w:type="dxa"/>
            <w:shd w:val="clear" w:color="auto" w:fill="auto"/>
            <w:tcMar>
              <w:top w:w="0" w:type="dxa"/>
              <w:left w:w="108" w:type="dxa"/>
              <w:bottom w:w="0" w:type="dxa"/>
              <w:right w:w="108" w:type="dxa"/>
            </w:tcMar>
            <w:vAlign w:val="center"/>
          </w:tcPr>
          <w:p w:rsidR="00883415" w:rsidRPr="00883415" w:rsidRDefault="00883415" w:rsidP="00883415">
            <w:pPr>
              <w:jc w:val="left"/>
              <w:rPr>
                <w:sz w:val="16"/>
                <w:szCs w:val="16"/>
                <w:lang w:val="fr-LU"/>
              </w:rPr>
            </w:pPr>
            <w:proofErr w:type="gramStart"/>
            <w:r w:rsidRPr="00883415">
              <w:rPr>
                <w:sz w:val="16"/>
                <w:szCs w:val="16"/>
                <w:lang w:val="fr-LU"/>
              </w:rPr>
              <w:t>indirect</w:t>
            </w:r>
            <w:proofErr w:type="gramEnd"/>
          </w:p>
        </w:tc>
        <w:tc>
          <w:tcPr>
            <w:tcW w:w="992" w:type="dxa"/>
            <w:shd w:val="clear" w:color="auto" w:fill="auto"/>
            <w:tcMar>
              <w:top w:w="0" w:type="dxa"/>
              <w:left w:w="108" w:type="dxa"/>
              <w:bottom w:w="0" w:type="dxa"/>
              <w:right w:w="108" w:type="dxa"/>
            </w:tcMar>
            <w:vAlign w:val="center"/>
          </w:tcPr>
          <w:p w:rsidR="00883415" w:rsidRPr="00883415" w:rsidRDefault="00883415" w:rsidP="00883415">
            <w:pPr>
              <w:jc w:val="left"/>
              <w:rPr>
                <w:sz w:val="16"/>
                <w:szCs w:val="16"/>
                <w:lang w:val="fr-LU"/>
              </w:rPr>
            </w:pPr>
            <w:proofErr w:type="gramStart"/>
            <w:r w:rsidRPr="00883415">
              <w:rPr>
                <w:sz w:val="16"/>
                <w:szCs w:val="16"/>
                <w:lang w:val="fr-LU"/>
              </w:rPr>
              <w:t>direct</w:t>
            </w:r>
            <w:proofErr w:type="gramEnd"/>
          </w:p>
        </w:tc>
        <w:tc>
          <w:tcPr>
            <w:tcW w:w="1241" w:type="dxa"/>
            <w:shd w:val="clear" w:color="auto" w:fill="auto"/>
            <w:tcMar>
              <w:top w:w="0" w:type="dxa"/>
              <w:left w:w="108" w:type="dxa"/>
              <w:bottom w:w="0" w:type="dxa"/>
              <w:right w:w="108" w:type="dxa"/>
            </w:tcMar>
            <w:vAlign w:val="center"/>
          </w:tcPr>
          <w:p w:rsidR="00883415" w:rsidRPr="00883415" w:rsidRDefault="00883415" w:rsidP="00883415">
            <w:pPr>
              <w:jc w:val="left"/>
              <w:rPr>
                <w:sz w:val="16"/>
                <w:szCs w:val="16"/>
                <w:lang w:val="fr-LU"/>
              </w:rPr>
            </w:pPr>
            <w:proofErr w:type="gramStart"/>
            <w:r w:rsidRPr="00883415">
              <w:rPr>
                <w:sz w:val="16"/>
                <w:szCs w:val="16"/>
                <w:lang w:val="fr-LU"/>
              </w:rPr>
              <w:t>indirect</w:t>
            </w:r>
            <w:proofErr w:type="gramEnd"/>
          </w:p>
        </w:tc>
      </w:tr>
      <w:tr w:rsidR="00883415" w:rsidRPr="00883415" w:rsidTr="00883415">
        <w:tc>
          <w:tcPr>
            <w:tcW w:w="1617" w:type="dxa"/>
            <w:tcBorders>
              <w:bottom w:val="single" w:sz="4" w:space="0" w:color="auto"/>
            </w:tcBorders>
            <w:shd w:val="clear" w:color="auto" w:fill="auto"/>
            <w:tcMar>
              <w:top w:w="0" w:type="dxa"/>
              <w:left w:w="108" w:type="dxa"/>
              <w:bottom w:w="0" w:type="dxa"/>
              <w:right w:w="108" w:type="dxa"/>
            </w:tcMar>
          </w:tcPr>
          <w:p w:rsidR="00883415" w:rsidRPr="00883415" w:rsidRDefault="00883415" w:rsidP="00883415">
            <w:pPr>
              <w:rPr>
                <w:lang w:val="fr-LU"/>
              </w:rPr>
            </w:pPr>
          </w:p>
        </w:tc>
        <w:tc>
          <w:tcPr>
            <w:tcW w:w="1758" w:type="dxa"/>
            <w:shd w:val="clear" w:color="auto" w:fill="auto"/>
            <w:tcMar>
              <w:top w:w="0" w:type="dxa"/>
              <w:left w:w="108" w:type="dxa"/>
              <w:bottom w:w="0" w:type="dxa"/>
              <w:right w:w="108" w:type="dxa"/>
            </w:tcMar>
          </w:tcPr>
          <w:p w:rsidR="00883415" w:rsidRPr="00883415" w:rsidRDefault="00883415" w:rsidP="00883415">
            <w:pPr>
              <w:rPr>
                <w:lang w:val="fr-LU"/>
              </w:rPr>
            </w:pPr>
          </w:p>
        </w:tc>
        <w:tc>
          <w:tcPr>
            <w:tcW w:w="873" w:type="dxa"/>
            <w:shd w:val="clear" w:color="auto" w:fill="auto"/>
            <w:tcMar>
              <w:top w:w="0" w:type="dxa"/>
              <w:left w:w="108" w:type="dxa"/>
              <w:bottom w:w="0" w:type="dxa"/>
              <w:right w:w="108" w:type="dxa"/>
            </w:tcMar>
          </w:tcPr>
          <w:p w:rsidR="00883415" w:rsidRPr="00883415" w:rsidRDefault="00883415" w:rsidP="00883415">
            <w:pPr>
              <w:rPr>
                <w:lang w:val="fr-LU"/>
              </w:rPr>
            </w:pPr>
          </w:p>
        </w:tc>
        <w:tc>
          <w:tcPr>
            <w:tcW w:w="1276" w:type="dxa"/>
            <w:shd w:val="clear" w:color="auto" w:fill="auto"/>
            <w:tcMar>
              <w:top w:w="0" w:type="dxa"/>
              <w:left w:w="108" w:type="dxa"/>
              <w:bottom w:w="0" w:type="dxa"/>
              <w:right w:w="108" w:type="dxa"/>
            </w:tcMar>
          </w:tcPr>
          <w:p w:rsidR="00883415" w:rsidRPr="00883415" w:rsidRDefault="00883415" w:rsidP="00883415">
            <w:pPr>
              <w:rPr>
                <w:lang w:val="fr-LU"/>
              </w:rPr>
            </w:pPr>
          </w:p>
        </w:tc>
        <w:tc>
          <w:tcPr>
            <w:tcW w:w="992" w:type="dxa"/>
            <w:shd w:val="clear" w:color="auto" w:fill="auto"/>
            <w:tcMar>
              <w:top w:w="0" w:type="dxa"/>
              <w:left w:w="108" w:type="dxa"/>
              <w:bottom w:w="0" w:type="dxa"/>
              <w:right w:w="108" w:type="dxa"/>
            </w:tcMar>
          </w:tcPr>
          <w:p w:rsidR="00883415" w:rsidRPr="00883415" w:rsidRDefault="00883415" w:rsidP="00883415">
            <w:pPr>
              <w:rPr>
                <w:lang w:val="fr-LU"/>
              </w:rPr>
            </w:pPr>
          </w:p>
        </w:tc>
        <w:tc>
          <w:tcPr>
            <w:tcW w:w="1241" w:type="dxa"/>
            <w:shd w:val="clear" w:color="auto" w:fill="auto"/>
            <w:tcMar>
              <w:top w:w="0" w:type="dxa"/>
              <w:left w:w="108" w:type="dxa"/>
              <w:bottom w:w="0" w:type="dxa"/>
              <w:right w:w="108" w:type="dxa"/>
            </w:tcMar>
          </w:tcPr>
          <w:p w:rsidR="00883415" w:rsidRPr="00883415" w:rsidRDefault="00883415" w:rsidP="00883415">
            <w:pPr>
              <w:rPr>
                <w:lang w:val="fr-LU"/>
              </w:rPr>
            </w:pPr>
          </w:p>
        </w:tc>
      </w:tr>
      <w:tr w:rsidR="00883415" w:rsidRPr="00883415" w:rsidTr="00883415">
        <w:trPr>
          <w:trHeight w:val="570"/>
        </w:trPr>
        <w:tc>
          <w:tcPr>
            <w:tcW w:w="1617" w:type="dxa"/>
            <w:shd w:val="clear" w:color="auto" w:fill="007198" w:themeFill="accent5"/>
            <w:tcMar>
              <w:top w:w="0" w:type="dxa"/>
              <w:left w:w="108" w:type="dxa"/>
              <w:bottom w:w="0" w:type="dxa"/>
              <w:right w:w="108" w:type="dxa"/>
            </w:tcMar>
            <w:vAlign w:val="center"/>
          </w:tcPr>
          <w:p w:rsidR="00883415" w:rsidRPr="00883415" w:rsidRDefault="00883415" w:rsidP="00883415">
            <w:pPr>
              <w:jc w:val="left"/>
              <w:rPr>
                <w:b/>
                <w:lang w:val="fr-LU"/>
              </w:rPr>
            </w:pPr>
            <w:r w:rsidRPr="00883415">
              <w:rPr>
                <w:b/>
                <w:lang w:val="fr-LU"/>
              </w:rPr>
              <w:t>TOTAL</w:t>
            </w:r>
          </w:p>
        </w:tc>
        <w:tc>
          <w:tcPr>
            <w:tcW w:w="1758" w:type="dxa"/>
            <w:shd w:val="clear" w:color="auto" w:fill="auto"/>
            <w:tcMar>
              <w:top w:w="0" w:type="dxa"/>
              <w:left w:w="108" w:type="dxa"/>
              <w:bottom w:w="0" w:type="dxa"/>
              <w:right w:w="108" w:type="dxa"/>
            </w:tcMar>
            <w:vAlign w:val="center"/>
          </w:tcPr>
          <w:p w:rsidR="00883415" w:rsidRPr="00883415" w:rsidRDefault="00883415" w:rsidP="00883415">
            <w:pPr>
              <w:jc w:val="left"/>
              <w:rPr>
                <w:lang w:val="fr-LU"/>
              </w:rPr>
            </w:pPr>
          </w:p>
        </w:tc>
        <w:tc>
          <w:tcPr>
            <w:tcW w:w="873" w:type="dxa"/>
            <w:shd w:val="clear" w:color="auto" w:fill="auto"/>
            <w:tcMar>
              <w:top w:w="0" w:type="dxa"/>
              <w:left w:w="108" w:type="dxa"/>
              <w:bottom w:w="0" w:type="dxa"/>
              <w:right w:w="108" w:type="dxa"/>
            </w:tcMar>
            <w:vAlign w:val="center"/>
          </w:tcPr>
          <w:p w:rsidR="00883415" w:rsidRPr="00883415" w:rsidRDefault="00883415" w:rsidP="00883415">
            <w:pPr>
              <w:jc w:val="left"/>
              <w:rPr>
                <w:lang w:val="fr-LU"/>
              </w:rPr>
            </w:pPr>
          </w:p>
        </w:tc>
        <w:tc>
          <w:tcPr>
            <w:tcW w:w="1276" w:type="dxa"/>
            <w:shd w:val="clear" w:color="auto" w:fill="auto"/>
            <w:tcMar>
              <w:top w:w="0" w:type="dxa"/>
              <w:left w:w="108" w:type="dxa"/>
              <w:bottom w:w="0" w:type="dxa"/>
              <w:right w:w="108" w:type="dxa"/>
            </w:tcMar>
            <w:vAlign w:val="center"/>
          </w:tcPr>
          <w:p w:rsidR="00883415" w:rsidRPr="00883415" w:rsidRDefault="00883415" w:rsidP="00883415">
            <w:pPr>
              <w:jc w:val="left"/>
              <w:rPr>
                <w:lang w:val="fr-LU"/>
              </w:rPr>
            </w:pPr>
          </w:p>
        </w:tc>
        <w:tc>
          <w:tcPr>
            <w:tcW w:w="992" w:type="dxa"/>
            <w:shd w:val="clear" w:color="auto" w:fill="auto"/>
            <w:tcMar>
              <w:top w:w="0" w:type="dxa"/>
              <w:left w:w="108" w:type="dxa"/>
              <w:bottom w:w="0" w:type="dxa"/>
              <w:right w:w="108" w:type="dxa"/>
            </w:tcMar>
            <w:vAlign w:val="center"/>
          </w:tcPr>
          <w:p w:rsidR="00883415" w:rsidRPr="00883415" w:rsidRDefault="00883415" w:rsidP="00883415">
            <w:pPr>
              <w:jc w:val="left"/>
              <w:rPr>
                <w:lang w:val="fr-LU"/>
              </w:rPr>
            </w:pPr>
          </w:p>
        </w:tc>
        <w:tc>
          <w:tcPr>
            <w:tcW w:w="1241" w:type="dxa"/>
            <w:shd w:val="clear" w:color="auto" w:fill="auto"/>
            <w:tcMar>
              <w:top w:w="0" w:type="dxa"/>
              <w:left w:w="108" w:type="dxa"/>
              <w:bottom w:w="0" w:type="dxa"/>
              <w:right w:w="108" w:type="dxa"/>
            </w:tcMar>
            <w:vAlign w:val="center"/>
          </w:tcPr>
          <w:p w:rsidR="00883415" w:rsidRPr="00883415" w:rsidRDefault="00883415" w:rsidP="00883415">
            <w:pPr>
              <w:jc w:val="left"/>
              <w:rPr>
                <w:lang w:val="fr-LU"/>
              </w:rPr>
            </w:pPr>
          </w:p>
        </w:tc>
      </w:tr>
    </w:tbl>
    <w:p w:rsidR="00883415" w:rsidRDefault="00883415" w:rsidP="00883415">
      <w:pPr>
        <w:pStyle w:val="ListParagraph"/>
        <w:spacing w:line="360" w:lineRule="auto"/>
        <w:ind w:left="357"/>
        <w:rPr>
          <w:lang w:val="fr-LU"/>
        </w:rPr>
      </w:pPr>
    </w:p>
    <w:p w:rsidR="00883415" w:rsidRDefault="00883415" w:rsidP="00883415">
      <w:pPr>
        <w:pStyle w:val="ListParagraph"/>
        <w:spacing w:line="360" w:lineRule="auto"/>
        <w:ind w:left="357"/>
        <w:rPr>
          <w:lang w:val="fr-LU"/>
        </w:rPr>
      </w:pPr>
    </w:p>
    <w:p w:rsidR="00883415" w:rsidRPr="00883415" w:rsidRDefault="00883415" w:rsidP="00883415">
      <w:pPr>
        <w:pStyle w:val="ListParagraph"/>
        <w:spacing w:line="360" w:lineRule="auto"/>
        <w:ind w:left="357"/>
        <w:rPr>
          <w:lang w:val="fr-LU"/>
        </w:rPr>
      </w:pPr>
    </w:p>
    <w:p w:rsidR="002B53B6" w:rsidRDefault="002B53B6">
      <w:pPr>
        <w:rPr>
          <w:lang w:val="fr-LU"/>
        </w:rPr>
      </w:pPr>
    </w:p>
    <w:p w:rsidR="00883415" w:rsidRDefault="00883415">
      <w:pPr>
        <w:rPr>
          <w:lang w:val="fr-LU"/>
        </w:rPr>
      </w:pPr>
    </w:p>
    <w:tbl>
      <w:tblPr>
        <w:tblW w:w="7757" w:type="dxa"/>
        <w:tblBorders>
          <w:top w:val="single" w:sz="4" w:space="0" w:color="auto"/>
          <w:left w:val="single" w:sz="4" w:space="0" w:color="auto"/>
          <w:bottom w:val="single" w:sz="4" w:space="0" w:color="auto"/>
          <w:right w:val="single" w:sz="4" w:space="0" w:color="auto"/>
          <w:insideH w:val="single" w:sz="4" w:space="0" w:color="auto"/>
          <w:insideV w:val="single" w:sz="4" w:space="0" w:color="79DDE9"/>
        </w:tblBorders>
        <w:tblCellMar>
          <w:left w:w="10" w:type="dxa"/>
          <w:right w:w="10" w:type="dxa"/>
        </w:tblCellMar>
        <w:tblLook w:val="04A0" w:firstRow="1" w:lastRow="0" w:firstColumn="1" w:lastColumn="0" w:noHBand="0" w:noVBand="1"/>
      </w:tblPr>
      <w:tblGrid>
        <w:gridCol w:w="1600"/>
        <w:gridCol w:w="1962"/>
        <w:gridCol w:w="1125"/>
        <w:gridCol w:w="1120"/>
        <w:gridCol w:w="998"/>
        <w:gridCol w:w="952"/>
      </w:tblGrid>
      <w:tr w:rsidR="00883415" w:rsidTr="00883415">
        <w:trPr>
          <w:trHeight w:val="563"/>
        </w:trPr>
        <w:tc>
          <w:tcPr>
            <w:tcW w:w="7757" w:type="dxa"/>
            <w:gridSpan w:val="6"/>
            <w:shd w:val="clear" w:color="auto" w:fill="007198" w:themeFill="accent5"/>
            <w:tcMar>
              <w:top w:w="0" w:type="dxa"/>
              <w:left w:w="108" w:type="dxa"/>
              <w:bottom w:w="0" w:type="dxa"/>
              <w:right w:w="108" w:type="dxa"/>
            </w:tcMar>
            <w:vAlign w:val="center"/>
          </w:tcPr>
          <w:p w:rsidR="00883415" w:rsidRPr="00883415" w:rsidRDefault="00883415" w:rsidP="000C1350">
            <w:pPr>
              <w:keepNext/>
              <w:keepLines w:val="0"/>
              <w:widowControl w:val="0"/>
              <w:jc w:val="left"/>
              <w:rPr>
                <w:b/>
                <w:color w:val="F0EEEC" w:themeColor="background2" w:themeTint="33"/>
                <w:lang w:val="fr-LU"/>
              </w:rPr>
            </w:pPr>
            <w:r w:rsidRPr="00883415">
              <w:rPr>
                <w:b/>
                <w:color w:val="F0EEEC" w:themeColor="background2" w:themeTint="33"/>
                <w:lang w:val="fr-LU"/>
              </w:rPr>
              <w:lastRenderedPageBreak/>
              <w:t xml:space="preserve">B. </w:t>
            </w:r>
            <w:proofErr w:type="spellStart"/>
            <w:r w:rsidRPr="00883415">
              <w:rPr>
                <w:b/>
                <w:color w:val="F0EEEC" w:themeColor="background2" w:themeTint="33"/>
                <w:lang w:val="fr-LU"/>
              </w:rPr>
              <w:t>Voting</w:t>
            </w:r>
            <w:proofErr w:type="spellEnd"/>
            <w:r w:rsidRPr="00883415">
              <w:rPr>
                <w:b/>
                <w:color w:val="F0EEEC" w:themeColor="background2" w:themeTint="33"/>
                <w:lang w:val="fr-LU"/>
              </w:rPr>
              <w:t xml:space="preserve"> </w:t>
            </w:r>
            <w:proofErr w:type="spellStart"/>
            <w:r w:rsidRPr="00883415">
              <w:rPr>
                <w:b/>
                <w:color w:val="F0EEEC" w:themeColor="background2" w:themeTint="33"/>
                <w:lang w:val="fr-LU"/>
              </w:rPr>
              <w:t>rights</w:t>
            </w:r>
            <w:proofErr w:type="spellEnd"/>
            <w:r w:rsidRPr="00EB323E">
              <w:rPr>
                <w:rStyle w:val="FootnoteReference"/>
                <w:b/>
                <w:color w:val="F0EEEC" w:themeColor="background2" w:themeTint="33"/>
                <w:szCs w:val="16"/>
                <w:lang w:val="fr-LU"/>
              </w:rPr>
              <w:footnoteReference w:id="10"/>
            </w:r>
          </w:p>
        </w:tc>
      </w:tr>
      <w:tr w:rsidR="00883415" w:rsidRPr="00C24764" w:rsidTr="00883415">
        <w:trPr>
          <w:trHeight w:val="841"/>
        </w:trPr>
        <w:tc>
          <w:tcPr>
            <w:tcW w:w="7757" w:type="dxa"/>
            <w:gridSpan w:val="6"/>
            <w:tcBorders>
              <w:bottom w:val="single" w:sz="4" w:space="0" w:color="auto"/>
            </w:tcBorders>
            <w:shd w:val="clear" w:color="auto" w:fill="007198" w:themeFill="accent5"/>
            <w:tcMar>
              <w:top w:w="0" w:type="dxa"/>
              <w:left w:w="108" w:type="dxa"/>
              <w:bottom w:w="0" w:type="dxa"/>
              <w:right w:w="108" w:type="dxa"/>
            </w:tcMar>
            <w:vAlign w:val="center"/>
          </w:tcPr>
          <w:p w:rsidR="00883415" w:rsidRPr="00883415" w:rsidRDefault="00883415" w:rsidP="000C1350">
            <w:pPr>
              <w:keepNext/>
              <w:keepLines w:val="0"/>
              <w:widowControl w:val="0"/>
              <w:jc w:val="left"/>
              <w:rPr>
                <w:b/>
                <w:color w:val="F0EEEC" w:themeColor="background2" w:themeTint="33"/>
                <w:lang w:val="en-US"/>
              </w:rPr>
            </w:pPr>
            <w:r w:rsidRPr="00883415">
              <w:rPr>
                <w:b/>
                <w:color w:val="F0EEEC" w:themeColor="background2" w:themeTint="33"/>
                <w:lang w:val="en-US"/>
              </w:rPr>
              <w:t>Total amount of the company's voting rights on which the calculation is based:</w:t>
            </w:r>
          </w:p>
        </w:tc>
      </w:tr>
      <w:tr w:rsidR="00883415" w:rsidRPr="00C24764" w:rsidTr="00883415">
        <w:tblPrEx>
          <w:tblLook w:val="0000" w:firstRow="0" w:lastRow="0" w:firstColumn="0" w:lastColumn="0" w:noHBand="0" w:noVBand="0"/>
        </w:tblPrEx>
        <w:trPr>
          <w:trHeight w:val="1002"/>
        </w:trPr>
        <w:tc>
          <w:tcPr>
            <w:tcW w:w="1600" w:type="dxa"/>
            <w:vMerge w:val="restart"/>
            <w:tcBorders>
              <w:right w:val="single" w:sz="4" w:space="0" w:color="auto"/>
            </w:tcBorders>
            <w:shd w:val="clear" w:color="auto" w:fill="auto"/>
            <w:tcMar>
              <w:top w:w="0" w:type="dxa"/>
              <w:left w:w="108" w:type="dxa"/>
              <w:bottom w:w="0" w:type="dxa"/>
              <w:right w:w="108" w:type="dxa"/>
            </w:tcMar>
            <w:vAlign w:val="bottom"/>
          </w:tcPr>
          <w:p w:rsidR="00883415" w:rsidRPr="00C24764" w:rsidRDefault="00883415" w:rsidP="000C1350">
            <w:pPr>
              <w:keepNext/>
              <w:keepLines w:val="0"/>
              <w:widowControl w:val="0"/>
              <w:jc w:val="center"/>
              <w:rPr>
                <w:sz w:val="16"/>
                <w:szCs w:val="16"/>
                <w:lang w:val="en-US"/>
              </w:rPr>
            </w:pPr>
            <w:r w:rsidRPr="00C24764">
              <w:rPr>
                <w:sz w:val="16"/>
                <w:szCs w:val="16"/>
                <w:lang w:val="en-US"/>
              </w:rPr>
              <w:t>Securities (identified by their ISIN code, the register of shareholders or other identification criteria)</w:t>
            </w:r>
          </w:p>
        </w:tc>
        <w:tc>
          <w:tcPr>
            <w:tcW w:w="1962" w:type="dxa"/>
            <w:tcBorders>
              <w:left w:val="single" w:sz="4" w:space="0" w:color="auto"/>
              <w:right w:val="single" w:sz="4" w:space="0" w:color="auto"/>
            </w:tcBorders>
            <w:shd w:val="clear" w:color="auto" w:fill="auto"/>
            <w:tcMar>
              <w:top w:w="0" w:type="dxa"/>
              <w:left w:w="108" w:type="dxa"/>
              <w:bottom w:w="0" w:type="dxa"/>
              <w:right w:w="108" w:type="dxa"/>
            </w:tcMar>
          </w:tcPr>
          <w:p w:rsidR="00883415" w:rsidRPr="00C24764" w:rsidRDefault="00883415" w:rsidP="000C1350">
            <w:pPr>
              <w:keepNext/>
              <w:keepLines w:val="0"/>
              <w:widowControl w:val="0"/>
              <w:jc w:val="center"/>
              <w:rPr>
                <w:sz w:val="16"/>
                <w:szCs w:val="16"/>
                <w:lang w:val="en-US"/>
              </w:rPr>
            </w:pPr>
            <w:r w:rsidRPr="00C24764">
              <w:rPr>
                <w:sz w:val="16"/>
                <w:szCs w:val="16"/>
                <w:lang w:val="en-US"/>
              </w:rPr>
              <w:t>Situation prior to the transaction that triggered the notification requirement</w:t>
            </w:r>
          </w:p>
        </w:tc>
        <w:tc>
          <w:tcPr>
            <w:tcW w:w="4195" w:type="dxa"/>
            <w:gridSpan w:val="4"/>
            <w:tcBorders>
              <w:left w:val="single" w:sz="4" w:space="0" w:color="auto"/>
            </w:tcBorders>
            <w:shd w:val="clear" w:color="auto" w:fill="auto"/>
            <w:tcMar>
              <w:top w:w="0" w:type="dxa"/>
              <w:left w:w="108" w:type="dxa"/>
              <w:bottom w:w="0" w:type="dxa"/>
              <w:right w:w="108" w:type="dxa"/>
            </w:tcMar>
            <w:vAlign w:val="center"/>
          </w:tcPr>
          <w:p w:rsidR="00883415" w:rsidRPr="00C24764" w:rsidRDefault="00883415" w:rsidP="000C1350">
            <w:pPr>
              <w:keepNext/>
              <w:keepLines w:val="0"/>
              <w:widowControl w:val="0"/>
              <w:rPr>
                <w:sz w:val="16"/>
                <w:szCs w:val="16"/>
                <w:lang w:val="en-US"/>
              </w:rPr>
            </w:pPr>
            <w:r w:rsidRPr="00C24764">
              <w:rPr>
                <w:sz w:val="16"/>
                <w:szCs w:val="16"/>
                <w:lang w:val="en-US"/>
              </w:rPr>
              <w:t>Situation after the transaction that</w:t>
            </w:r>
            <w:r>
              <w:rPr>
                <w:sz w:val="16"/>
                <w:szCs w:val="16"/>
                <w:lang w:val="en-US"/>
              </w:rPr>
              <w:t xml:space="preserve"> </w:t>
            </w:r>
            <w:r w:rsidRPr="00C24764">
              <w:rPr>
                <w:sz w:val="16"/>
                <w:szCs w:val="16"/>
                <w:lang w:val="en-US"/>
              </w:rPr>
              <w:t>triggered the notification obligation</w:t>
            </w:r>
          </w:p>
        </w:tc>
      </w:tr>
      <w:tr w:rsidR="00883415" w:rsidRPr="00846C91" w:rsidTr="00883415">
        <w:tblPrEx>
          <w:tblLook w:val="0000" w:firstRow="0" w:lastRow="0" w:firstColumn="0" w:lastColumn="0" w:noHBand="0" w:noVBand="0"/>
        </w:tblPrEx>
        <w:trPr>
          <w:trHeight w:val="883"/>
        </w:trPr>
        <w:tc>
          <w:tcPr>
            <w:tcW w:w="1600" w:type="dxa"/>
            <w:vMerge/>
            <w:tcBorders>
              <w:right w:val="single" w:sz="4" w:space="0" w:color="auto"/>
            </w:tcBorders>
            <w:shd w:val="clear" w:color="auto" w:fill="auto"/>
            <w:tcMar>
              <w:top w:w="0" w:type="dxa"/>
              <w:left w:w="108" w:type="dxa"/>
              <w:bottom w:w="0" w:type="dxa"/>
              <w:right w:w="108" w:type="dxa"/>
            </w:tcMar>
            <w:vAlign w:val="center"/>
          </w:tcPr>
          <w:p w:rsidR="00883415" w:rsidRPr="00C24764" w:rsidRDefault="00883415" w:rsidP="000C1350">
            <w:pPr>
              <w:keepNext/>
              <w:keepLines w:val="0"/>
              <w:widowControl w:val="0"/>
              <w:rPr>
                <w:sz w:val="16"/>
                <w:szCs w:val="16"/>
                <w:lang w:val="en-US"/>
              </w:rPr>
            </w:pPr>
          </w:p>
        </w:tc>
        <w:tc>
          <w:tcPr>
            <w:tcW w:w="1962" w:type="dxa"/>
            <w:vMerge w:val="restart"/>
            <w:tcBorders>
              <w:left w:val="single" w:sz="4" w:space="0" w:color="auto"/>
              <w:right w:val="single" w:sz="4" w:space="0" w:color="auto"/>
            </w:tcBorders>
            <w:shd w:val="clear" w:color="auto" w:fill="auto"/>
            <w:tcMar>
              <w:top w:w="0" w:type="dxa"/>
              <w:left w:w="108" w:type="dxa"/>
              <w:bottom w:w="0" w:type="dxa"/>
              <w:right w:w="108" w:type="dxa"/>
            </w:tcMar>
            <w:vAlign w:val="bottom"/>
          </w:tcPr>
          <w:p w:rsidR="00883415" w:rsidRDefault="00883415" w:rsidP="000C1350">
            <w:pPr>
              <w:keepNext/>
              <w:keepLines w:val="0"/>
              <w:widowControl w:val="0"/>
              <w:jc w:val="left"/>
              <w:rPr>
                <w:sz w:val="16"/>
                <w:szCs w:val="16"/>
                <w:lang w:val="fr-LU"/>
              </w:rPr>
            </w:pPr>
            <w:proofErr w:type="spellStart"/>
            <w:r w:rsidRPr="00C24764">
              <w:rPr>
                <w:sz w:val="16"/>
                <w:szCs w:val="16"/>
                <w:lang w:val="fr-LU"/>
              </w:rPr>
              <w:t>Number</w:t>
            </w:r>
            <w:proofErr w:type="spellEnd"/>
            <w:r w:rsidRPr="00C24764">
              <w:rPr>
                <w:sz w:val="16"/>
                <w:szCs w:val="16"/>
                <w:lang w:val="fr-LU"/>
              </w:rPr>
              <w:t xml:space="preserve"> of </w:t>
            </w:r>
            <w:proofErr w:type="spellStart"/>
            <w:r w:rsidRPr="00C24764">
              <w:rPr>
                <w:sz w:val="16"/>
                <w:szCs w:val="16"/>
                <w:lang w:val="fr-LU"/>
              </w:rPr>
              <w:t>voting</w:t>
            </w:r>
            <w:proofErr w:type="spellEnd"/>
            <w:r w:rsidRPr="00C24764">
              <w:rPr>
                <w:sz w:val="16"/>
                <w:szCs w:val="16"/>
                <w:lang w:val="fr-LU"/>
              </w:rPr>
              <w:t xml:space="preserve"> </w:t>
            </w:r>
            <w:proofErr w:type="spellStart"/>
            <w:r w:rsidRPr="00C24764">
              <w:rPr>
                <w:sz w:val="16"/>
                <w:szCs w:val="16"/>
                <w:lang w:val="fr-LU"/>
              </w:rPr>
              <w:t>rights</w:t>
            </w:r>
            <w:proofErr w:type="spellEnd"/>
          </w:p>
        </w:tc>
        <w:tc>
          <w:tcPr>
            <w:tcW w:w="2245" w:type="dxa"/>
            <w:gridSpan w:val="2"/>
            <w:tcBorders>
              <w:left w:val="single" w:sz="4" w:space="0" w:color="auto"/>
              <w:right w:val="single" w:sz="4" w:space="0" w:color="auto"/>
            </w:tcBorders>
            <w:shd w:val="clear" w:color="auto" w:fill="auto"/>
            <w:tcMar>
              <w:top w:w="0" w:type="dxa"/>
              <w:left w:w="108" w:type="dxa"/>
              <w:bottom w:w="0" w:type="dxa"/>
              <w:right w:w="108" w:type="dxa"/>
            </w:tcMar>
            <w:vAlign w:val="center"/>
          </w:tcPr>
          <w:p w:rsidR="00883415" w:rsidRDefault="00883415" w:rsidP="000C1350">
            <w:pPr>
              <w:keepNext/>
              <w:keepLines w:val="0"/>
              <w:widowControl w:val="0"/>
              <w:rPr>
                <w:sz w:val="16"/>
                <w:szCs w:val="16"/>
                <w:lang w:val="fr-LU"/>
              </w:rPr>
            </w:pPr>
            <w:proofErr w:type="spellStart"/>
            <w:r w:rsidRPr="00C24764">
              <w:rPr>
                <w:sz w:val="16"/>
                <w:szCs w:val="16"/>
                <w:lang w:val="fr-LU"/>
              </w:rPr>
              <w:t>Number</w:t>
            </w:r>
            <w:proofErr w:type="spellEnd"/>
            <w:r w:rsidRPr="00C24764">
              <w:rPr>
                <w:sz w:val="16"/>
                <w:szCs w:val="16"/>
                <w:lang w:val="fr-LU"/>
              </w:rPr>
              <w:t xml:space="preserve"> of </w:t>
            </w:r>
            <w:proofErr w:type="spellStart"/>
            <w:r w:rsidRPr="00C24764">
              <w:rPr>
                <w:sz w:val="16"/>
                <w:szCs w:val="16"/>
                <w:lang w:val="fr-LU"/>
              </w:rPr>
              <w:t>voting</w:t>
            </w:r>
            <w:proofErr w:type="spellEnd"/>
            <w:r w:rsidRPr="00C24764">
              <w:rPr>
                <w:sz w:val="16"/>
                <w:szCs w:val="16"/>
                <w:lang w:val="fr-LU"/>
              </w:rPr>
              <w:t xml:space="preserve"> </w:t>
            </w:r>
            <w:proofErr w:type="spellStart"/>
            <w:r w:rsidRPr="00C24764">
              <w:rPr>
                <w:sz w:val="16"/>
                <w:szCs w:val="16"/>
                <w:lang w:val="fr-LU"/>
              </w:rPr>
              <w:t>rights</w:t>
            </w:r>
            <w:proofErr w:type="spellEnd"/>
          </w:p>
        </w:tc>
        <w:tc>
          <w:tcPr>
            <w:tcW w:w="1950" w:type="dxa"/>
            <w:gridSpan w:val="2"/>
            <w:tcBorders>
              <w:left w:val="single" w:sz="4" w:space="0" w:color="auto"/>
            </w:tcBorders>
            <w:shd w:val="clear" w:color="auto" w:fill="auto"/>
            <w:tcMar>
              <w:top w:w="0" w:type="dxa"/>
              <w:left w:w="108" w:type="dxa"/>
              <w:bottom w:w="0" w:type="dxa"/>
              <w:right w:w="108" w:type="dxa"/>
            </w:tcMar>
            <w:vAlign w:val="center"/>
          </w:tcPr>
          <w:p w:rsidR="00883415" w:rsidRDefault="00883415" w:rsidP="000C1350">
            <w:pPr>
              <w:keepNext/>
              <w:keepLines w:val="0"/>
              <w:widowControl w:val="0"/>
              <w:rPr>
                <w:sz w:val="16"/>
                <w:szCs w:val="16"/>
                <w:lang w:val="fr-LU"/>
              </w:rPr>
            </w:pPr>
            <w:r w:rsidRPr="00C24764">
              <w:rPr>
                <w:sz w:val="16"/>
                <w:szCs w:val="16"/>
                <w:lang w:val="fr-LU"/>
              </w:rPr>
              <w:t xml:space="preserve">Percentage of </w:t>
            </w:r>
            <w:proofErr w:type="spellStart"/>
            <w:r w:rsidRPr="00C24764">
              <w:rPr>
                <w:sz w:val="16"/>
                <w:szCs w:val="16"/>
                <w:lang w:val="fr-LU"/>
              </w:rPr>
              <w:t>voting</w:t>
            </w:r>
            <w:proofErr w:type="spellEnd"/>
            <w:r w:rsidRPr="00C24764">
              <w:rPr>
                <w:sz w:val="16"/>
                <w:szCs w:val="16"/>
                <w:lang w:val="fr-LU"/>
              </w:rPr>
              <w:t xml:space="preserve"> </w:t>
            </w:r>
            <w:proofErr w:type="spellStart"/>
            <w:r w:rsidRPr="00C24764">
              <w:rPr>
                <w:sz w:val="16"/>
                <w:szCs w:val="16"/>
                <w:lang w:val="fr-LU"/>
              </w:rPr>
              <w:t>rights</w:t>
            </w:r>
            <w:proofErr w:type="spellEnd"/>
          </w:p>
        </w:tc>
      </w:tr>
      <w:tr w:rsidR="00883415" w:rsidTr="00883415">
        <w:tblPrEx>
          <w:tblLook w:val="0000" w:firstRow="0" w:lastRow="0" w:firstColumn="0" w:lastColumn="0" w:noHBand="0" w:noVBand="0"/>
        </w:tblPrEx>
        <w:trPr>
          <w:trHeight w:val="710"/>
        </w:trPr>
        <w:tc>
          <w:tcPr>
            <w:tcW w:w="1600" w:type="dxa"/>
            <w:vMerge/>
            <w:tcBorders>
              <w:right w:val="single" w:sz="4" w:space="0" w:color="auto"/>
            </w:tcBorders>
            <w:shd w:val="clear" w:color="auto" w:fill="auto"/>
            <w:tcMar>
              <w:top w:w="0" w:type="dxa"/>
              <w:left w:w="108" w:type="dxa"/>
              <w:bottom w:w="0" w:type="dxa"/>
              <w:right w:w="108" w:type="dxa"/>
            </w:tcMar>
            <w:vAlign w:val="center"/>
          </w:tcPr>
          <w:p w:rsidR="00883415" w:rsidRDefault="00883415" w:rsidP="000C1350">
            <w:pPr>
              <w:keepNext/>
              <w:keepLines w:val="0"/>
              <w:widowControl w:val="0"/>
              <w:rPr>
                <w:sz w:val="16"/>
                <w:szCs w:val="16"/>
                <w:lang w:val="fr-LU"/>
              </w:rPr>
            </w:pPr>
          </w:p>
        </w:tc>
        <w:tc>
          <w:tcPr>
            <w:tcW w:w="1962" w:type="dxa"/>
            <w:vMerge/>
            <w:tcBorders>
              <w:left w:val="single" w:sz="4" w:space="0" w:color="auto"/>
              <w:right w:val="single" w:sz="4" w:space="0" w:color="auto"/>
            </w:tcBorders>
            <w:shd w:val="clear" w:color="auto" w:fill="auto"/>
            <w:tcMar>
              <w:top w:w="0" w:type="dxa"/>
              <w:left w:w="108" w:type="dxa"/>
              <w:bottom w:w="0" w:type="dxa"/>
              <w:right w:w="108" w:type="dxa"/>
            </w:tcMar>
            <w:vAlign w:val="bottom"/>
          </w:tcPr>
          <w:p w:rsidR="00883415" w:rsidRDefault="00883415" w:rsidP="000C1350">
            <w:pPr>
              <w:keepNext/>
              <w:keepLines w:val="0"/>
              <w:widowControl w:val="0"/>
              <w:rPr>
                <w:sz w:val="16"/>
                <w:szCs w:val="16"/>
                <w:lang w:val="fr-LU"/>
              </w:rPr>
            </w:pPr>
          </w:p>
        </w:tc>
        <w:tc>
          <w:tcPr>
            <w:tcW w:w="1125" w:type="dxa"/>
            <w:tcBorders>
              <w:left w:val="single" w:sz="4" w:space="0" w:color="auto"/>
              <w:right w:val="single" w:sz="4" w:space="0" w:color="auto"/>
            </w:tcBorders>
            <w:shd w:val="clear" w:color="auto" w:fill="auto"/>
            <w:tcMar>
              <w:top w:w="0" w:type="dxa"/>
              <w:left w:w="108" w:type="dxa"/>
              <w:bottom w:w="0" w:type="dxa"/>
              <w:right w:w="108" w:type="dxa"/>
            </w:tcMar>
            <w:vAlign w:val="center"/>
          </w:tcPr>
          <w:p w:rsidR="00883415" w:rsidRDefault="00883415" w:rsidP="000C1350">
            <w:pPr>
              <w:keepNext/>
              <w:keepLines w:val="0"/>
              <w:widowControl w:val="0"/>
              <w:jc w:val="left"/>
              <w:rPr>
                <w:sz w:val="16"/>
                <w:szCs w:val="16"/>
                <w:lang w:val="fr-LU"/>
              </w:rPr>
            </w:pPr>
            <w:proofErr w:type="gramStart"/>
            <w:r>
              <w:rPr>
                <w:sz w:val="16"/>
                <w:szCs w:val="16"/>
                <w:lang w:val="fr-LU"/>
              </w:rPr>
              <w:t>direct</w:t>
            </w:r>
            <w:proofErr w:type="gramEnd"/>
          </w:p>
        </w:tc>
        <w:tc>
          <w:tcPr>
            <w:tcW w:w="1120" w:type="dxa"/>
            <w:tcBorders>
              <w:left w:val="single" w:sz="4" w:space="0" w:color="auto"/>
              <w:right w:val="single" w:sz="4" w:space="0" w:color="auto"/>
            </w:tcBorders>
            <w:shd w:val="clear" w:color="auto" w:fill="auto"/>
            <w:tcMar>
              <w:top w:w="0" w:type="dxa"/>
              <w:left w:w="108" w:type="dxa"/>
              <w:bottom w:w="0" w:type="dxa"/>
              <w:right w:w="108" w:type="dxa"/>
            </w:tcMar>
            <w:vAlign w:val="center"/>
          </w:tcPr>
          <w:p w:rsidR="00883415" w:rsidRDefault="00883415" w:rsidP="000C1350">
            <w:pPr>
              <w:keepNext/>
              <w:keepLines w:val="0"/>
              <w:widowControl w:val="0"/>
              <w:jc w:val="left"/>
              <w:rPr>
                <w:sz w:val="16"/>
                <w:szCs w:val="16"/>
                <w:lang w:val="fr-LU"/>
              </w:rPr>
            </w:pPr>
            <w:proofErr w:type="gramStart"/>
            <w:r>
              <w:rPr>
                <w:sz w:val="16"/>
                <w:szCs w:val="16"/>
                <w:lang w:val="fr-LU"/>
              </w:rPr>
              <w:t>indirect</w:t>
            </w:r>
            <w:proofErr w:type="gramEnd"/>
          </w:p>
        </w:tc>
        <w:tc>
          <w:tcPr>
            <w:tcW w:w="998" w:type="dxa"/>
            <w:tcBorders>
              <w:left w:val="single" w:sz="4" w:space="0" w:color="auto"/>
              <w:right w:val="single" w:sz="4" w:space="0" w:color="auto"/>
            </w:tcBorders>
            <w:shd w:val="clear" w:color="auto" w:fill="auto"/>
            <w:tcMar>
              <w:top w:w="0" w:type="dxa"/>
              <w:left w:w="108" w:type="dxa"/>
              <w:bottom w:w="0" w:type="dxa"/>
              <w:right w:w="108" w:type="dxa"/>
            </w:tcMar>
            <w:vAlign w:val="center"/>
          </w:tcPr>
          <w:p w:rsidR="00883415" w:rsidRDefault="00883415" w:rsidP="000C1350">
            <w:pPr>
              <w:keepNext/>
              <w:keepLines w:val="0"/>
              <w:widowControl w:val="0"/>
              <w:jc w:val="left"/>
              <w:rPr>
                <w:sz w:val="16"/>
                <w:szCs w:val="16"/>
                <w:lang w:val="fr-LU"/>
              </w:rPr>
            </w:pPr>
            <w:proofErr w:type="gramStart"/>
            <w:r>
              <w:rPr>
                <w:sz w:val="16"/>
                <w:szCs w:val="16"/>
                <w:lang w:val="fr-LU"/>
              </w:rPr>
              <w:t>direct</w:t>
            </w:r>
            <w:proofErr w:type="gramEnd"/>
          </w:p>
        </w:tc>
        <w:tc>
          <w:tcPr>
            <w:tcW w:w="952" w:type="dxa"/>
            <w:tcBorders>
              <w:left w:val="single" w:sz="4" w:space="0" w:color="auto"/>
            </w:tcBorders>
            <w:shd w:val="clear" w:color="auto" w:fill="auto"/>
            <w:tcMar>
              <w:top w:w="0" w:type="dxa"/>
              <w:left w:w="108" w:type="dxa"/>
              <w:bottom w:w="0" w:type="dxa"/>
              <w:right w:w="108" w:type="dxa"/>
            </w:tcMar>
            <w:vAlign w:val="center"/>
          </w:tcPr>
          <w:p w:rsidR="00883415" w:rsidRDefault="00883415" w:rsidP="000C1350">
            <w:pPr>
              <w:keepNext/>
              <w:keepLines w:val="0"/>
              <w:widowControl w:val="0"/>
              <w:jc w:val="left"/>
              <w:rPr>
                <w:sz w:val="16"/>
                <w:szCs w:val="16"/>
                <w:lang w:val="fr-LU"/>
              </w:rPr>
            </w:pPr>
            <w:proofErr w:type="gramStart"/>
            <w:r>
              <w:rPr>
                <w:sz w:val="16"/>
                <w:szCs w:val="16"/>
                <w:lang w:val="fr-LU"/>
              </w:rPr>
              <w:t>indirect</w:t>
            </w:r>
            <w:proofErr w:type="gramEnd"/>
          </w:p>
        </w:tc>
      </w:tr>
      <w:tr w:rsidR="00883415" w:rsidTr="00883415">
        <w:tblPrEx>
          <w:tblLook w:val="0000" w:firstRow="0" w:lastRow="0" w:firstColumn="0" w:lastColumn="0" w:noHBand="0" w:noVBand="0"/>
        </w:tblPrEx>
        <w:tc>
          <w:tcPr>
            <w:tcW w:w="1600" w:type="dxa"/>
            <w:tcBorders>
              <w:right w:val="single" w:sz="4" w:space="0" w:color="auto"/>
            </w:tcBorders>
            <w:shd w:val="clear" w:color="auto" w:fill="auto"/>
            <w:tcMar>
              <w:top w:w="0" w:type="dxa"/>
              <w:left w:w="108" w:type="dxa"/>
              <w:bottom w:w="0" w:type="dxa"/>
              <w:right w:w="108" w:type="dxa"/>
            </w:tcMar>
          </w:tcPr>
          <w:p w:rsidR="00883415" w:rsidRDefault="00883415" w:rsidP="000C1350">
            <w:pPr>
              <w:keepNext/>
              <w:keepLines w:val="0"/>
              <w:widowControl w:val="0"/>
              <w:rPr>
                <w:sz w:val="16"/>
                <w:szCs w:val="16"/>
                <w:lang w:val="fr-LU"/>
              </w:rPr>
            </w:pPr>
          </w:p>
        </w:tc>
        <w:tc>
          <w:tcPr>
            <w:tcW w:w="1962" w:type="dxa"/>
            <w:tcBorders>
              <w:left w:val="single" w:sz="4" w:space="0" w:color="auto"/>
              <w:right w:val="single" w:sz="4" w:space="0" w:color="auto"/>
            </w:tcBorders>
            <w:shd w:val="clear" w:color="auto" w:fill="auto"/>
            <w:tcMar>
              <w:top w:w="0" w:type="dxa"/>
              <w:left w:w="108" w:type="dxa"/>
              <w:bottom w:w="0" w:type="dxa"/>
              <w:right w:w="108" w:type="dxa"/>
            </w:tcMar>
          </w:tcPr>
          <w:p w:rsidR="00883415" w:rsidRDefault="00883415" w:rsidP="000C1350">
            <w:pPr>
              <w:keepNext/>
              <w:keepLines w:val="0"/>
              <w:widowControl w:val="0"/>
              <w:rPr>
                <w:sz w:val="16"/>
                <w:szCs w:val="16"/>
                <w:lang w:val="fr-LU"/>
              </w:rPr>
            </w:pPr>
          </w:p>
        </w:tc>
        <w:tc>
          <w:tcPr>
            <w:tcW w:w="1125" w:type="dxa"/>
            <w:tcBorders>
              <w:left w:val="single" w:sz="4" w:space="0" w:color="auto"/>
              <w:right w:val="single" w:sz="4" w:space="0" w:color="auto"/>
            </w:tcBorders>
            <w:shd w:val="clear" w:color="auto" w:fill="auto"/>
            <w:tcMar>
              <w:top w:w="0" w:type="dxa"/>
              <w:left w:w="108" w:type="dxa"/>
              <w:bottom w:w="0" w:type="dxa"/>
              <w:right w:w="108" w:type="dxa"/>
            </w:tcMar>
          </w:tcPr>
          <w:p w:rsidR="00883415" w:rsidRDefault="00883415" w:rsidP="000C1350">
            <w:pPr>
              <w:keepNext/>
              <w:keepLines w:val="0"/>
              <w:widowControl w:val="0"/>
              <w:rPr>
                <w:sz w:val="16"/>
                <w:szCs w:val="16"/>
                <w:lang w:val="fr-LU"/>
              </w:rPr>
            </w:pPr>
          </w:p>
        </w:tc>
        <w:tc>
          <w:tcPr>
            <w:tcW w:w="1120" w:type="dxa"/>
            <w:tcBorders>
              <w:left w:val="single" w:sz="4" w:space="0" w:color="auto"/>
              <w:right w:val="single" w:sz="4" w:space="0" w:color="auto"/>
            </w:tcBorders>
            <w:shd w:val="clear" w:color="auto" w:fill="auto"/>
            <w:tcMar>
              <w:top w:w="0" w:type="dxa"/>
              <w:left w:w="108" w:type="dxa"/>
              <w:bottom w:w="0" w:type="dxa"/>
              <w:right w:w="108" w:type="dxa"/>
            </w:tcMar>
          </w:tcPr>
          <w:p w:rsidR="00883415" w:rsidRDefault="00883415" w:rsidP="000C1350">
            <w:pPr>
              <w:keepNext/>
              <w:keepLines w:val="0"/>
              <w:widowControl w:val="0"/>
              <w:rPr>
                <w:sz w:val="16"/>
                <w:szCs w:val="16"/>
                <w:lang w:val="fr-LU"/>
              </w:rPr>
            </w:pPr>
          </w:p>
        </w:tc>
        <w:tc>
          <w:tcPr>
            <w:tcW w:w="998" w:type="dxa"/>
            <w:tcBorders>
              <w:left w:val="single" w:sz="4" w:space="0" w:color="auto"/>
              <w:right w:val="single" w:sz="4" w:space="0" w:color="auto"/>
            </w:tcBorders>
            <w:shd w:val="clear" w:color="auto" w:fill="auto"/>
            <w:tcMar>
              <w:top w:w="0" w:type="dxa"/>
              <w:left w:w="108" w:type="dxa"/>
              <w:bottom w:w="0" w:type="dxa"/>
              <w:right w:w="108" w:type="dxa"/>
            </w:tcMar>
          </w:tcPr>
          <w:p w:rsidR="00883415" w:rsidRDefault="00883415" w:rsidP="000C1350">
            <w:pPr>
              <w:keepNext/>
              <w:keepLines w:val="0"/>
              <w:widowControl w:val="0"/>
              <w:rPr>
                <w:sz w:val="16"/>
                <w:szCs w:val="16"/>
                <w:lang w:val="fr-LU"/>
              </w:rPr>
            </w:pPr>
          </w:p>
        </w:tc>
        <w:tc>
          <w:tcPr>
            <w:tcW w:w="952" w:type="dxa"/>
            <w:tcBorders>
              <w:left w:val="single" w:sz="4" w:space="0" w:color="auto"/>
            </w:tcBorders>
            <w:shd w:val="clear" w:color="auto" w:fill="auto"/>
            <w:tcMar>
              <w:top w:w="0" w:type="dxa"/>
              <w:left w:w="108" w:type="dxa"/>
              <w:bottom w:w="0" w:type="dxa"/>
              <w:right w:w="108" w:type="dxa"/>
            </w:tcMar>
          </w:tcPr>
          <w:p w:rsidR="00883415" w:rsidRDefault="00883415" w:rsidP="000C1350">
            <w:pPr>
              <w:keepNext/>
              <w:keepLines w:val="0"/>
              <w:widowControl w:val="0"/>
              <w:rPr>
                <w:sz w:val="16"/>
                <w:szCs w:val="16"/>
                <w:lang w:val="fr-LU"/>
              </w:rPr>
            </w:pPr>
          </w:p>
        </w:tc>
      </w:tr>
      <w:tr w:rsidR="00883415" w:rsidTr="002F6043">
        <w:tblPrEx>
          <w:tblLook w:val="0000" w:firstRow="0" w:lastRow="0" w:firstColumn="0" w:lastColumn="0" w:noHBand="0" w:noVBand="0"/>
        </w:tblPrEx>
        <w:tc>
          <w:tcPr>
            <w:tcW w:w="1600" w:type="dxa"/>
            <w:tcBorders>
              <w:bottom w:val="single" w:sz="4" w:space="0" w:color="auto"/>
              <w:right w:val="single" w:sz="4" w:space="0" w:color="auto"/>
            </w:tcBorders>
            <w:shd w:val="clear" w:color="auto" w:fill="auto"/>
            <w:tcMar>
              <w:top w:w="0" w:type="dxa"/>
              <w:left w:w="108" w:type="dxa"/>
              <w:bottom w:w="0" w:type="dxa"/>
              <w:right w:w="108" w:type="dxa"/>
            </w:tcMar>
          </w:tcPr>
          <w:p w:rsidR="00883415" w:rsidRDefault="00883415" w:rsidP="000C1350">
            <w:pPr>
              <w:keepNext/>
              <w:keepLines w:val="0"/>
              <w:widowControl w:val="0"/>
              <w:rPr>
                <w:sz w:val="16"/>
                <w:szCs w:val="16"/>
                <w:lang w:val="fr-LU"/>
              </w:rPr>
            </w:pPr>
          </w:p>
        </w:tc>
        <w:tc>
          <w:tcPr>
            <w:tcW w:w="1962" w:type="dxa"/>
            <w:tcBorders>
              <w:left w:val="single" w:sz="4" w:space="0" w:color="auto"/>
              <w:right w:val="single" w:sz="4" w:space="0" w:color="auto"/>
            </w:tcBorders>
            <w:shd w:val="clear" w:color="auto" w:fill="auto"/>
            <w:tcMar>
              <w:top w:w="0" w:type="dxa"/>
              <w:left w:w="108" w:type="dxa"/>
              <w:bottom w:w="0" w:type="dxa"/>
              <w:right w:w="108" w:type="dxa"/>
            </w:tcMar>
          </w:tcPr>
          <w:p w:rsidR="00883415" w:rsidRDefault="00883415" w:rsidP="000C1350">
            <w:pPr>
              <w:keepNext/>
              <w:keepLines w:val="0"/>
              <w:widowControl w:val="0"/>
              <w:rPr>
                <w:sz w:val="16"/>
                <w:szCs w:val="16"/>
                <w:lang w:val="fr-LU"/>
              </w:rPr>
            </w:pPr>
          </w:p>
        </w:tc>
        <w:tc>
          <w:tcPr>
            <w:tcW w:w="1125" w:type="dxa"/>
            <w:tcBorders>
              <w:left w:val="single" w:sz="4" w:space="0" w:color="auto"/>
              <w:right w:val="single" w:sz="4" w:space="0" w:color="auto"/>
            </w:tcBorders>
            <w:shd w:val="clear" w:color="auto" w:fill="auto"/>
            <w:tcMar>
              <w:top w:w="0" w:type="dxa"/>
              <w:left w:w="108" w:type="dxa"/>
              <w:bottom w:w="0" w:type="dxa"/>
              <w:right w:w="108" w:type="dxa"/>
            </w:tcMar>
          </w:tcPr>
          <w:p w:rsidR="00883415" w:rsidRDefault="00883415" w:rsidP="000C1350">
            <w:pPr>
              <w:keepNext/>
              <w:keepLines w:val="0"/>
              <w:widowControl w:val="0"/>
              <w:rPr>
                <w:sz w:val="16"/>
                <w:szCs w:val="16"/>
                <w:lang w:val="fr-LU"/>
              </w:rPr>
            </w:pPr>
          </w:p>
        </w:tc>
        <w:tc>
          <w:tcPr>
            <w:tcW w:w="1120" w:type="dxa"/>
            <w:tcBorders>
              <w:left w:val="single" w:sz="4" w:space="0" w:color="auto"/>
              <w:right w:val="single" w:sz="4" w:space="0" w:color="auto"/>
            </w:tcBorders>
            <w:shd w:val="clear" w:color="auto" w:fill="auto"/>
            <w:tcMar>
              <w:top w:w="0" w:type="dxa"/>
              <w:left w:w="108" w:type="dxa"/>
              <w:bottom w:w="0" w:type="dxa"/>
              <w:right w:w="108" w:type="dxa"/>
            </w:tcMar>
          </w:tcPr>
          <w:p w:rsidR="00883415" w:rsidRDefault="00883415" w:rsidP="000C1350">
            <w:pPr>
              <w:keepNext/>
              <w:keepLines w:val="0"/>
              <w:widowControl w:val="0"/>
              <w:rPr>
                <w:sz w:val="16"/>
                <w:szCs w:val="16"/>
                <w:lang w:val="fr-LU"/>
              </w:rPr>
            </w:pPr>
          </w:p>
        </w:tc>
        <w:tc>
          <w:tcPr>
            <w:tcW w:w="998" w:type="dxa"/>
            <w:tcBorders>
              <w:left w:val="single" w:sz="4" w:space="0" w:color="auto"/>
              <w:right w:val="single" w:sz="4" w:space="0" w:color="auto"/>
            </w:tcBorders>
            <w:shd w:val="clear" w:color="auto" w:fill="auto"/>
            <w:tcMar>
              <w:top w:w="0" w:type="dxa"/>
              <w:left w:w="108" w:type="dxa"/>
              <w:bottom w:w="0" w:type="dxa"/>
              <w:right w:w="108" w:type="dxa"/>
            </w:tcMar>
          </w:tcPr>
          <w:p w:rsidR="00883415" w:rsidRDefault="00883415" w:rsidP="000C1350">
            <w:pPr>
              <w:keepNext/>
              <w:keepLines w:val="0"/>
              <w:widowControl w:val="0"/>
              <w:rPr>
                <w:sz w:val="16"/>
                <w:szCs w:val="16"/>
                <w:lang w:val="fr-LU"/>
              </w:rPr>
            </w:pPr>
          </w:p>
        </w:tc>
        <w:tc>
          <w:tcPr>
            <w:tcW w:w="952" w:type="dxa"/>
            <w:tcBorders>
              <w:left w:val="single" w:sz="4" w:space="0" w:color="auto"/>
            </w:tcBorders>
            <w:shd w:val="clear" w:color="auto" w:fill="auto"/>
            <w:tcMar>
              <w:top w:w="0" w:type="dxa"/>
              <w:left w:w="108" w:type="dxa"/>
              <w:bottom w:w="0" w:type="dxa"/>
              <w:right w:w="108" w:type="dxa"/>
            </w:tcMar>
          </w:tcPr>
          <w:p w:rsidR="00883415" w:rsidRDefault="00883415" w:rsidP="000C1350">
            <w:pPr>
              <w:keepNext/>
              <w:keepLines w:val="0"/>
              <w:widowControl w:val="0"/>
              <w:rPr>
                <w:sz w:val="16"/>
                <w:szCs w:val="16"/>
                <w:lang w:val="fr-LU"/>
              </w:rPr>
            </w:pPr>
          </w:p>
        </w:tc>
      </w:tr>
      <w:tr w:rsidR="00883415" w:rsidTr="002F6043">
        <w:tblPrEx>
          <w:tblLook w:val="0000" w:firstRow="0" w:lastRow="0" w:firstColumn="0" w:lastColumn="0" w:noHBand="0" w:noVBand="0"/>
        </w:tblPrEx>
        <w:trPr>
          <w:trHeight w:val="608"/>
        </w:trPr>
        <w:tc>
          <w:tcPr>
            <w:tcW w:w="1600" w:type="dxa"/>
            <w:tcBorders>
              <w:right w:val="single" w:sz="4" w:space="0" w:color="auto"/>
            </w:tcBorders>
            <w:shd w:val="clear" w:color="auto" w:fill="007198" w:themeFill="accent5"/>
            <w:tcMar>
              <w:top w:w="0" w:type="dxa"/>
              <w:left w:w="108" w:type="dxa"/>
              <w:bottom w:w="0" w:type="dxa"/>
              <w:right w:w="108" w:type="dxa"/>
            </w:tcMar>
            <w:vAlign w:val="center"/>
          </w:tcPr>
          <w:p w:rsidR="00883415" w:rsidRDefault="00883415" w:rsidP="002F6043">
            <w:pPr>
              <w:keepNext/>
              <w:keepLines w:val="0"/>
              <w:widowControl w:val="0"/>
              <w:jc w:val="left"/>
              <w:rPr>
                <w:b/>
                <w:sz w:val="16"/>
                <w:szCs w:val="16"/>
                <w:lang w:val="fr-LU"/>
              </w:rPr>
            </w:pPr>
            <w:r>
              <w:rPr>
                <w:b/>
                <w:sz w:val="16"/>
                <w:szCs w:val="16"/>
                <w:lang w:val="fr-LU"/>
              </w:rPr>
              <w:t>TOTAL</w:t>
            </w:r>
          </w:p>
        </w:tc>
        <w:tc>
          <w:tcPr>
            <w:tcW w:w="1962" w:type="dxa"/>
            <w:tcBorders>
              <w:left w:val="single" w:sz="4" w:space="0" w:color="auto"/>
              <w:right w:val="single" w:sz="4" w:space="0" w:color="auto"/>
            </w:tcBorders>
            <w:shd w:val="clear" w:color="auto" w:fill="auto"/>
            <w:tcMar>
              <w:top w:w="0" w:type="dxa"/>
              <w:left w:w="108" w:type="dxa"/>
              <w:bottom w:w="0" w:type="dxa"/>
              <w:right w:w="108" w:type="dxa"/>
            </w:tcMar>
          </w:tcPr>
          <w:p w:rsidR="00883415" w:rsidRDefault="00883415" w:rsidP="000C1350">
            <w:pPr>
              <w:keepNext/>
              <w:keepLines w:val="0"/>
              <w:widowControl w:val="0"/>
              <w:rPr>
                <w:sz w:val="16"/>
                <w:szCs w:val="16"/>
                <w:lang w:val="fr-LU"/>
              </w:rPr>
            </w:pPr>
          </w:p>
        </w:tc>
        <w:tc>
          <w:tcPr>
            <w:tcW w:w="1125" w:type="dxa"/>
            <w:tcBorders>
              <w:left w:val="single" w:sz="4" w:space="0" w:color="auto"/>
              <w:right w:val="single" w:sz="4" w:space="0" w:color="auto"/>
            </w:tcBorders>
            <w:shd w:val="clear" w:color="auto" w:fill="auto"/>
            <w:tcMar>
              <w:top w:w="0" w:type="dxa"/>
              <w:left w:w="108" w:type="dxa"/>
              <w:bottom w:w="0" w:type="dxa"/>
              <w:right w:w="108" w:type="dxa"/>
            </w:tcMar>
          </w:tcPr>
          <w:p w:rsidR="00883415" w:rsidRDefault="00883415" w:rsidP="000C1350">
            <w:pPr>
              <w:keepNext/>
              <w:keepLines w:val="0"/>
              <w:widowControl w:val="0"/>
              <w:rPr>
                <w:sz w:val="16"/>
                <w:szCs w:val="16"/>
                <w:lang w:val="fr-LU"/>
              </w:rPr>
            </w:pPr>
          </w:p>
        </w:tc>
        <w:tc>
          <w:tcPr>
            <w:tcW w:w="1120" w:type="dxa"/>
            <w:tcBorders>
              <w:left w:val="single" w:sz="4" w:space="0" w:color="auto"/>
              <w:right w:val="single" w:sz="4" w:space="0" w:color="auto"/>
            </w:tcBorders>
            <w:shd w:val="clear" w:color="auto" w:fill="auto"/>
            <w:tcMar>
              <w:top w:w="0" w:type="dxa"/>
              <w:left w:w="108" w:type="dxa"/>
              <w:bottom w:w="0" w:type="dxa"/>
              <w:right w:w="108" w:type="dxa"/>
            </w:tcMar>
          </w:tcPr>
          <w:p w:rsidR="00883415" w:rsidRDefault="00883415" w:rsidP="000C1350">
            <w:pPr>
              <w:keepNext/>
              <w:keepLines w:val="0"/>
              <w:widowControl w:val="0"/>
              <w:rPr>
                <w:sz w:val="16"/>
                <w:szCs w:val="16"/>
                <w:lang w:val="fr-LU"/>
              </w:rPr>
            </w:pPr>
          </w:p>
        </w:tc>
        <w:tc>
          <w:tcPr>
            <w:tcW w:w="998" w:type="dxa"/>
            <w:tcBorders>
              <w:left w:val="single" w:sz="4" w:space="0" w:color="auto"/>
              <w:right w:val="single" w:sz="4" w:space="0" w:color="auto"/>
            </w:tcBorders>
            <w:shd w:val="clear" w:color="auto" w:fill="auto"/>
            <w:tcMar>
              <w:top w:w="0" w:type="dxa"/>
              <w:left w:w="108" w:type="dxa"/>
              <w:bottom w:w="0" w:type="dxa"/>
              <w:right w:w="108" w:type="dxa"/>
            </w:tcMar>
          </w:tcPr>
          <w:p w:rsidR="00883415" w:rsidRDefault="00883415" w:rsidP="000C1350">
            <w:pPr>
              <w:keepNext/>
              <w:keepLines w:val="0"/>
              <w:widowControl w:val="0"/>
              <w:rPr>
                <w:sz w:val="16"/>
                <w:szCs w:val="16"/>
                <w:lang w:val="fr-LU"/>
              </w:rPr>
            </w:pPr>
          </w:p>
        </w:tc>
        <w:tc>
          <w:tcPr>
            <w:tcW w:w="952" w:type="dxa"/>
            <w:tcBorders>
              <w:left w:val="single" w:sz="4" w:space="0" w:color="auto"/>
            </w:tcBorders>
            <w:shd w:val="clear" w:color="auto" w:fill="auto"/>
            <w:tcMar>
              <w:top w:w="0" w:type="dxa"/>
              <w:left w:w="108" w:type="dxa"/>
              <w:bottom w:w="0" w:type="dxa"/>
              <w:right w:w="108" w:type="dxa"/>
            </w:tcMar>
          </w:tcPr>
          <w:p w:rsidR="00883415" w:rsidRDefault="00883415" w:rsidP="000C1350">
            <w:pPr>
              <w:keepNext/>
              <w:keepLines w:val="0"/>
              <w:widowControl w:val="0"/>
              <w:rPr>
                <w:sz w:val="16"/>
                <w:szCs w:val="16"/>
                <w:lang w:val="fr-LU"/>
              </w:rPr>
            </w:pPr>
          </w:p>
        </w:tc>
      </w:tr>
    </w:tbl>
    <w:p w:rsidR="002B53B6" w:rsidRDefault="002B53B6">
      <w:pPr>
        <w:rPr>
          <w:lang w:val="fr-LU"/>
        </w:rPr>
      </w:pPr>
    </w:p>
    <w:p w:rsidR="002F6043" w:rsidRPr="002F6043" w:rsidRDefault="002F6043" w:rsidP="002F6043">
      <w:pPr>
        <w:numPr>
          <w:ilvl w:val="0"/>
          <w:numId w:val="4"/>
        </w:numPr>
        <w:rPr>
          <w:lang w:val="fr-LU"/>
        </w:rPr>
      </w:pPr>
      <w:proofErr w:type="spellStart"/>
      <w:r w:rsidRPr="002F6043">
        <w:rPr>
          <w:lang w:val="fr-LU"/>
        </w:rPr>
        <w:t>Additional</w:t>
      </w:r>
      <w:proofErr w:type="spellEnd"/>
      <w:r w:rsidRPr="002F6043">
        <w:rPr>
          <w:lang w:val="fr-LU"/>
        </w:rPr>
        <w:t xml:space="preserve"> information (</w:t>
      </w:r>
      <w:proofErr w:type="spellStart"/>
      <w:r w:rsidRPr="002F6043">
        <w:rPr>
          <w:lang w:val="fr-LU"/>
        </w:rPr>
        <w:t>where</w:t>
      </w:r>
      <w:proofErr w:type="spellEnd"/>
      <w:r w:rsidRPr="002F6043">
        <w:rPr>
          <w:lang w:val="fr-LU"/>
        </w:rPr>
        <w:t xml:space="preserve"> </w:t>
      </w:r>
      <w:proofErr w:type="spellStart"/>
      <w:r w:rsidRPr="002F6043">
        <w:rPr>
          <w:lang w:val="fr-LU"/>
        </w:rPr>
        <w:t>appropriate</w:t>
      </w:r>
      <w:proofErr w:type="spellEnd"/>
      <w:proofErr w:type="gramStart"/>
      <w:r w:rsidRPr="002F6043">
        <w:rPr>
          <w:lang w:val="fr-LU"/>
        </w:rPr>
        <w:t>):</w:t>
      </w:r>
      <w:proofErr w:type="gramEnd"/>
    </w:p>
    <w:p w:rsidR="002F6043" w:rsidRPr="002F6043" w:rsidRDefault="002F6043" w:rsidP="002F6043">
      <w:pPr>
        <w:rPr>
          <w:lang w:val="fr-LU"/>
        </w:rPr>
      </w:pPr>
    </w:p>
    <w:p w:rsidR="002F6043" w:rsidRPr="002F6043" w:rsidRDefault="002F6043" w:rsidP="002F6043">
      <w:pPr>
        <w:rPr>
          <w:lang w:val="en-US"/>
        </w:rPr>
      </w:pPr>
      <w:r w:rsidRPr="002F6043">
        <w:rPr>
          <w:lang w:val="en-US"/>
        </w:rPr>
        <w:t>Done in [place] on [date]</w:t>
      </w:r>
    </w:p>
    <w:p w:rsidR="002F6043" w:rsidRPr="002F6043" w:rsidRDefault="002F6043" w:rsidP="002F6043">
      <w:r w:rsidRPr="002F6043">
        <w:rPr>
          <w:lang w:val="fr-LU"/>
        </w:rPr>
        <w:t>Signature</w:t>
      </w:r>
    </w:p>
    <w:p w:rsidR="002B53B6" w:rsidRDefault="002B53B6"/>
    <w:sectPr w:rsidR="002B53B6" w:rsidSect="00B94BC7">
      <w:footnotePr>
        <w:pos w:val="beneathText"/>
        <w:numFmt w:val="lowerRoman"/>
      </w:footnotePr>
      <w:pgSz w:w="11906" w:h="16838"/>
      <w:pgMar w:top="1560" w:right="595" w:bottom="1418" w:left="3544" w:header="709" w:footer="527" w:gutter="0"/>
      <w:pgNumType w:start="2"/>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1C44" w:rsidRDefault="00D71C44">
      <w:pPr>
        <w:spacing w:after="0" w:line="240" w:lineRule="auto"/>
      </w:pPr>
      <w:r>
        <w:separator/>
      </w:r>
    </w:p>
  </w:endnote>
  <w:endnote w:type="continuationSeparator" w:id="0">
    <w:p w:rsidR="00D71C44" w:rsidRDefault="00D71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imes New Roman (Corps CS)">
    <w:altName w:val="Times New Roman"/>
    <w:charset w:val="00"/>
    <w:family w:val="roman"/>
    <w:pitch w:val="default"/>
  </w:font>
  <w:font w:name="SimHei">
    <w:altName w:val="黑体"/>
    <w:panose1 w:val="02010600030101010101"/>
    <w:charset w:val="86"/>
    <w:family w:val="modern"/>
    <w:notTrueType/>
    <w:pitch w:val="fixed"/>
    <w:sig w:usb0="00000001" w:usb1="080E0000" w:usb2="00000010" w:usb3="00000000" w:csb0="00040000" w:csb1="00000000"/>
  </w:font>
  <w:font w:name="Times New Roman (Titres CS)">
    <w:altName w:val="Times New Roman"/>
    <w:charset w:val="00"/>
    <w:family w:val="roman"/>
    <w:pitch w:val="default"/>
  </w:font>
  <w:font w:name="MinionPro-Regular">
    <w:altName w:val="Calibri"/>
    <w:charset w:val="4D"/>
    <w:family w:val="auto"/>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3601477"/>
      <w:docPartObj>
        <w:docPartGallery w:val="Page Numbers (Bottom of Page)"/>
        <w:docPartUnique/>
      </w:docPartObj>
    </w:sdtPr>
    <w:sdtEndPr>
      <w:rPr>
        <w:noProof/>
      </w:rPr>
    </w:sdtEndPr>
    <w:sdtContent>
      <w:p w:rsidR="00B94BC7" w:rsidRDefault="00B94BC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DC58C6" w:rsidRDefault="00A071E8" w:rsidP="00E95871">
    <w:pPr>
      <w:pStyle w:val="Footer2"/>
      <w:ind w:lef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9453856"/>
      <w:docPartObj>
        <w:docPartGallery w:val="Page Numbers (Bottom of Page)"/>
        <w:docPartUnique/>
      </w:docPartObj>
    </w:sdtPr>
    <w:sdtEndPr>
      <w:rPr>
        <w:noProof/>
      </w:rPr>
    </w:sdtEndPr>
    <w:sdtContent>
      <w:p w:rsidR="00B94BC7" w:rsidRDefault="00B94BC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B94BC7" w:rsidRDefault="00B94B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1C44" w:rsidRDefault="00D71C44">
      <w:pPr>
        <w:spacing w:after="0" w:line="240" w:lineRule="auto"/>
      </w:pPr>
      <w:r>
        <w:rPr>
          <w:color w:val="000000"/>
        </w:rPr>
        <w:separator/>
      </w:r>
    </w:p>
  </w:footnote>
  <w:footnote w:type="continuationSeparator" w:id="0">
    <w:p w:rsidR="00D71C44" w:rsidRDefault="00D71C44">
      <w:pPr>
        <w:spacing w:after="0" w:line="240" w:lineRule="auto"/>
      </w:pPr>
      <w:r>
        <w:continuationSeparator/>
      </w:r>
    </w:p>
  </w:footnote>
  <w:footnote w:id="1">
    <w:p w:rsidR="00883415" w:rsidRPr="00BB0FD9" w:rsidRDefault="00883415" w:rsidP="00883415">
      <w:pPr>
        <w:pStyle w:val="FootnoteText"/>
      </w:pPr>
      <w:r>
        <w:rPr>
          <w:rStyle w:val="FootnoteReference"/>
        </w:rPr>
        <w:footnoteRef/>
      </w:r>
      <w:r>
        <w:t xml:space="preserve"> </w:t>
      </w:r>
      <w:r w:rsidRPr="00BB0FD9">
        <w:t>Either the full name of the legal person (including the legal form) or another method for identifying the issuer or, where applicable, the underlying issuer, provided it is reliable and accurate.</w:t>
      </w:r>
    </w:p>
  </w:footnote>
  <w:footnote w:id="2">
    <w:p w:rsidR="00883415" w:rsidRPr="00BB0FD9" w:rsidRDefault="00883415" w:rsidP="00883415">
      <w:pPr>
        <w:pStyle w:val="FootnoteText"/>
      </w:pPr>
      <w:r>
        <w:rPr>
          <w:rStyle w:val="FootnoteReference"/>
        </w:rPr>
        <w:footnoteRef/>
      </w:r>
      <w:r>
        <w:t xml:space="preserve"> </w:t>
      </w:r>
      <w:r w:rsidRPr="00BB0FD9">
        <w:t>As appropriate, the full name of (a) the natural person or (b) the legal person (including the legal form), as well as the address and e-mail address.</w:t>
      </w:r>
    </w:p>
  </w:footnote>
  <w:footnote w:id="3">
    <w:p w:rsidR="00883415" w:rsidRPr="00BB0FD9" w:rsidRDefault="00883415" w:rsidP="00883415">
      <w:pPr>
        <w:pStyle w:val="FootnoteText"/>
      </w:pPr>
      <w:r>
        <w:rPr>
          <w:rStyle w:val="FootnoteReference"/>
        </w:rPr>
        <w:footnoteRef/>
      </w:r>
      <w:r>
        <w:t xml:space="preserve"> </w:t>
      </w:r>
      <w:r w:rsidRPr="00BB0FD9">
        <w:t>As appropriate, the full name of (a) the natural person(s) or (b) the legal person(s) (including the legal form), as well as the address and e-mail address.</w:t>
      </w:r>
    </w:p>
  </w:footnote>
  <w:footnote w:id="4">
    <w:p w:rsidR="00883415" w:rsidRPr="00BB0FD9" w:rsidRDefault="00883415" w:rsidP="00883415">
      <w:pPr>
        <w:pStyle w:val="FootnoteText"/>
        <w:rPr>
          <w:lang w:val="en-US"/>
        </w:rPr>
      </w:pPr>
      <w:r>
        <w:rPr>
          <w:rStyle w:val="FootnoteReference"/>
        </w:rPr>
        <w:footnoteRef/>
      </w:r>
      <w:r w:rsidRPr="00BB0FD9">
        <w:rPr>
          <w:lang w:val="en-US"/>
        </w:rPr>
        <w:t xml:space="preserve"> In such a case, point 5. concerning information on the transaction that triggered the notification obligation becomes irrelevant. The same is true for the information required under the tables in the columns entitled "Situation before the transaction that triggered the notification obligation". The detailed situation relating to the holding must simply be stated in the columns of these tables called "Situation after the transaction that triggered the notification requirement".</w:t>
      </w:r>
    </w:p>
  </w:footnote>
  <w:footnote w:id="5">
    <w:p w:rsidR="00883415" w:rsidRPr="00C24764" w:rsidRDefault="00883415" w:rsidP="00883415">
      <w:pPr>
        <w:pStyle w:val="FootnoteText"/>
        <w:rPr>
          <w:lang w:val="en-US"/>
        </w:rPr>
      </w:pPr>
      <w:r>
        <w:rPr>
          <w:rStyle w:val="FootnoteReference"/>
        </w:rPr>
        <w:footnoteRef/>
      </w:r>
      <w:r w:rsidRPr="00C24764">
        <w:rPr>
          <w:lang w:val="en-US"/>
        </w:rPr>
        <w:t xml:space="preserve"> In principle, the date on which the threshold is reached or crossed is the effective date of the acquisition, disposal or effective date of any other transaction the result of which is the holding of securities by the shareholder.</w:t>
      </w:r>
    </w:p>
  </w:footnote>
  <w:footnote w:id="6">
    <w:p w:rsidR="00883415" w:rsidRPr="00C24764" w:rsidRDefault="00883415" w:rsidP="00883415">
      <w:pPr>
        <w:pStyle w:val="FootnoteText"/>
        <w:rPr>
          <w:lang w:val="en-US"/>
        </w:rPr>
      </w:pPr>
      <w:r>
        <w:rPr>
          <w:rStyle w:val="FootnoteReference"/>
        </w:rPr>
        <w:footnoteRef/>
      </w:r>
      <w:r w:rsidRPr="00C24764">
        <w:rPr>
          <w:lang w:val="en-US"/>
        </w:rPr>
        <w:t xml:space="preserve"> State if the securities are held directly or indirectly, as well as the form (electronic, nominative, bearer) in which the securities are held. Where the securities are not held directly, all the natural or legal persons through WHOM the securities are held must be stated.</w:t>
      </w:r>
    </w:p>
  </w:footnote>
  <w:footnote w:id="7">
    <w:p w:rsidR="00883415" w:rsidRPr="00C24764" w:rsidRDefault="00883415" w:rsidP="00883415">
      <w:pPr>
        <w:pStyle w:val="FootnoteText"/>
        <w:rPr>
          <w:lang w:val="en-US"/>
        </w:rPr>
      </w:pPr>
      <w:r>
        <w:rPr>
          <w:rStyle w:val="FootnoteReference"/>
        </w:rPr>
        <w:footnoteRef/>
      </w:r>
      <w:r w:rsidRPr="00C24764">
        <w:rPr>
          <w:lang w:val="en-US"/>
        </w:rPr>
        <w:t xml:space="preserve"> In order to calculate the securities that confer 95% of capital carrying voting rights, all the securities to which voting rights in the company concerned are attached, including depositary receipts in respect of shares carrying the possibility to give voting instructions (whether the voting right is suspended or not) must be </w:t>
      </w:r>
      <w:proofErr w:type="gramStart"/>
      <w:r w:rsidRPr="00C24764">
        <w:rPr>
          <w:lang w:val="en-US"/>
        </w:rPr>
        <w:t>taken into account</w:t>
      </w:r>
      <w:proofErr w:type="gramEnd"/>
      <w:r w:rsidRPr="00C24764">
        <w:rPr>
          <w:lang w:val="en-US"/>
        </w:rPr>
        <w:t xml:space="preserve">. This calculation basis must not </w:t>
      </w:r>
      <w:proofErr w:type="gramStart"/>
      <w:r w:rsidRPr="00C24764">
        <w:rPr>
          <w:lang w:val="en-US"/>
        </w:rPr>
        <w:t>take into account</w:t>
      </w:r>
      <w:proofErr w:type="gramEnd"/>
      <w:r w:rsidRPr="00C24764">
        <w:rPr>
          <w:lang w:val="en-US"/>
        </w:rPr>
        <w:t xml:space="preserve"> the securities that may potentially be issued in the future following the exercise or the conversion of other securities owing to the fact that no voting right is attached to these securities at the notification date. However, it should be noted that the issue itself of these securities afterwards may lead to a notification requirement.</w:t>
      </w:r>
    </w:p>
  </w:footnote>
  <w:footnote w:id="8">
    <w:p w:rsidR="00883415" w:rsidRPr="00C24764" w:rsidRDefault="00883415" w:rsidP="00883415">
      <w:pPr>
        <w:pStyle w:val="FootnoteText"/>
        <w:rPr>
          <w:lang w:val="en-US"/>
        </w:rPr>
      </w:pPr>
      <w:r>
        <w:rPr>
          <w:rStyle w:val="FootnoteReference"/>
        </w:rPr>
        <w:footnoteRef/>
      </w:r>
      <w:r w:rsidRPr="00C24764">
        <w:rPr>
          <w:lang w:val="en-US"/>
        </w:rPr>
        <w:t xml:space="preserve"> The way securities are held may result from a direct or indirect holding of securities. In such a case the amounts must be allocated in the relevant columns. If the securities are held exclusively directly or indirectly, please leave the </w:t>
      </w:r>
      <w:proofErr w:type="spellStart"/>
      <w:proofErr w:type="gramStart"/>
      <w:r w:rsidRPr="00C24764">
        <w:rPr>
          <w:lang w:val="en-US"/>
        </w:rPr>
        <w:t>non relevant</w:t>
      </w:r>
      <w:proofErr w:type="spellEnd"/>
      <w:proofErr w:type="gramEnd"/>
      <w:r w:rsidRPr="00C24764">
        <w:rPr>
          <w:lang w:val="en-US"/>
        </w:rPr>
        <w:t xml:space="preserve"> field blank. If the indirect holding concerns several persons with multiple participation levels, it might be useful to insert a text table under point 6.</w:t>
      </w:r>
    </w:p>
  </w:footnote>
  <w:footnote w:id="9">
    <w:p w:rsidR="00883415" w:rsidRPr="00C24764" w:rsidRDefault="00883415" w:rsidP="00883415">
      <w:pPr>
        <w:pStyle w:val="FootnoteText"/>
        <w:rPr>
          <w:lang w:val="en-US"/>
        </w:rPr>
      </w:pPr>
      <w:r>
        <w:rPr>
          <w:rStyle w:val="FootnoteReference"/>
        </w:rPr>
        <w:footnoteRef/>
      </w:r>
      <w:r w:rsidRPr="00C24764">
        <w:rPr>
          <w:lang w:val="en-US"/>
        </w:rPr>
        <w:t xml:space="preserve"> The result of the division should be rounded to 2 decimal places.</w:t>
      </w:r>
    </w:p>
  </w:footnote>
  <w:footnote w:id="10">
    <w:p w:rsidR="00883415" w:rsidRPr="00C24764" w:rsidRDefault="00883415" w:rsidP="00883415">
      <w:pPr>
        <w:pStyle w:val="FootnoteText"/>
        <w:rPr>
          <w:lang w:val="en-US"/>
        </w:rPr>
      </w:pPr>
      <w:r>
        <w:rPr>
          <w:rStyle w:val="FootnoteReference"/>
        </w:rPr>
        <w:footnoteRef/>
      </w:r>
      <w:r w:rsidRPr="00C24764">
        <w:rPr>
          <w:lang w:val="en-US"/>
        </w:rPr>
        <w:t xml:space="preserve"> The basis of the calculation of voting rights is made by analogy with the rules under point 7.A. for all data of table 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688B" w:rsidRDefault="0090688B">
    <w:pPr>
      <w:pStyle w:val="Header"/>
    </w:pPr>
    <w:r>
      <w:rPr>
        <w:noProof/>
        <w:lang w:eastAsia="en-GB"/>
      </w:rPr>
      <w:drawing>
        <wp:anchor distT="0" distB="0" distL="114300" distR="114300" simplePos="0" relativeHeight="251659264" behindDoc="1" locked="0" layoutInCell="1" allowOverlap="1" wp14:anchorId="7F30BBD8" wp14:editId="0BA3407D">
          <wp:simplePos x="0" y="0"/>
          <wp:positionH relativeFrom="page">
            <wp:posOffset>459740</wp:posOffset>
          </wp:positionH>
          <wp:positionV relativeFrom="page">
            <wp:posOffset>478155</wp:posOffset>
          </wp:positionV>
          <wp:extent cx="1382399" cy="1079997"/>
          <wp:effectExtent l="0" t="0" r="8251" b="5853"/>
          <wp:wrapNone/>
          <wp:docPr id="2" name="Imag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82399" cy="1079997"/>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92390"/>
    <w:multiLevelType w:val="multilevel"/>
    <w:tmpl w:val="15666D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B0E2B52"/>
    <w:multiLevelType w:val="multilevel"/>
    <w:tmpl w:val="3DFEC202"/>
    <w:styleLink w:val="WWOutlineListStyle1"/>
    <w:lvl w:ilvl="0">
      <w:start w:val="1"/>
      <w:numFmt w:val="decimal"/>
      <w:pStyle w:val="Heading1"/>
      <w:lvlText w:val="%1."/>
      <w:lvlJc w:val="left"/>
      <w:pPr>
        <w:ind w:left="2127" w:hanging="680"/>
      </w:pPr>
    </w:lvl>
    <w:lvl w:ilvl="1">
      <w:start w:val="1"/>
      <w:numFmt w:val="decimal"/>
      <w:pStyle w:val="Heading2"/>
      <w:lvlText w:val="%1.%2"/>
      <w:lvlJc w:val="left"/>
      <w:pPr>
        <w:ind w:left="2807" w:hanging="680"/>
      </w:pPr>
    </w:lvl>
    <w:lvl w:ilvl="2">
      <w:start w:val="1"/>
      <w:numFmt w:val="decimal"/>
      <w:pStyle w:val="Heading3"/>
      <w:lvlText w:val="%1.%2.%3"/>
      <w:lvlJc w:val="left"/>
      <w:pPr>
        <w:ind w:left="3828" w:hanging="1021"/>
      </w:pPr>
    </w:lvl>
    <w:lvl w:ilvl="3">
      <w:start w:val="1"/>
      <w:numFmt w:val="decimal"/>
      <w:pStyle w:val="Heading4"/>
      <w:lvlText w:val="%1.%2.%3.%4"/>
      <w:lvlJc w:val="left"/>
      <w:pPr>
        <w:ind w:left="4962" w:hanging="1531"/>
      </w:pPr>
    </w:lvl>
    <w:lvl w:ilvl="4">
      <w:start w:val="1"/>
      <w:numFmt w:val="decimal"/>
      <w:pStyle w:val="Heading5"/>
      <w:lvlText w:val="%1.%2.%3.%4.%5"/>
      <w:lvlJc w:val="left"/>
      <w:pPr>
        <w:ind w:left="5246" w:hanging="1815"/>
      </w:pPr>
    </w:lvl>
    <w:lvl w:ilvl="5">
      <w:start w:val="1"/>
      <w:numFmt w:val="decimal"/>
      <w:pStyle w:val="Heading6"/>
      <w:lvlText w:val="%1.%2.%3.%4.%5.%6"/>
      <w:lvlJc w:val="left"/>
      <w:pPr>
        <w:ind w:left="5527" w:hanging="2096"/>
      </w:pPr>
    </w:lvl>
    <w:lvl w:ilvl="6">
      <w:start w:val="1"/>
      <w:numFmt w:val="decimal"/>
      <w:pStyle w:val="Heading7"/>
      <w:lvlText w:val="%1.%2.%3.%4.%5.%6.%7"/>
      <w:lvlJc w:val="left"/>
      <w:pPr>
        <w:ind w:left="6207" w:hanging="680"/>
      </w:pPr>
    </w:lvl>
    <w:lvl w:ilvl="7">
      <w:start w:val="1"/>
      <w:numFmt w:val="decimal"/>
      <w:pStyle w:val="Heading8"/>
      <w:lvlText w:val="%1.%2.%3.%4.%5.%6.%7.%8"/>
      <w:lvlJc w:val="left"/>
      <w:pPr>
        <w:ind w:left="6887" w:hanging="680"/>
      </w:pPr>
    </w:lvl>
    <w:lvl w:ilvl="8">
      <w:start w:val="1"/>
      <w:numFmt w:val="decimal"/>
      <w:pStyle w:val="Heading9"/>
      <w:lvlText w:val="%1.%2.%3.%4.%5.%6.%7.%8.%9"/>
      <w:lvlJc w:val="left"/>
      <w:pPr>
        <w:ind w:left="7567" w:hanging="680"/>
      </w:pPr>
    </w:lvl>
  </w:abstractNum>
  <w:abstractNum w:abstractNumId="2" w15:restartNumberingAfterBreak="0">
    <w:nsid w:val="2EB93D89"/>
    <w:multiLevelType w:val="multilevel"/>
    <w:tmpl w:val="FB1C1C5A"/>
    <w:styleLink w:val="WWOutlineListStyle"/>
    <w:lvl w:ilvl="0">
      <w:start w:val="1"/>
      <w:numFmt w:val="decimal"/>
      <w:lvlText w:val="%1."/>
      <w:lvlJc w:val="left"/>
      <w:pPr>
        <w:ind w:left="0" w:hanging="680"/>
      </w:pPr>
    </w:lvl>
    <w:lvl w:ilvl="1">
      <w:start w:val="1"/>
      <w:numFmt w:val="decimal"/>
      <w:lvlText w:val="%1.%2"/>
      <w:lvlJc w:val="left"/>
      <w:pPr>
        <w:ind w:left="680" w:hanging="680"/>
      </w:pPr>
    </w:lvl>
    <w:lvl w:ilvl="2">
      <w:start w:val="1"/>
      <w:numFmt w:val="decimal"/>
      <w:lvlText w:val="%1.%2.%3"/>
      <w:lvlJc w:val="left"/>
      <w:pPr>
        <w:ind w:left="1701" w:hanging="1021"/>
      </w:pPr>
    </w:lvl>
    <w:lvl w:ilvl="3">
      <w:start w:val="1"/>
      <w:numFmt w:val="decimal"/>
      <w:lvlText w:val="%1.%2.%3.%4"/>
      <w:lvlJc w:val="left"/>
      <w:pPr>
        <w:ind w:left="2835" w:hanging="1531"/>
      </w:pPr>
    </w:lvl>
    <w:lvl w:ilvl="4">
      <w:start w:val="1"/>
      <w:numFmt w:val="decimal"/>
      <w:lvlText w:val="%1.%2.%3.%4.%5"/>
      <w:lvlJc w:val="left"/>
      <w:pPr>
        <w:ind w:left="3119" w:hanging="1815"/>
      </w:pPr>
    </w:lvl>
    <w:lvl w:ilvl="5">
      <w:start w:val="1"/>
      <w:numFmt w:val="decimal"/>
      <w:lvlText w:val="%1.%2.%3.%4.%5.%6"/>
      <w:lvlJc w:val="left"/>
      <w:pPr>
        <w:ind w:left="3400" w:hanging="2096"/>
      </w:pPr>
    </w:lvl>
    <w:lvl w:ilvl="6">
      <w:start w:val="1"/>
      <w:numFmt w:val="decimal"/>
      <w:lvlText w:val="%1.%2.%3.%4.%5.%6.%7"/>
      <w:lvlJc w:val="left"/>
      <w:pPr>
        <w:ind w:left="4080" w:hanging="680"/>
      </w:pPr>
    </w:lvl>
    <w:lvl w:ilvl="7">
      <w:start w:val="1"/>
      <w:numFmt w:val="decimal"/>
      <w:lvlText w:val="%1.%2.%3.%4.%5.%6.%7.%8"/>
      <w:lvlJc w:val="left"/>
      <w:pPr>
        <w:ind w:left="4760" w:hanging="680"/>
      </w:pPr>
    </w:lvl>
    <w:lvl w:ilvl="8">
      <w:start w:val="1"/>
      <w:numFmt w:val="decimal"/>
      <w:lvlText w:val="%1.%2.%3.%4.%5.%6.%7.%8.%9"/>
      <w:lvlJc w:val="left"/>
      <w:pPr>
        <w:ind w:left="5440" w:hanging="680"/>
      </w:pPr>
    </w:lvl>
  </w:abstractNum>
  <w:abstractNum w:abstractNumId="3" w15:restartNumberingAfterBreak="0">
    <w:nsid w:val="5CBE25B1"/>
    <w:multiLevelType w:val="multilevel"/>
    <w:tmpl w:val="74567F7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edit="forms" w:enforcement="1" w:cryptProviderType="rsaAES" w:cryptAlgorithmClass="hash" w:cryptAlgorithmType="typeAny" w:cryptAlgorithmSid="14" w:cryptSpinCount="100000" w:hash="0j7rFrhbGK87N1S/aRWg0a1w6d1T3qvIYNs7c933gUhWAQhDp1QVEuOx8iyYp32PiC7fsb85j/33l5nj2GoRDg==" w:salt="DfFD820Fkso0C2Tl3IK/sQ=="/>
  <w:defaultTabStop w:val="709"/>
  <w:autoHyphenation/>
  <w:hyphenationZone w:val="425"/>
  <w:characterSpacingControl w:val="doNotCompress"/>
  <w:hdrShapeDefaults>
    <o:shapedefaults v:ext="edit" spidmax="4097"/>
  </w:hdrShapeDefaults>
  <w:footnotePr>
    <w:pos w:val="beneathText"/>
    <w:numFmt w:val="lowerRoman"/>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3B6"/>
    <w:rsid w:val="002B53B6"/>
    <w:rsid w:val="002F6043"/>
    <w:rsid w:val="00632724"/>
    <w:rsid w:val="00883415"/>
    <w:rsid w:val="0090688B"/>
    <w:rsid w:val="0098773E"/>
    <w:rsid w:val="00A071E8"/>
    <w:rsid w:val="00B94BC7"/>
    <w:rsid w:val="00C378D6"/>
    <w:rsid w:val="00C8327C"/>
    <w:rsid w:val="00D22D9F"/>
    <w:rsid w:val="00D71C44"/>
    <w:rsid w:val="00DF6128"/>
    <w:rsid w:val="00E95871"/>
    <w:rsid w:val="00EB323E"/>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Verdana" w:hAnsi="Verdana" w:cs="Times New Roman"/>
        <w:sz w:val="24"/>
        <w:szCs w:val="24"/>
        <w:lang w:val="en-GB" w:eastAsia="en-US"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keepLines/>
      <w:suppressAutoHyphens/>
      <w:spacing w:after="120" w:line="312" w:lineRule="auto"/>
      <w:jc w:val="both"/>
    </w:pPr>
    <w:rPr>
      <w:rFonts w:cs="Times New Roman (Corps CS)"/>
      <w:sz w:val="18"/>
    </w:rPr>
  </w:style>
  <w:style w:type="paragraph" w:styleId="Heading1">
    <w:name w:val="heading 1"/>
    <w:basedOn w:val="Normal"/>
    <w:next w:val="Normal"/>
    <w:uiPriority w:val="9"/>
    <w:qFormat/>
    <w:pPr>
      <w:keepNext/>
      <w:numPr>
        <w:numId w:val="1"/>
      </w:numPr>
      <w:spacing w:before="600" w:line="360" w:lineRule="exact"/>
      <w:jc w:val="left"/>
      <w:outlineLvl w:val="0"/>
    </w:pPr>
    <w:rPr>
      <w:rFonts w:eastAsia="SimHei" w:cs="Times New Roman (Titres CS)"/>
      <w:b/>
      <w:sz w:val="28"/>
      <w:szCs w:val="32"/>
      <w:lang w:val="fr-LU"/>
    </w:rPr>
  </w:style>
  <w:style w:type="paragraph" w:styleId="Heading2">
    <w:name w:val="heading 2"/>
    <w:basedOn w:val="Normal"/>
    <w:next w:val="Normal"/>
    <w:uiPriority w:val="9"/>
    <w:semiHidden/>
    <w:unhideWhenUsed/>
    <w:qFormat/>
    <w:pPr>
      <w:keepNext/>
      <w:numPr>
        <w:ilvl w:val="1"/>
        <w:numId w:val="1"/>
      </w:numPr>
      <w:spacing w:before="480"/>
      <w:jc w:val="left"/>
      <w:outlineLvl w:val="1"/>
    </w:pPr>
    <w:rPr>
      <w:rFonts w:eastAsia="SimHei" w:cs="Times New Roman"/>
      <w:b/>
      <w:sz w:val="20"/>
      <w:szCs w:val="26"/>
    </w:rPr>
  </w:style>
  <w:style w:type="paragraph" w:styleId="Heading3">
    <w:name w:val="heading 3"/>
    <w:basedOn w:val="Normal"/>
    <w:next w:val="Normal3"/>
    <w:uiPriority w:val="9"/>
    <w:semiHidden/>
    <w:unhideWhenUsed/>
    <w:qFormat/>
    <w:pPr>
      <w:keepNext/>
      <w:numPr>
        <w:ilvl w:val="2"/>
        <w:numId w:val="1"/>
      </w:numPr>
      <w:spacing w:before="360" w:line="240" w:lineRule="exact"/>
      <w:jc w:val="left"/>
      <w:outlineLvl w:val="2"/>
    </w:pPr>
    <w:rPr>
      <w:rFonts w:eastAsia="SimHei" w:cs="Times New Roman"/>
      <w:sz w:val="17"/>
    </w:rPr>
  </w:style>
  <w:style w:type="paragraph" w:styleId="Heading4">
    <w:name w:val="heading 4"/>
    <w:basedOn w:val="Normal"/>
    <w:next w:val="Normal4"/>
    <w:uiPriority w:val="9"/>
    <w:semiHidden/>
    <w:unhideWhenUsed/>
    <w:qFormat/>
    <w:pPr>
      <w:keepNext/>
      <w:numPr>
        <w:ilvl w:val="3"/>
        <w:numId w:val="1"/>
      </w:numPr>
      <w:spacing w:before="360" w:line="200" w:lineRule="exact"/>
      <w:jc w:val="left"/>
      <w:outlineLvl w:val="3"/>
    </w:pPr>
    <w:rPr>
      <w:rFonts w:eastAsia="SimHei" w:cs="Times New Roman (Titres CS)"/>
      <w:b/>
      <w:i/>
      <w:iCs/>
      <w:sz w:val="17"/>
    </w:rPr>
  </w:style>
  <w:style w:type="paragraph" w:styleId="Heading5">
    <w:name w:val="heading 5"/>
    <w:basedOn w:val="Normal"/>
    <w:next w:val="Normal4"/>
    <w:uiPriority w:val="9"/>
    <w:semiHidden/>
    <w:unhideWhenUsed/>
    <w:qFormat/>
    <w:pPr>
      <w:keepNext/>
      <w:numPr>
        <w:ilvl w:val="4"/>
        <w:numId w:val="1"/>
      </w:numPr>
      <w:spacing w:before="360" w:line="200" w:lineRule="exact"/>
      <w:jc w:val="left"/>
      <w:outlineLvl w:val="4"/>
    </w:pPr>
    <w:rPr>
      <w:rFonts w:eastAsia="SimHei" w:cs="Times New Roman (Titres CS)"/>
      <w:i/>
      <w:sz w:val="17"/>
    </w:rPr>
  </w:style>
  <w:style w:type="paragraph" w:styleId="Heading6">
    <w:name w:val="heading 6"/>
    <w:basedOn w:val="Normal"/>
    <w:next w:val="Normal4"/>
    <w:uiPriority w:val="9"/>
    <w:semiHidden/>
    <w:unhideWhenUsed/>
    <w:qFormat/>
    <w:pPr>
      <w:keepNext/>
      <w:numPr>
        <w:ilvl w:val="5"/>
        <w:numId w:val="1"/>
      </w:numPr>
      <w:spacing w:before="360"/>
      <w:jc w:val="left"/>
      <w:outlineLvl w:val="5"/>
    </w:pPr>
    <w:rPr>
      <w:rFonts w:eastAsia="SimHei" w:cs="Times New Roman (Titres CS)"/>
      <w:i/>
      <w:color w:val="000000"/>
      <w:sz w:val="15"/>
    </w:rPr>
  </w:style>
  <w:style w:type="paragraph" w:styleId="Heading7">
    <w:name w:val="heading 7"/>
    <w:basedOn w:val="Normal"/>
    <w:next w:val="Normal"/>
    <w:pPr>
      <w:keepNext/>
      <w:numPr>
        <w:ilvl w:val="6"/>
        <w:numId w:val="1"/>
      </w:numPr>
      <w:spacing w:before="40" w:after="0"/>
      <w:outlineLvl w:val="6"/>
    </w:pPr>
    <w:rPr>
      <w:rFonts w:eastAsia="SimHei" w:cs="Times New Roman"/>
      <w:i/>
      <w:iCs/>
      <w:color w:val="6F6234"/>
    </w:rPr>
  </w:style>
  <w:style w:type="paragraph" w:styleId="Heading8">
    <w:name w:val="heading 8"/>
    <w:basedOn w:val="Normal"/>
    <w:next w:val="Normal"/>
    <w:pPr>
      <w:keepNext/>
      <w:numPr>
        <w:ilvl w:val="7"/>
        <w:numId w:val="1"/>
      </w:numPr>
      <w:spacing w:before="40" w:after="0"/>
      <w:outlineLvl w:val="7"/>
    </w:pPr>
    <w:rPr>
      <w:rFonts w:eastAsia="SimHei" w:cs="Times New Roman"/>
      <w:color w:val="0099CE"/>
      <w:sz w:val="21"/>
      <w:szCs w:val="21"/>
    </w:rPr>
  </w:style>
  <w:style w:type="paragraph" w:styleId="Heading9">
    <w:name w:val="heading 9"/>
    <w:basedOn w:val="Normal"/>
    <w:next w:val="Normal"/>
    <w:pPr>
      <w:keepNext/>
      <w:numPr>
        <w:ilvl w:val="8"/>
        <w:numId w:val="1"/>
      </w:numPr>
      <w:spacing w:before="40" w:after="0"/>
      <w:outlineLvl w:val="8"/>
    </w:pPr>
    <w:rPr>
      <w:rFonts w:eastAsia="SimHei" w:cs="Times New Roman"/>
      <w:i/>
      <w:iCs/>
      <w:color w:val="0099CE"/>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paragraph" w:styleId="Header">
    <w:name w:val="header"/>
    <w:basedOn w:val="Normal"/>
    <w:pPr>
      <w:tabs>
        <w:tab w:val="center" w:pos="4536"/>
        <w:tab w:val="right" w:pos="9072"/>
      </w:tabs>
    </w:pPr>
  </w:style>
  <w:style w:type="character" w:customStyle="1" w:styleId="HeaderChar">
    <w:name w:val="Header Char"/>
    <w:basedOn w:val="DefaultParagraphFont"/>
  </w:style>
  <w:style w:type="paragraph" w:styleId="Footer">
    <w:name w:val="footer"/>
    <w:basedOn w:val="Normal"/>
    <w:uiPriority w:val="99"/>
    <w:pPr>
      <w:tabs>
        <w:tab w:val="right" w:pos="9072"/>
      </w:tabs>
      <w:spacing w:after="0" w:line="200" w:lineRule="exact"/>
      <w:ind w:left="-1191"/>
      <w:jc w:val="left"/>
    </w:pPr>
    <w:rPr>
      <w:caps/>
      <w:color w:val="115E67"/>
      <w:sz w:val="16"/>
    </w:rPr>
  </w:style>
  <w:style w:type="character" w:customStyle="1" w:styleId="FooterChar">
    <w:name w:val="Footer Char"/>
    <w:basedOn w:val="DefaultParagraphFont"/>
    <w:uiPriority w:val="99"/>
    <w:rPr>
      <w:rFonts w:ascii="Verdana" w:hAnsi="Verdana" w:cs="Times New Roman (Corps CS)"/>
      <w:caps/>
      <w:color w:val="115E67"/>
      <w:sz w:val="16"/>
    </w:rPr>
  </w:style>
  <w:style w:type="paragraph" w:customStyle="1" w:styleId="Footer2">
    <w:name w:val="Footer 2"/>
    <w:basedOn w:val="Footer"/>
    <w:rPr>
      <w:b/>
      <w:caps w:val="0"/>
    </w:rPr>
  </w:style>
  <w:style w:type="character" w:styleId="PageNumber">
    <w:name w:val="page number"/>
    <w:rPr>
      <w:rFonts w:ascii="Verdana" w:hAnsi="Verdana"/>
      <w:b w:val="0"/>
      <w:i w:val="0"/>
      <w:caps/>
      <w:smallCaps w:val="0"/>
      <w:strike w:val="0"/>
      <w:dstrike w:val="0"/>
      <w:vanish w:val="0"/>
      <w:color w:val="115E67"/>
      <w:position w:val="0"/>
      <w:sz w:val="20"/>
      <w:u w:val="none"/>
      <w:vertAlign w:val="baseline"/>
    </w:rPr>
  </w:style>
  <w:style w:type="paragraph" w:customStyle="1" w:styleId="Paragraphestandardtheme1tabledesmatiressanscouvertureA4V">
    <w:name w:val="Paragraphe standard (theme 1 table des matières sans couverture&#10;:A4 V)"/>
    <w:basedOn w:val="Normal"/>
    <w:pPr>
      <w:autoSpaceDE w:val="0"/>
      <w:spacing w:line="288" w:lineRule="auto"/>
      <w:textAlignment w:val="center"/>
    </w:pPr>
    <w:rPr>
      <w:rFonts w:ascii="MinionPro-Regular" w:hAnsi="MinionPro-Regular" w:cs="MinionPro-Regular"/>
      <w:color w:val="000000"/>
    </w:rPr>
  </w:style>
  <w:style w:type="paragraph" w:customStyle="1" w:styleId="TitreHauttableau1">
    <w:name w:val="Titre Haut tableau 1"/>
    <w:basedOn w:val="Normal"/>
    <w:pPr>
      <w:spacing w:before="40" w:after="80"/>
      <w:ind w:left="113" w:right="57"/>
    </w:pPr>
    <w:rPr>
      <w:rFonts w:eastAsia="Times New Roman" w:cs="Times New Roman"/>
      <w:b/>
      <w:bCs/>
      <w:color w:val="202322"/>
      <w:szCs w:val="20"/>
    </w:rPr>
  </w:style>
  <w:style w:type="paragraph" w:customStyle="1" w:styleId="Paragraphestandard">
    <w:name w:val="[Paragraphe standard]"/>
    <w:basedOn w:val="Normal"/>
    <w:pPr>
      <w:autoSpaceDE w:val="0"/>
      <w:spacing w:line="288" w:lineRule="auto"/>
      <w:textAlignment w:val="center"/>
    </w:pPr>
    <w:rPr>
      <w:rFonts w:ascii="MinionPro-Regular" w:hAnsi="MinionPro-Regular" w:cs="MinionPro-Regular"/>
      <w:color w:val="000000"/>
    </w:rPr>
  </w:style>
  <w:style w:type="paragraph" w:styleId="TOCHeading">
    <w:name w:val="TOC Heading"/>
    <w:basedOn w:val="Normal"/>
    <w:next w:val="Normal"/>
    <w:pPr>
      <w:autoSpaceDE w:val="0"/>
      <w:spacing w:before="600"/>
      <w:ind w:left="-567" w:right="2381"/>
      <w:textAlignment w:val="center"/>
    </w:pPr>
    <w:rPr>
      <w:rFonts w:cs="MinionPro-Regular"/>
      <w:b/>
      <w:caps/>
      <w:color w:val="000000"/>
    </w:rPr>
  </w:style>
  <w:style w:type="paragraph" w:customStyle="1" w:styleId="Styledeparagraphe1theme1tabledesmatiressanscouverture">
    <w:name w:val="Style de paragraphe 1 (theme 1 table des matières sans couverture&#10;)"/>
    <w:basedOn w:val="Normal"/>
    <w:pPr>
      <w:autoSpaceDE w:val="0"/>
      <w:spacing w:before="57" w:line="280" w:lineRule="atLeast"/>
      <w:ind w:left="595"/>
      <w:textAlignment w:val="center"/>
    </w:pPr>
    <w:rPr>
      <w:rFonts w:cs="Verdana"/>
      <w:color w:val="000000"/>
      <w:szCs w:val="18"/>
    </w:rPr>
  </w:style>
  <w:style w:type="character" w:customStyle="1" w:styleId="TextecourantTheme1Textesgnraux">
    <w:name w:val="Texte courant (Theme 1:Textes généraux)"/>
    <w:rPr>
      <w:rFonts w:ascii="Verdana" w:hAnsi="Verdana" w:cs="Verdana"/>
      <w:color w:val="000000"/>
      <w:spacing w:val="0"/>
      <w:position w:val="0"/>
      <w:sz w:val="18"/>
      <w:szCs w:val="18"/>
      <w:vertAlign w:val="baseline"/>
      <w:lang w:val="fr-FR"/>
    </w:rPr>
  </w:style>
  <w:style w:type="character" w:customStyle="1" w:styleId="TextecourantboldTheme1Textesgnraux">
    <w:name w:val="Texte courant bold (Theme 1:Textes généraux)"/>
    <w:basedOn w:val="TextecourantTheme1Textesgnraux"/>
    <w:rPr>
      <w:rFonts w:ascii="Verdana" w:hAnsi="Verdana" w:cs="Verdana"/>
      <w:b/>
      <w:bCs/>
      <w:color w:val="000000"/>
      <w:spacing w:val="0"/>
      <w:position w:val="0"/>
      <w:sz w:val="18"/>
      <w:szCs w:val="18"/>
      <w:vertAlign w:val="baseline"/>
      <w:lang w:val="fr-FR"/>
    </w:rPr>
  </w:style>
  <w:style w:type="paragraph" w:styleId="Title">
    <w:name w:val="Title"/>
    <w:basedOn w:val="Normal"/>
    <w:next w:val="Normal"/>
    <w:uiPriority w:val="10"/>
    <w:qFormat/>
    <w:pPr>
      <w:pageBreakBefore/>
      <w:spacing w:line="360" w:lineRule="exact"/>
      <w:ind w:left="-2977"/>
      <w:jc w:val="left"/>
    </w:pPr>
    <w:rPr>
      <w:rFonts w:eastAsia="SimHei" w:cs="Times New Roman (Titres CS)"/>
      <w:b/>
      <w:spacing w:val="-10"/>
      <w:kern w:val="3"/>
      <w:sz w:val="28"/>
      <w:szCs w:val="56"/>
    </w:rPr>
  </w:style>
  <w:style w:type="character" w:customStyle="1" w:styleId="TitleChar">
    <w:name w:val="Title Char"/>
    <w:basedOn w:val="DefaultParagraphFont"/>
    <w:rPr>
      <w:rFonts w:ascii="Verdana" w:eastAsia="SimHei" w:hAnsi="Verdana" w:cs="Times New Roman (Titres CS)"/>
      <w:b/>
      <w:spacing w:val="-10"/>
      <w:kern w:val="3"/>
      <w:sz w:val="28"/>
      <w:szCs w:val="56"/>
    </w:rPr>
  </w:style>
  <w:style w:type="character" w:customStyle="1" w:styleId="Heading1Char">
    <w:name w:val="Heading 1 Char"/>
    <w:basedOn w:val="DefaultParagraphFont"/>
    <w:rPr>
      <w:rFonts w:ascii="Verdana" w:eastAsia="SimHei" w:hAnsi="Verdana" w:cs="Times New Roman (Titres CS)"/>
      <w:b/>
      <w:sz w:val="28"/>
      <w:szCs w:val="32"/>
      <w:lang w:val="fr-LU"/>
    </w:rPr>
  </w:style>
  <w:style w:type="paragraph" w:styleId="TOC1">
    <w:name w:val="toc 1"/>
    <w:basedOn w:val="Normal"/>
    <w:next w:val="TOC2"/>
    <w:autoRedefine/>
    <w:pPr>
      <w:tabs>
        <w:tab w:val="left" w:pos="595"/>
        <w:tab w:val="right" w:pos="6124"/>
      </w:tabs>
      <w:spacing w:before="60" w:after="60" w:line="200" w:lineRule="exact"/>
      <w:ind w:left="595" w:right="1985" w:hanging="595"/>
    </w:pPr>
  </w:style>
  <w:style w:type="paragraph" w:styleId="TOC2">
    <w:name w:val="toc 2"/>
    <w:basedOn w:val="Normal"/>
    <w:next w:val="TOC3"/>
    <w:autoRedefine/>
    <w:pPr>
      <w:tabs>
        <w:tab w:val="left" w:pos="1418"/>
        <w:tab w:val="right" w:pos="6124"/>
      </w:tabs>
      <w:spacing w:before="60" w:after="60" w:line="200" w:lineRule="exact"/>
      <w:ind w:left="1389" w:right="1985" w:hanging="595"/>
    </w:pPr>
  </w:style>
  <w:style w:type="character" w:styleId="SubtleReference">
    <w:name w:val="Subtle Reference"/>
    <w:basedOn w:val="DefaultParagraphFont"/>
    <w:rPr>
      <w:smallCaps/>
      <w:color w:val="B6ADA5"/>
    </w:rPr>
  </w:style>
  <w:style w:type="paragraph" w:styleId="TOC3">
    <w:name w:val="toc 3"/>
    <w:basedOn w:val="Normal"/>
    <w:next w:val="Normal"/>
    <w:autoRedefine/>
    <w:pPr>
      <w:tabs>
        <w:tab w:val="left" w:pos="2070"/>
        <w:tab w:val="right" w:pos="6124"/>
      </w:tabs>
      <w:spacing w:before="60" w:after="60" w:line="200" w:lineRule="exact"/>
      <w:ind w:left="1956" w:right="1985" w:hanging="595"/>
    </w:pPr>
  </w:style>
  <w:style w:type="paragraph" w:styleId="TOC4">
    <w:name w:val="toc 4"/>
    <w:basedOn w:val="Normal"/>
    <w:next w:val="Normal"/>
    <w:autoRedefine/>
    <w:pPr>
      <w:tabs>
        <w:tab w:val="left" w:pos="2863"/>
        <w:tab w:val="right" w:pos="6124"/>
      </w:tabs>
      <w:spacing w:before="60" w:after="60" w:line="200" w:lineRule="exact"/>
      <w:ind w:left="1928"/>
      <w:jc w:val="left"/>
    </w:pPr>
  </w:style>
  <w:style w:type="character" w:customStyle="1" w:styleId="Heading2Char">
    <w:name w:val="Heading 2 Char"/>
    <w:basedOn w:val="DefaultParagraphFont"/>
    <w:rPr>
      <w:rFonts w:ascii="Verdana" w:eastAsia="SimHei" w:hAnsi="Verdana" w:cs="Times New Roman"/>
      <w:b/>
      <w:sz w:val="20"/>
      <w:szCs w:val="26"/>
    </w:rPr>
  </w:style>
  <w:style w:type="character" w:customStyle="1" w:styleId="Heading3Char">
    <w:name w:val="Heading 3 Char"/>
    <w:basedOn w:val="DefaultParagraphFont"/>
    <w:rPr>
      <w:rFonts w:ascii="Verdana" w:eastAsia="SimHei" w:hAnsi="Verdana" w:cs="Times New Roman"/>
      <w:sz w:val="17"/>
    </w:rPr>
  </w:style>
  <w:style w:type="character" w:customStyle="1" w:styleId="Heading4Char">
    <w:name w:val="Heading 4 Char"/>
    <w:basedOn w:val="DefaultParagraphFont"/>
    <w:rPr>
      <w:rFonts w:ascii="Verdana" w:eastAsia="SimHei" w:hAnsi="Verdana" w:cs="Times New Roman (Titres CS)"/>
      <w:b/>
      <w:i/>
      <w:iCs/>
      <w:sz w:val="17"/>
    </w:rPr>
  </w:style>
  <w:style w:type="character" w:customStyle="1" w:styleId="Heading5Char">
    <w:name w:val="Heading 5 Char"/>
    <w:basedOn w:val="DefaultParagraphFont"/>
    <w:rPr>
      <w:rFonts w:ascii="Verdana" w:eastAsia="SimHei" w:hAnsi="Verdana" w:cs="Times New Roman (Titres CS)"/>
      <w:i/>
      <w:sz w:val="17"/>
    </w:rPr>
  </w:style>
  <w:style w:type="paragraph" w:customStyle="1" w:styleId="Normal3">
    <w:name w:val="Normal 3"/>
    <w:basedOn w:val="Normal"/>
    <w:pPr>
      <w:tabs>
        <w:tab w:val="left" w:pos="1838"/>
      </w:tabs>
      <w:ind w:left="680"/>
    </w:pPr>
  </w:style>
  <w:style w:type="paragraph" w:customStyle="1" w:styleId="Normal4">
    <w:name w:val="Normal 4"/>
    <w:basedOn w:val="Normal"/>
    <w:pPr>
      <w:tabs>
        <w:tab w:val="left" w:pos="1838"/>
      </w:tabs>
      <w:ind w:left="1304"/>
    </w:pPr>
  </w:style>
  <w:style w:type="paragraph" w:customStyle="1" w:styleId="Paragraphe1sous-titres1et2theme1tabledesmatiressanscouverturetheme1tabledesmatiressanscouverture">
    <w:name w:val="Paragraphe 1 sous-titres 1 et 2 (theme 1 table des matières sans couverture&#10;:theme 1 table des matières sans couverture)"/>
    <w:basedOn w:val="Normal"/>
    <w:pPr>
      <w:autoSpaceDE w:val="0"/>
      <w:spacing w:before="57" w:line="280" w:lineRule="atLeast"/>
      <w:ind w:left="595"/>
      <w:textAlignment w:val="center"/>
    </w:pPr>
    <w:rPr>
      <w:rFonts w:cs="Verdana"/>
      <w:color w:val="000000"/>
      <w:szCs w:val="18"/>
    </w:rPr>
  </w:style>
  <w:style w:type="paragraph" w:styleId="FootnoteText">
    <w:name w:val="footnote text"/>
    <w:basedOn w:val="Normal"/>
    <w:pPr>
      <w:spacing w:before="120" w:after="0" w:line="200" w:lineRule="exact"/>
      <w:ind w:left="-624"/>
    </w:pPr>
    <w:rPr>
      <w:i/>
      <w:color w:val="B6ADA5"/>
      <w:sz w:val="15"/>
      <w:szCs w:val="16"/>
    </w:rPr>
  </w:style>
  <w:style w:type="character" w:customStyle="1" w:styleId="FootnoteTextChar">
    <w:name w:val="Footnote Text Char"/>
    <w:basedOn w:val="DefaultParagraphFont"/>
    <w:rPr>
      <w:rFonts w:ascii="Verdana" w:hAnsi="Verdana" w:cs="Times New Roman (Corps CS)"/>
      <w:i/>
      <w:color w:val="B6ADA5"/>
      <w:sz w:val="15"/>
      <w:szCs w:val="16"/>
    </w:rPr>
  </w:style>
  <w:style w:type="character" w:styleId="FootnoteReference">
    <w:name w:val="footnote reference"/>
    <w:basedOn w:val="DefaultParagraphFont"/>
    <w:rPr>
      <w:rFonts w:ascii="Verdana" w:hAnsi="Verdana"/>
      <w:color w:val="B6ADA5"/>
      <w:position w:val="0"/>
      <w:sz w:val="16"/>
      <w:vertAlign w:val="superscript"/>
    </w:rPr>
  </w:style>
  <w:style w:type="character" w:styleId="Hyperlink">
    <w:name w:val="Hyperlink"/>
    <w:basedOn w:val="DefaultParagraphFont"/>
    <w:rPr>
      <w:color w:val="B6ADA5"/>
      <w:u w:val="single"/>
    </w:rPr>
  </w:style>
  <w:style w:type="character" w:styleId="Strong">
    <w:name w:val="Strong"/>
    <w:basedOn w:val="DefaultParagraphFont"/>
    <w:rPr>
      <w:b/>
      <w:bCs/>
    </w:rPr>
  </w:style>
  <w:style w:type="character" w:customStyle="1" w:styleId="Heading6Char">
    <w:name w:val="Heading 6 Char"/>
    <w:basedOn w:val="DefaultParagraphFont"/>
    <w:rPr>
      <w:rFonts w:ascii="Verdana" w:eastAsia="SimHei" w:hAnsi="Verdana" w:cs="Times New Roman (Titres CS)"/>
      <w:i/>
      <w:color w:val="000000"/>
      <w:sz w:val="15"/>
    </w:rPr>
  </w:style>
  <w:style w:type="character" w:customStyle="1" w:styleId="Heading7Char">
    <w:name w:val="Heading 7 Char"/>
    <w:basedOn w:val="DefaultParagraphFont"/>
    <w:rPr>
      <w:rFonts w:ascii="Verdana" w:eastAsia="SimHei" w:hAnsi="Verdana" w:cs="Times New Roman"/>
      <w:i/>
      <w:iCs/>
      <w:color w:val="6F6234"/>
      <w:sz w:val="18"/>
    </w:rPr>
  </w:style>
  <w:style w:type="character" w:customStyle="1" w:styleId="Heading8Char">
    <w:name w:val="Heading 8 Char"/>
    <w:basedOn w:val="DefaultParagraphFont"/>
    <w:rPr>
      <w:rFonts w:ascii="Verdana" w:eastAsia="SimHei" w:hAnsi="Verdana" w:cs="Times New Roman"/>
      <w:color w:val="0099CE"/>
      <w:sz w:val="21"/>
      <w:szCs w:val="21"/>
    </w:rPr>
  </w:style>
  <w:style w:type="character" w:customStyle="1" w:styleId="Heading9Char">
    <w:name w:val="Heading 9 Char"/>
    <w:basedOn w:val="DefaultParagraphFont"/>
    <w:rPr>
      <w:rFonts w:ascii="Verdana" w:eastAsia="SimHei" w:hAnsi="Verdana" w:cs="Times New Roman"/>
      <w:i/>
      <w:iCs/>
      <w:color w:val="0099CE"/>
      <w:sz w:val="21"/>
      <w:szCs w:val="21"/>
    </w:rPr>
  </w:style>
  <w:style w:type="paragraph" w:styleId="NoSpacing">
    <w:name w:val="No Spacing"/>
    <w:pPr>
      <w:keepLines/>
      <w:suppressAutoHyphens/>
      <w:ind w:left="2948"/>
      <w:jc w:val="both"/>
    </w:pPr>
    <w:rPr>
      <w:rFonts w:cs="Times New Roman (Corps CS)"/>
      <w:sz w:val="18"/>
    </w:rPr>
  </w:style>
  <w:style w:type="character" w:styleId="FollowedHyperlink">
    <w:name w:val="FollowedHyperlink"/>
    <w:basedOn w:val="DefaultParagraphFont"/>
    <w:rPr>
      <w:color w:val="E8927C"/>
      <w:u w:val="single"/>
    </w:rPr>
  </w:style>
  <w:style w:type="paragraph" w:styleId="ListParagraph">
    <w:name w:val="List Paragraph"/>
    <w:basedOn w:val="Normal"/>
    <w:pPr>
      <w:ind w:left="720"/>
    </w:pPr>
  </w:style>
  <w:style w:type="paragraph" w:customStyle="1" w:styleId="TitreTableau">
    <w:name w:val="Titre Tableau"/>
    <w:basedOn w:val="Normal"/>
    <w:pPr>
      <w:keepNext/>
      <w:spacing w:before="40" w:after="80"/>
      <w:ind w:left="113" w:right="57"/>
    </w:pPr>
    <w:rPr>
      <w:b/>
      <w:color w:val="202322"/>
    </w:rPr>
  </w:style>
  <w:style w:type="paragraph" w:customStyle="1" w:styleId="ContenuTableau">
    <w:name w:val="Contenu Tableau"/>
    <w:basedOn w:val="Normal"/>
    <w:pPr>
      <w:keepNext/>
      <w:spacing w:before="40" w:after="80"/>
      <w:ind w:left="113" w:right="57"/>
    </w:pPr>
    <w:rPr>
      <w:color w:val="202322"/>
    </w:rPr>
  </w:style>
  <w:style w:type="character" w:customStyle="1" w:styleId="TitreTableauChar">
    <w:name w:val="Titre Tableau Char"/>
    <w:basedOn w:val="DefaultParagraphFont"/>
    <w:rPr>
      <w:rFonts w:ascii="Verdana" w:hAnsi="Verdana" w:cs="Times New Roman (Corps CS)"/>
      <w:b/>
      <w:color w:val="202322"/>
      <w:sz w:val="18"/>
    </w:rPr>
  </w:style>
  <w:style w:type="character" w:customStyle="1" w:styleId="ContenuTableauChar">
    <w:name w:val="Contenu Tableau Char"/>
    <w:basedOn w:val="DefaultParagraphFont"/>
    <w:rPr>
      <w:rFonts w:ascii="Verdana" w:hAnsi="Verdana" w:cs="Times New Roman (Corps CS)"/>
      <w:color w:val="202322"/>
      <w:sz w:val="18"/>
    </w:rPr>
  </w:style>
  <w:style w:type="character" w:styleId="PlaceholderText">
    <w:name w:val="Placeholder Text"/>
    <w:basedOn w:val="DefaultParagraphFont"/>
    <w:rPr>
      <w:color w:val="808080"/>
    </w:rPr>
  </w:style>
  <w:style w:type="paragraph" w:customStyle="1" w:styleId="TitreCover">
    <w:name w:val="Titre Cover"/>
    <w:basedOn w:val="Normal"/>
    <w:pPr>
      <w:spacing w:before="240" w:after="0" w:line="600" w:lineRule="exact"/>
      <w:jc w:val="left"/>
    </w:pPr>
    <w:rPr>
      <w:color w:val="FFFFFF"/>
      <w:sz w:val="48"/>
      <w:lang w:val="fr-FR"/>
    </w:rPr>
  </w:style>
  <w:style w:type="paragraph" w:customStyle="1" w:styleId="SubtitleCover">
    <w:name w:val="Subtitle Cover"/>
    <w:basedOn w:val="Normal"/>
    <w:pPr>
      <w:spacing w:before="240" w:after="0"/>
      <w:jc w:val="left"/>
    </w:pPr>
    <w:rPr>
      <w:smallCaps/>
      <w:color w:val="FFFFFF"/>
      <w:w w:val="130"/>
      <w:sz w:val="28"/>
      <w:lang w:val="fr-FR"/>
    </w:rPr>
  </w:style>
  <w:style w:type="paragraph" w:customStyle="1" w:styleId="AdresseDos1">
    <w:name w:val="Adresse Dos 1"/>
    <w:basedOn w:val="Normal"/>
    <w:pPr>
      <w:keepNext/>
      <w:spacing w:after="0" w:line="200" w:lineRule="exact"/>
    </w:pPr>
    <w:rPr>
      <w:rFonts w:eastAsia="SimHei" w:cs="Times New Roman (Titres CS)"/>
      <w:b/>
      <w:color w:val="FFFFFF"/>
      <w:sz w:val="16"/>
      <w:szCs w:val="16"/>
      <w:lang w:val="fr-FR"/>
    </w:rPr>
  </w:style>
  <w:style w:type="paragraph" w:customStyle="1" w:styleId="Adressedos2">
    <w:name w:val="Adresse dos 2"/>
    <w:basedOn w:val="Normal"/>
    <w:next w:val="AdresseDos1"/>
    <w:pPr>
      <w:widowControl w:val="0"/>
      <w:autoSpaceDE w:val="0"/>
      <w:spacing w:before="40" w:after="40" w:line="200" w:lineRule="exact"/>
    </w:pPr>
    <w:rPr>
      <w:rFonts w:cs="Verdana"/>
      <w:color w:val="FFFFFF"/>
      <w:sz w:val="16"/>
      <w:szCs w:val="16"/>
      <w:lang w:val="fr-FR" w:eastAsia="fr-FR" w:bidi="fr-FR"/>
    </w:rPr>
  </w:style>
  <w:style w:type="paragraph" w:styleId="Subtitle">
    <w:name w:val="Subtitle"/>
    <w:basedOn w:val="Normal"/>
    <w:next w:val="Normal"/>
    <w:uiPriority w:val="11"/>
    <w:qFormat/>
    <w:pPr>
      <w:spacing w:after="160"/>
    </w:pPr>
    <w:rPr>
      <w:rFonts w:eastAsia="SimSun" w:cs="Times New Roman"/>
      <w:color w:val="B6ADA5"/>
      <w:spacing w:val="15"/>
      <w:sz w:val="22"/>
      <w:szCs w:val="22"/>
    </w:rPr>
  </w:style>
  <w:style w:type="character" w:customStyle="1" w:styleId="SubtitleChar">
    <w:name w:val="Subtitle Char"/>
    <w:basedOn w:val="DefaultParagraphFont"/>
    <w:rPr>
      <w:rFonts w:eastAsia="SimSun"/>
      <w:color w:val="B6ADA5"/>
      <w:spacing w:val="15"/>
      <w:sz w:val="22"/>
      <w:szCs w:val="22"/>
    </w:rPr>
  </w:style>
  <w:style w:type="character" w:styleId="SubtleEmphasis">
    <w:name w:val="Subtle Emphasis"/>
    <w:basedOn w:val="DefaultParagraphFont"/>
    <w:rPr>
      <w:i/>
      <w:iCs/>
      <w:color w:val="B6ADA5"/>
    </w:rPr>
  </w:style>
  <w:style w:type="paragraph" w:styleId="Quote">
    <w:name w:val="Quote"/>
    <w:basedOn w:val="Normal"/>
    <w:next w:val="Normal"/>
    <w:pPr>
      <w:spacing w:before="200" w:after="160"/>
      <w:ind w:left="864" w:right="864"/>
      <w:jc w:val="center"/>
    </w:pPr>
    <w:rPr>
      <w:i/>
      <w:iCs/>
      <w:color w:val="B6ADA5"/>
    </w:rPr>
  </w:style>
  <w:style w:type="character" w:customStyle="1" w:styleId="QuoteChar">
    <w:name w:val="Quote Char"/>
    <w:basedOn w:val="DefaultParagraphFont"/>
    <w:rPr>
      <w:rFonts w:ascii="Verdana" w:hAnsi="Verdana" w:cs="Times New Roman (Corps CS)"/>
      <w:i/>
      <w:iCs/>
      <w:color w:val="B6ADA5"/>
      <w:sz w:val="18"/>
    </w:rPr>
  </w:style>
  <w:style w:type="character" w:styleId="IntenseEmphasis">
    <w:name w:val="Intense Emphasis"/>
    <w:basedOn w:val="DefaultParagraphFont"/>
    <w:rPr>
      <w:i/>
      <w:iCs/>
      <w:color w:val="B6ADA5"/>
    </w:rPr>
  </w:style>
  <w:style w:type="paragraph" w:styleId="IntenseQuote">
    <w:name w:val="Intense Quote"/>
    <w:basedOn w:val="Normal"/>
    <w:next w:val="Normal"/>
    <w:pPr>
      <w:pBdr>
        <w:top w:val="single" w:sz="4" w:space="10" w:color="C5B783"/>
        <w:bottom w:val="single" w:sz="4" w:space="10" w:color="C5B783"/>
      </w:pBdr>
      <w:spacing w:before="360" w:after="360"/>
      <w:ind w:left="864" w:right="864"/>
      <w:jc w:val="center"/>
    </w:pPr>
    <w:rPr>
      <w:i/>
      <w:iCs/>
      <w:color w:val="B6ADA5"/>
    </w:rPr>
  </w:style>
  <w:style w:type="character" w:customStyle="1" w:styleId="IntenseQuoteChar">
    <w:name w:val="Intense Quote Char"/>
    <w:basedOn w:val="DefaultParagraphFont"/>
    <w:rPr>
      <w:rFonts w:ascii="Verdana" w:hAnsi="Verdana" w:cs="Times New Roman (Corps CS)"/>
      <w:i/>
      <w:iCs/>
      <w:color w:val="B6ADA5"/>
      <w:sz w:val="18"/>
    </w:rPr>
  </w:style>
  <w:style w:type="character" w:styleId="IntenseReference">
    <w:name w:val="Intense Reference"/>
    <w:basedOn w:val="DefaultParagraphFont"/>
    <w:rPr>
      <w:b/>
      <w:bCs/>
      <w:smallCaps/>
      <w:color w:val="B6ADA5"/>
      <w:spacing w:val="5"/>
    </w:rPr>
  </w:style>
  <w:style w:type="paragraph" w:customStyle="1" w:styleId="Tablecell">
    <w:name w:val="Table cell"/>
    <w:basedOn w:val="Normal"/>
    <w:pPr>
      <w:keepNext/>
      <w:spacing w:before="80" w:after="80" w:line="240" w:lineRule="auto"/>
      <w:ind w:left="113"/>
      <w:jc w:val="left"/>
    </w:pPr>
    <w:rPr>
      <w:color w:val="202322"/>
      <w:lang w:val="fr-LU"/>
    </w:rPr>
  </w:style>
  <w:style w:type="character" w:customStyle="1" w:styleId="TablecellChar">
    <w:name w:val="Table cell Char"/>
    <w:basedOn w:val="DefaultParagraphFont"/>
    <w:rPr>
      <w:rFonts w:ascii="Verdana" w:hAnsi="Verdana" w:cs="Times New Roman (Corps CS)"/>
      <w:color w:val="202322"/>
      <w:sz w:val="18"/>
      <w:lang w:val="fr-LU"/>
    </w:rPr>
  </w:style>
  <w:style w:type="paragraph" w:customStyle="1" w:styleId="Normal1">
    <w:name w:val="Normal+1"/>
    <w:basedOn w:val="Normal"/>
    <w:next w:val="Normal"/>
    <w:pPr>
      <w:keepLines w:val="0"/>
      <w:autoSpaceDE w:val="0"/>
      <w:spacing w:after="0" w:line="240" w:lineRule="auto"/>
      <w:jc w:val="left"/>
    </w:pPr>
    <w:rPr>
      <w:rFonts w:ascii="Times New Roman" w:eastAsia="Times New Roman" w:hAnsi="Times New Roman" w:cs="Times New Roman"/>
      <w:sz w:val="24"/>
      <w:lang w:val="en-US"/>
    </w:rPr>
  </w:style>
  <w:style w:type="paragraph" w:styleId="EndnoteText">
    <w:name w:val="endnote text"/>
    <w:basedOn w:val="Normal"/>
    <w:pPr>
      <w:spacing w:after="0" w:line="240" w:lineRule="auto"/>
    </w:pPr>
    <w:rPr>
      <w:sz w:val="20"/>
      <w:szCs w:val="20"/>
    </w:rPr>
  </w:style>
  <w:style w:type="character" w:customStyle="1" w:styleId="EndnoteTextChar">
    <w:name w:val="Endnote Text Char"/>
    <w:basedOn w:val="DefaultParagraphFont"/>
    <w:rPr>
      <w:rFonts w:ascii="Verdana" w:hAnsi="Verdana" w:cs="Times New Roman (Corps CS)"/>
      <w:sz w:val="20"/>
      <w:szCs w:val="20"/>
    </w:rPr>
  </w:style>
  <w:style w:type="character" w:styleId="EndnoteReference">
    <w:name w:val="endnote reference"/>
    <w:basedOn w:val="DefaultParagraphFont"/>
    <w:rPr>
      <w:position w:val="0"/>
      <w:vertAlign w:val="superscript"/>
    </w:rPr>
  </w:style>
  <w:style w:type="numbering" w:customStyle="1" w:styleId="WWOutlineListStyle">
    <w:name w:val="WW_OutlineListStyle"/>
    <w:basedOn w:val="NoLis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SSF theme">
  <a:themeElements>
    <a:clrScheme name="CSSF">
      <a:dk1>
        <a:srgbClr val="007198"/>
      </a:dk1>
      <a:lt1>
        <a:srgbClr val="7FA9AE"/>
      </a:lt1>
      <a:dk2>
        <a:srgbClr val="115E67"/>
      </a:dk2>
      <a:lt2>
        <a:srgbClr val="B6ADA5"/>
      </a:lt2>
      <a:accent1>
        <a:srgbClr val="C5B783"/>
      </a:accent1>
      <a:accent2>
        <a:srgbClr val="D0D3D3"/>
      </a:accent2>
      <a:accent3>
        <a:srgbClr val="E8927C"/>
      </a:accent3>
      <a:accent4>
        <a:srgbClr val="202322"/>
      </a:accent4>
      <a:accent5>
        <a:srgbClr val="007198"/>
      </a:accent5>
      <a:accent6>
        <a:srgbClr val="115E67"/>
      </a:accent6>
      <a:hlink>
        <a:srgbClr val="7FA9AE"/>
      </a:hlink>
      <a:folHlink>
        <a:srgbClr val="E8927C"/>
      </a:folHlink>
    </a:clrScheme>
    <a:fontScheme name="Thème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Thème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SSF theme" id="{228DA45E-8E24-4350-8CD0-8B889BE71781}" vid="{2EF1E538-9226-4FB4-8133-2810D6EE92A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E07B5-F2EA-4431-A62B-0928579B4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365</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2022-06-01T13:17:00Z</dcterms:created>
  <dcterms:modified xsi:type="dcterms:W3CDTF">2022-06-01T13:17:00Z</dcterms:modified>
</cp:coreProperties>
</file>