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426EC" w14:textId="275A156B" w:rsidR="006D6D8B" w:rsidRDefault="003E52BA" w:rsidP="0071082D">
      <w:pPr>
        <w:rPr>
          <w:rFonts w:asciiTheme="minorHAnsi" w:hAnsiTheme="minorHAnsi"/>
        </w:rPr>
      </w:pPr>
      <w:r w:rsidRPr="005A0C5E">
        <w:rPr>
          <w:rFonts w:asciiTheme="minorHAnsi" w:hAnsiTheme="minorHAnsi"/>
          <w:b/>
          <w:noProof/>
        </w:rPr>
        <mc:AlternateContent>
          <mc:Choice Requires="wps">
            <w:drawing>
              <wp:anchor distT="0" distB="0" distL="114300" distR="114300" simplePos="0" relativeHeight="251658240" behindDoc="0" locked="0" layoutInCell="1" allowOverlap="1" wp14:anchorId="5C0ED494" wp14:editId="16036A1D">
                <wp:simplePos x="0" y="0"/>
                <wp:positionH relativeFrom="column">
                  <wp:posOffset>-325053</wp:posOffset>
                </wp:positionH>
                <wp:positionV relativeFrom="paragraph">
                  <wp:posOffset>208146</wp:posOffset>
                </wp:positionV>
                <wp:extent cx="6339840" cy="9390648"/>
                <wp:effectExtent l="0" t="0" r="0" b="1270"/>
                <wp:wrapNone/>
                <wp:docPr id="133273896" name="Text Box 133273896"/>
                <wp:cNvGraphicFramePr/>
                <a:graphic xmlns:a="http://schemas.openxmlformats.org/drawingml/2006/main">
                  <a:graphicData uri="http://schemas.microsoft.com/office/word/2010/wordprocessingShape">
                    <wps:wsp>
                      <wps:cNvSpPr txBox="1"/>
                      <wps:spPr>
                        <a:xfrm>
                          <a:off x="0" y="0"/>
                          <a:ext cx="6339840" cy="9390648"/>
                        </a:xfrm>
                        <a:prstGeom prst="rect">
                          <a:avLst/>
                        </a:prstGeom>
                        <a:noFill/>
                        <a:ln w="6350">
                          <a:noFill/>
                        </a:ln>
                      </wps:spPr>
                      <wps:txbx>
                        <w:txbxContent>
                          <w:p w14:paraId="4117E245" w14:textId="77777777" w:rsidR="0082631E" w:rsidRPr="00F7798B" w:rsidRDefault="008323F4" w:rsidP="00F7798B">
                            <w:pPr>
                              <w:pStyle w:val="Title"/>
                            </w:pPr>
                            <w:r>
                              <w:t xml:space="preserve">Draft Interpretative </w:t>
                            </w:r>
                            <w:r w:rsidR="001C0F6B">
                              <w:t>Note</w:t>
                            </w:r>
                          </w:p>
                          <w:p w14:paraId="4C504356" w14:textId="77777777" w:rsidR="002874F7" w:rsidRDefault="00427244" w:rsidP="002874F7">
                            <w:pPr>
                              <w:pStyle w:val="Subtitle"/>
                              <w:rPr>
                                <w:sz w:val="36"/>
                                <w:szCs w:val="18"/>
                                <w:lang w:eastAsia="en-GB"/>
                              </w:rPr>
                            </w:pPr>
                            <w:r w:rsidRPr="003A1853">
                              <w:rPr>
                                <w:sz w:val="36"/>
                                <w:szCs w:val="18"/>
                                <w:lang w:eastAsia="en-GB"/>
                              </w:rPr>
                              <w:t xml:space="preserve">On the </w:t>
                            </w:r>
                            <w:r w:rsidR="003A1853" w:rsidRPr="003A1853">
                              <w:rPr>
                                <w:sz w:val="36"/>
                                <w:szCs w:val="18"/>
                                <w:lang w:eastAsia="en-GB"/>
                              </w:rPr>
                              <w:t xml:space="preserve">risk assessment </w:t>
                            </w:r>
                            <w:r w:rsidRPr="003A1853">
                              <w:rPr>
                                <w:sz w:val="36"/>
                                <w:szCs w:val="18"/>
                                <w:lang w:eastAsia="en-GB"/>
                              </w:rPr>
                              <w:t xml:space="preserve">methodologies pursuant to draft RTS under Article 12(7) AMLAR and </w:t>
                            </w:r>
                            <w:r w:rsidR="00A23187" w:rsidRPr="003A1853">
                              <w:rPr>
                                <w:sz w:val="36"/>
                                <w:szCs w:val="18"/>
                                <w:lang w:eastAsia="en-GB"/>
                              </w:rPr>
                              <w:t>draft RTS under Article 40(2) AMLD</w:t>
                            </w:r>
                          </w:p>
                          <w:p w14:paraId="36CF4AC7" w14:textId="77777777" w:rsidR="000856B9" w:rsidRPr="000856B9" w:rsidRDefault="000856B9" w:rsidP="000856B9">
                            <w:pPr>
                              <w:rPr>
                                <w:lang w:eastAsia="en-GB"/>
                              </w:rPr>
                            </w:pPr>
                          </w:p>
                          <w:tbl>
                            <w:tblPr>
                              <w:tblW w:w="9870" w:type="dxa"/>
                              <w:tblInd w:w="-119"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000" w:firstRow="0" w:lastRow="0" w:firstColumn="0" w:lastColumn="0" w:noHBand="0" w:noVBand="0"/>
                            </w:tblPr>
                            <w:tblGrid>
                              <w:gridCol w:w="9870"/>
                            </w:tblGrid>
                            <w:tr w:rsidR="002B2F54" w14:paraId="3C752775" w14:textId="77777777" w:rsidTr="00901553">
                              <w:trPr>
                                <w:trHeight w:val="7313"/>
                              </w:trPr>
                              <w:tc>
                                <w:tcPr>
                                  <w:tcW w:w="9870" w:type="dxa"/>
                                  <w:shd w:val="clear" w:color="auto" w:fill="FFFF00"/>
                                </w:tcPr>
                                <w:p w14:paraId="634CF69F" w14:textId="77777777" w:rsidR="002B2F54" w:rsidRPr="00AB5FCF" w:rsidRDefault="002B2F54" w:rsidP="002B2F54">
                                  <w:pPr>
                                    <w:spacing w:before="0" w:after="0" w:line="240" w:lineRule="auto"/>
                                    <w:ind w:left="114"/>
                                    <w:rPr>
                                      <w:rFonts w:asciiTheme="minorHAnsi" w:hAnsiTheme="minorHAnsi"/>
                                      <w:b/>
                                      <w:bCs/>
                                      <w:sz w:val="20"/>
                                      <w:szCs w:val="18"/>
                                      <w:lang w:val="en-IE"/>
                                    </w:rPr>
                                  </w:pPr>
                                </w:p>
                                <w:p w14:paraId="371E8943" w14:textId="3C15A04D" w:rsidR="000856B9" w:rsidRPr="000856B9" w:rsidRDefault="000856B9" w:rsidP="000856B9">
                                  <w:pPr>
                                    <w:spacing w:before="0" w:after="0" w:line="240" w:lineRule="auto"/>
                                    <w:ind w:left="114"/>
                                    <w:jc w:val="center"/>
                                    <w:rPr>
                                      <w:rFonts w:asciiTheme="minorHAnsi" w:hAnsiTheme="minorHAnsi"/>
                                      <w:sz w:val="18"/>
                                      <w:szCs w:val="18"/>
                                      <w:lang w:val="en-IE"/>
                                    </w:rPr>
                                  </w:pPr>
                                  <w:r w:rsidRPr="000856B9">
                                    <w:rPr>
                                      <w:rFonts w:asciiTheme="minorHAnsi" w:hAnsiTheme="minorHAnsi"/>
                                      <w:b/>
                                      <w:bCs/>
                                      <w:sz w:val="18"/>
                                      <w:szCs w:val="18"/>
                                      <w:lang w:val="en-IE"/>
                                    </w:rPr>
                                    <w:t>Key Information for the Purposes of This Data Collection</w:t>
                                  </w:r>
                                </w:p>
                                <w:p w14:paraId="606106A2" w14:textId="77777777" w:rsidR="000856B9" w:rsidRDefault="000856B9" w:rsidP="002B2F54">
                                  <w:pPr>
                                    <w:spacing w:before="0" w:after="0" w:line="240" w:lineRule="auto"/>
                                    <w:ind w:left="114"/>
                                    <w:rPr>
                                      <w:rFonts w:asciiTheme="minorHAnsi" w:hAnsiTheme="minorHAnsi"/>
                                      <w:b/>
                                      <w:bCs/>
                                      <w:sz w:val="16"/>
                                      <w:szCs w:val="16"/>
                                      <w:lang w:val="en-IE"/>
                                    </w:rPr>
                                  </w:pPr>
                                </w:p>
                                <w:p w14:paraId="76084939" w14:textId="77777777" w:rsidR="002B2F54" w:rsidRPr="00626A4A" w:rsidRDefault="002B2F54" w:rsidP="00003055">
                                  <w:pPr>
                                    <w:spacing w:before="0" w:after="0" w:line="240" w:lineRule="auto"/>
                                    <w:ind w:left="114"/>
                                    <w:jc w:val="both"/>
                                    <w:rPr>
                                      <w:rFonts w:asciiTheme="minorHAnsi" w:hAnsiTheme="minorHAnsi"/>
                                      <w:sz w:val="16"/>
                                      <w:szCs w:val="16"/>
                                      <w:lang w:val="en-IE"/>
                                    </w:rPr>
                                  </w:pPr>
                                  <w:r w:rsidRPr="00626A4A">
                                    <w:rPr>
                                      <w:rFonts w:asciiTheme="minorHAnsi" w:hAnsiTheme="minorHAnsi"/>
                                      <w:b/>
                                      <w:bCs/>
                                      <w:sz w:val="16"/>
                                      <w:szCs w:val="16"/>
                                      <w:lang w:val="en-IE"/>
                                    </w:rPr>
                                    <w:t>Reference period.</w:t>
                                  </w:r>
                                  <w:r w:rsidRPr="00626A4A">
                                    <w:rPr>
                                      <w:rFonts w:asciiTheme="minorHAnsi" w:hAnsiTheme="minorHAnsi"/>
                                      <w:sz w:val="16"/>
                                      <w:szCs w:val="16"/>
                                      <w:lang w:val="en-IE"/>
                                    </w:rPr>
                                    <w:t xml:space="preserve"> The reference date is 31 December 2025. The reference year is the 2025 calendar year, running from 1 January 2025 to 31 December 2025 inclusive.</w:t>
                                  </w:r>
                                </w:p>
                                <w:p w14:paraId="36EE0DD0" w14:textId="77777777" w:rsidR="002B2F54" w:rsidRPr="00626A4A" w:rsidRDefault="002B2F54" w:rsidP="00003055">
                                  <w:pPr>
                                    <w:spacing w:before="0" w:after="0" w:line="240" w:lineRule="auto"/>
                                    <w:ind w:left="114"/>
                                    <w:jc w:val="both"/>
                                    <w:rPr>
                                      <w:rFonts w:asciiTheme="minorHAnsi" w:hAnsiTheme="minorHAnsi"/>
                                      <w:b/>
                                      <w:bCs/>
                                      <w:sz w:val="16"/>
                                      <w:szCs w:val="16"/>
                                      <w:lang w:val="en-IE"/>
                                    </w:rPr>
                                  </w:pPr>
                                </w:p>
                                <w:p w14:paraId="6594B303" w14:textId="1A07D88C" w:rsidR="002B2F54" w:rsidRPr="00626A4A" w:rsidRDefault="002B2F54" w:rsidP="00003055">
                                  <w:pPr>
                                    <w:spacing w:before="0" w:after="0" w:line="240" w:lineRule="auto"/>
                                    <w:ind w:left="114"/>
                                    <w:jc w:val="both"/>
                                    <w:rPr>
                                      <w:rFonts w:asciiTheme="minorHAnsi" w:hAnsiTheme="minorHAnsi"/>
                                      <w:sz w:val="16"/>
                                      <w:szCs w:val="16"/>
                                      <w:lang w:val="en-IE"/>
                                    </w:rPr>
                                  </w:pPr>
                                  <w:r w:rsidRPr="00626A4A">
                                    <w:rPr>
                                      <w:rFonts w:asciiTheme="minorHAnsi" w:hAnsiTheme="minorHAnsi"/>
                                      <w:b/>
                                      <w:bCs/>
                                      <w:sz w:val="16"/>
                                      <w:szCs w:val="16"/>
                                      <w:lang w:val="en-IE"/>
                                    </w:rPr>
                                    <w:t>Legal basis.</w:t>
                                  </w:r>
                                  <w:r w:rsidRPr="00626A4A">
                                    <w:rPr>
                                      <w:rFonts w:asciiTheme="minorHAnsi" w:hAnsiTheme="minorHAnsi"/>
                                      <w:sz w:val="16"/>
                                      <w:szCs w:val="16"/>
                                      <w:lang w:val="en-IE"/>
                                    </w:rPr>
                                    <w:t xml:space="preserve"> Instructions refer, where relevant, to the definitions set out in the AMLR to support consistent reporting. Where AMLR definitions were not yet applicable during the reference year, or where they conflict with the legislation in force for that period, reporting obliged entities should instead apply the definitions and requirements of Directive (</w:t>
                                  </w:r>
                                  <w:r w:rsidR="00194100" w:rsidRPr="00194100">
                                    <w:rPr>
                                      <w:rFonts w:asciiTheme="minorHAnsi" w:hAnsiTheme="minorHAnsi"/>
                                      <w:sz w:val="16"/>
                                      <w:szCs w:val="16"/>
                                      <w:lang w:val="en-IE"/>
                                    </w:rPr>
                                    <w:t>UE) 2015/849</w:t>
                                  </w:r>
                                  <w:r w:rsidR="00C776CB">
                                    <w:rPr>
                                      <w:rFonts w:asciiTheme="minorHAnsi" w:hAnsiTheme="minorHAnsi"/>
                                      <w:sz w:val="16"/>
                                      <w:szCs w:val="16"/>
                                      <w:lang w:val="en-IE"/>
                                    </w:rPr>
                                    <w:t xml:space="preserve"> (AMLD IV/V) </w:t>
                                  </w:r>
                                  <w:r w:rsidRPr="00626A4A">
                                    <w:rPr>
                                      <w:rFonts w:asciiTheme="minorHAnsi" w:hAnsiTheme="minorHAnsi"/>
                                      <w:sz w:val="16"/>
                                      <w:szCs w:val="16"/>
                                      <w:lang w:val="en-IE"/>
                                    </w:rPr>
                                    <w:t>as transposed into their national law for the relevant reference period.</w:t>
                                  </w:r>
                                </w:p>
                                <w:p w14:paraId="14A45AC0" w14:textId="77777777" w:rsidR="002B2F54" w:rsidRPr="00626A4A" w:rsidRDefault="002B2F54" w:rsidP="00003055">
                                  <w:pPr>
                                    <w:spacing w:before="0" w:after="0" w:line="240" w:lineRule="auto"/>
                                    <w:ind w:left="114"/>
                                    <w:jc w:val="both"/>
                                    <w:rPr>
                                      <w:rFonts w:asciiTheme="minorHAnsi" w:hAnsiTheme="minorHAnsi"/>
                                      <w:b/>
                                      <w:bCs/>
                                      <w:sz w:val="16"/>
                                      <w:szCs w:val="16"/>
                                      <w:lang w:val="en-IE"/>
                                    </w:rPr>
                                  </w:pPr>
                                </w:p>
                                <w:p w14:paraId="003A375E" w14:textId="77777777" w:rsidR="002B2F54" w:rsidRPr="00626A4A" w:rsidRDefault="002B2F54" w:rsidP="00003055">
                                  <w:pPr>
                                    <w:spacing w:before="0" w:after="0" w:line="240" w:lineRule="auto"/>
                                    <w:ind w:left="114"/>
                                    <w:jc w:val="both"/>
                                    <w:rPr>
                                      <w:rFonts w:asciiTheme="minorHAnsi" w:hAnsiTheme="minorHAnsi"/>
                                      <w:sz w:val="16"/>
                                      <w:szCs w:val="16"/>
                                      <w:lang w:val="en-IE"/>
                                    </w:rPr>
                                  </w:pPr>
                                  <w:r w:rsidRPr="00626A4A">
                                    <w:rPr>
                                      <w:rFonts w:asciiTheme="minorHAnsi" w:hAnsiTheme="minorHAnsi"/>
                                      <w:b/>
                                      <w:bCs/>
                                      <w:sz w:val="16"/>
                                      <w:szCs w:val="16"/>
                                      <w:lang w:val="en-IE"/>
                                    </w:rPr>
                                    <w:t>Scope of reporting by activity.</w:t>
                                  </w:r>
                                  <w:r w:rsidRPr="00626A4A">
                                    <w:rPr>
                                      <w:rFonts w:asciiTheme="minorHAnsi" w:hAnsiTheme="minorHAnsi"/>
                                      <w:sz w:val="16"/>
                                      <w:szCs w:val="16"/>
                                      <w:lang w:val="en-IE"/>
                                    </w:rPr>
                                    <w:t xml:space="preserve"> Reporting obliged entities must report all datapoints relevant to the activities they perform. Where an obliged entity carries out activities falling under more than one category of obliged entity as defined under the AMLR, it must report datapoints applicable to each relevant activity. For example, a credit institution also acting as a life insurance intermediary must report datapoints applicable to both activities.</w:t>
                                  </w:r>
                                </w:p>
                                <w:p w14:paraId="546ACCCA" w14:textId="77777777" w:rsidR="002B2F54" w:rsidRPr="00626A4A" w:rsidRDefault="002B2F54" w:rsidP="00003055">
                                  <w:pPr>
                                    <w:spacing w:before="0" w:after="0" w:line="240" w:lineRule="auto"/>
                                    <w:ind w:left="114"/>
                                    <w:jc w:val="both"/>
                                    <w:rPr>
                                      <w:rFonts w:asciiTheme="minorHAnsi" w:hAnsiTheme="minorHAnsi"/>
                                      <w:b/>
                                      <w:bCs/>
                                      <w:sz w:val="16"/>
                                      <w:szCs w:val="16"/>
                                      <w:lang w:val="en-IE"/>
                                    </w:rPr>
                                  </w:pPr>
                                </w:p>
                                <w:p w14:paraId="203F51B4" w14:textId="77777777" w:rsidR="002B2F54" w:rsidRPr="00626A4A" w:rsidRDefault="002B2F54" w:rsidP="00003055">
                                  <w:pPr>
                                    <w:spacing w:before="0" w:after="0" w:line="240" w:lineRule="auto"/>
                                    <w:ind w:left="114"/>
                                    <w:jc w:val="both"/>
                                    <w:rPr>
                                      <w:rFonts w:asciiTheme="minorHAnsi" w:hAnsiTheme="minorHAnsi"/>
                                      <w:sz w:val="16"/>
                                      <w:szCs w:val="16"/>
                                      <w:lang w:val="en-IE"/>
                                    </w:rPr>
                                  </w:pPr>
                                  <w:r w:rsidRPr="00626A4A">
                                    <w:rPr>
                                      <w:rFonts w:asciiTheme="minorHAnsi" w:hAnsiTheme="minorHAnsi"/>
                                      <w:b/>
                                      <w:bCs/>
                                      <w:sz w:val="16"/>
                                      <w:szCs w:val="16"/>
                                      <w:lang w:val="en-IE"/>
                                    </w:rPr>
                                    <w:t>Scope of reporting by establishment.</w:t>
                                  </w:r>
                                  <w:r w:rsidRPr="00626A4A">
                                    <w:rPr>
                                      <w:rFonts w:asciiTheme="minorHAnsi" w:hAnsiTheme="minorHAnsi"/>
                                      <w:sz w:val="16"/>
                                      <w:szCs w:val="16"/>
                                      <w:lang w:val="en-IE"/>
                                    </w:rPr>
                                    <w:t xml:space="preserve"> Reporting is required at solo level for each separate establishment, rather than at solo level for each obliged entity as a whole. Concretely:</w:t>
                                  </w:r>
                                </w:p>
                                <w:p w14:paraId="382E32F8" w14:textId="77777777" w:rsidR="002B2F54" w:rsidRPr="00626A4A" w:rsidRDefault="002B2F54" w:rsidP="00CF4D3B">
                                  <w:pPr>
                                    <w:numPr>
                                      <w:ilvl w:val="0"/>
                                      <w:numId w:val="145"/>
                                    </w:numPr>
                                    <w:spacing w:before="0" w:after="0" w:line="240" w:lineRule="auto"/>
                                    <w:ind w:left="834"/>
                                    <w:jc w:val="both"/>
                                    <w:rPr>
                                      <w:rFonts w:asciiTheme="minorHAnsi" w:hAnsiTheme="minorHAnsi"/>
                                      <w:sz w:val="16"/>
                                      <w:szCs w:val="16"/>
                                      <w:lang w:val="en-IE"/>
                                    </w:rPr>
                                  </w:pPr>
                                  <w:r w:rsidRPr="00626A4A">
                                    <w:rPr>
                                      <w:rFonts w:asciiTheme="minorHAnsi" w:hAnsiTheme="minorHAnsi"/>
                                      <w:sz w:val="16"/>
                                      <w:szCs w:val="16"/>
                                      <w:lang w:val="en-IE"/>
                                    </w:rPr>
                                    <w:t>Each branch must report solo level data to the national financial supervisor of its country of establishment.</w:t>
                                  </w:r>
                                </w:p>
                                <w:p w14:paraId="5F661FFF" w14:textId="77777777" w:rsidR="002B2F54" w:rsidRPr="00626A4A" w:rsidRDefault="002B2F54" w:rsidP="00CF4D3B">
                                  <w:pPr>
                                    <w:numPr>
                                      <w:ilvl w:val="0"/>
                                      <w:numId w:val="145"/>
                                    </w:numPr>
                                    <w:spacing w:before="0" w:after="0" w:line="240" w:lineRule="auto"/>
                                    <w:ind w:left="834"/>
                                    <w:jc w:val="both"/>
                                    <w:rPr>
                                      <w:rFonts w:asciiTheme="minorHAnsi" w:hAnsiTheme="minorHAnsi"/>
                                      <w:sz w:val="16"/>
                                      <w:szCs w:val="16"/>
                                      <w:lang w:val="en-IE"/>
                                    </w:rPr>
                                  </w:pPr>
                                  <w:r w:rsidRPr="00626A4A">
                                    <w:rPr>
                                      <w:rFonts w:asciiTheme="minorHAnsi" w:hAnsiTheme="minorHAnsi"/>
                                      <w:sz w:val="16"/>
                                      <w:szCs w:val="16"/>
                                      <w:lang w:val="en-IE"/>
                                    </w:rPr>
                                    <w:t>Obliged entities with cross-border branches must exclude data from those branches when reporting to the national financial supervisor of the country of establishment of the legal entity, and must report only data attributable to the legal entity itself. This rule is intended to avoid double counting in the aggregation of data at national and EU level.</w:t>
                                  </w:r>
                                </w:p>
                                <w:p w14:paraId="6BE6538C" w14:textId="77777777" w:rsidR="002B2F54" w:rsidRPr="00626A4A" w:rsidRDefault="002B2F54" w:rsidP="00003055">
                                  <w:pPr>
                                    <w:spacing w:before="0" w:after="0" w:line="240" w:lineRule="auto"/>
                                    <w:ind w:left="114"/>
                                    <w:jc w:val="both"/>
                                    <w:rPr>
                                      <w:rFonts w:asciiTheme="minorHAnsi" w:hAnsiTheme="minorHAnsi"/>
                                      <w:b/>
                                      <w:bCs/>
                                      <w:sz w:val="16"/>
                                      <w:szCs w:val="16"/>
                                      <w:lang w:val="en-IE"/>
                                    </w:rPr>
                                  </w:pPr>
                                </w:p>
                                <w:p w14:paraId="7E2020DC" w14:textId="77777777" w:rsidR="002B2F54" w:rsidRPr="00626A4A" w:rsidRDefault="002B2F54" w:rsidP="00003055">
                                  <w:pPr>
                                    <w:spacing w:before="0" w:after="0" w:line="240" w:lineRule="auto"/>
                                    <w:ind w:left="114"/>
                                    <w:jc w:val="both"/>
                                    <w:rPr>
                                      <w:rFonts w:asciiTheme="minorHAnsi" w:hAnsiTheme="minorHAnsi"/>
                                      <w:sz w:val="16"/>
                                      <w:szCs w:val="16"/>
                                      <w:lang w:val="en-IE"/>
                                    </w:rPr>
                                  </w:pPr>
                                  <w:r w:rsidRPr="00626A4A">
                                    <w:rPr>
                                      <w:rFonts w:asciiTheme="minorHAnsi" w:hAnsiTheme="minorHAnsi"/>
                                      <w:b/>
                                      <w:bCs/>
                                      <w:sz w:val="16"/>
                                      <w:szCs w:val="16"/>
                                      <w:lang w:val="en-IE"/>
                                    </w:rPr>
                                    <w:t>Data reporting conventions.</w:t>
                                  </w:r>
                                  <w:r w:rsidRPr="00626A4A">
                                    <w:rPr>
                                      <w:rFonts w:asciiTheme="minorHAnsi" w:hAnsiTheme="minorHAnsi"/>
                                      <w:sz w:val="16"/>
                                      <w:szCs w:val="16"/>
                                      <w:lang w:val="en-IE"/>
                                    </w:rPr>
                                    <w:t xml:space="preserve"> A dedicated row in the reporting template specifies, for each datapoint, whether it should be reported as a stock (position as of 31 December 2025) or as a flow (cumulative activity over the period from 1 January 2025 to 31 December 2025). Unless otherwise specified in the template, entering:</w:t>
                                  </w:r>
                                </w:p>
                                <w:p w14:paraId="319993A1" w14:textId="77777777" w:rsidR="002B2F54" w:rsidRPr="00F6473C" w:rsidRDefault="002B2F54" w:rsidP="00003055">
                                  <w:pPr>
                                    <w:numPr>
                                      <w:ilvl w:val="0"/>
                                      <w:numId w:val="146"/>
                                    </w:numPr>
                                    <w:spacing w:before="0" w:after="0" w:line="240" w:lineRule="auto"/>
                                    <w:ind w:left="834"/>
                                    <w:jc w:val="both"/>
                                    <w:rPr>
                                      <w:rFonts w:asciiTheme="minorHAnsi" w:hAnsiTheme="minorHAnsi"/>
                                      <w:sz w:val="16"/>
                                      <w:szCs w:val="14"/>
                                      <w:lang w:val="en-IE"/>
                                    </w:rPr>
                                  </w:pPr>
                                  <w:r w:rsidRPr="00F6473C">
                                    <w:rPr>
                                      <w:rFonts w:asciiTheme="minorHAnsi" w:hAnsiTheme="minorHAnsi"/>
                                      <w:b/>
                                      <w:bCs/>
                                      <w:sz w:val="16"/>
                                      <w:szCs w:val="14"/>
                                      <w:lang w:val="en-IE"/>
                                    </w:rPr>
                                    <w:t>"0"</w:t>
                                  </w:r>
                                  <w:r w:rsidRPr="00F6473C">
                                    <w:rPr>
                                      <w:rFonts w:asciiTheme="minorHAnsi" w:hAnsiTheme="minorHAnsi"/>
                                      <w:sz w:val="16"/>
                                      <w:szCs w:val="14"/>
                                      <w:lang w:val="en-IE"/>
                                    </w:rPr>
                                    <w:t xml:space="preserve"> indicates that the reported value for the relevant datapoint is zero.</w:t>
                                  </w:r>
                                </w:p>
                                <w:p w14:paraId="6BC15D21" w14:textId="77777777" w:rsidR="002B2F54" w:rsidRPr="00F6473C" w:rsidRDefault="002B2F54" w:rsidP="00003055">
                                  <w:pPr>
                                    <w:numPr>
                                      <w:ilvl w:val="0"/>
                                      <w:numId w:val="146"/>
                                    </w:numPr>
                                    <w:spacing w:before="0" w:after="0" w:line="240" w:lineRule="auto"/>
                                    <w:ind w:left="834"/>
                                    <w:jc w:val="both"/>
                                    <w:rPr>
                                      <w:rFonts w:asciiTheme="minorHAnsi" w:hAnsiTheme="minorHAnsi"/>
                                      <w:sz w:val="16"/>
                                      <w:szCs w:val="14"/>
                                      <w:lang w:val="en-IE"/>
                                    </w:rPr>
                                  </w:pPr>
                                  <w:r w:rsidRPr="00F6473C">
                                    <w:rPr>
                                      <w:rFonts w:asciiTheme="minorHAnsi" w:hAnsiTheme="minorHAnsi"/>
                                      <w:b/>
                                      <w:bCs/>
                                      <w:sz w:val="16"/>
                                      <w:szCs w:val="14"/>
                                      <w:lang w:val="en-IE"/>
                                    </w:rPr>
                                    <w:t>A blank cell</w:t>
                                  </w:r>
                                  <w:r w:rsidRPr="00F6473C">
                                    <w:rPr>
                                      <w:rFonts w:asciiTheme="minorHAnsi" w:hAnsiTheme="minorHAnsi"/>
                                      <w:sz w:val="16"/>
                                      <w:szCs w:val="14"/>
                                      <w:lang w:val="en-IE"/>
                                    </w:rPr>
                                    <w:t xml:space="preserve"> indicates either: </w:t>
                                  </w:r>
                                </w:p>
                                <w:p w14:paraId="741EAC6D" w14:textId="77777777" w:rsidR="002B2F54" w:rsidRPr="00F6473C" w:rsidRDefault="002B2F54" w:rsidP="00003055">
                                  <w:pPr>
                                    <w:numPr>
                                      <w:ilvl w:val="1"/>
                                      <w:numId w:val="146"/>
                                    </w:numPr>
                                    <w:spacing w:before="0" w:after="0" w:line="240" w:lineRule="auto"/>
                                    <w:ind w:left="1554"/>
                                    <w:jc w:val="both"/>
                                    <w:rPr>
                                      <w:rFonts w:asciiTheme="minorHAnsi" w:hAnsiTheme="minorHAnsi"/>
                                      <w:sz w:val="16"/>
                                      <w:szCs w:val="14"/>
                                      <w:lang w:val="en-IE"/>
                                    </w:rPr>
                                  </w:pPr>
                                  <w:r w:rsidRPr="00F6473C">
                                    <w:rPr>
                                      <w:rFonts w:asciiTheme="minorHAnsi" w:hAnsiTheme="minorHAnsi"/>
                                      <w:sz w:val="16"/>
                                      <w:szCs w:val="14"/>
                                      <w:lang w:val="en-IE"/>
                                    </w:rPr>
                                    <w:t>that the relevant datapoint is not applicable to the reporting obliged entity given the nature of its activities or its legal status (cf. AML.01.01 on provided financial services and products).</w:t>
                                  </w:r>
                                </w:p>
                                <w:p w14:paraId="57C9D219" w14:textId="77777777" w:rsidR="002B2F54" w:rsidRPr="00F6473C" w:rsidRDefault="002B2F54" w:rsidP="00003055">
                                  <w:pPr>
                                    <w:numPr>
                                      <w:ilvl w:val="1"/>
                                      <w:numId w:val="146"/>
                                    </w:numPr>
                                    <w:spacing w:before="0" w:after="0" w:line="240" w:lineRule="auto"/>
                                    <w:ind w:left="1554"/>
                                    <w:jc w:val="both"/>
                                    <w:rPr>
                                      <w:rFonts w:asciiTheme="minorHAnsi" w:hAnsiTheme="minorHAnsi"/>
                                      <w:sz w:val="16"/>
                                      <w:szCs w:val="14"/>
                                      <w:lang w:val="en-IE"/>
                                    </w:rPr>
                                  </w:pPr>
                                  <w:r w:rsidRPr="00F6473C">
                                    <w:rPr>
                                      <w:rFonts w:asciiTheme="minorHAnsi" w:hAnsiTheme="minorHAnsi"/>
                                      <w:sz w:val="16"/>
                                      <w:szCs w:val="14"/>
                                      <w:lang w:val="en-IE"/>
                                    </w:rPr>
                                    <w:t>that the data required for the relevant datapoint exists in principle but is unavailable to the reporting obliged entity at the time of reporting.</w:t>
                                  </w:r>
                                </w:p>
                                <w:p w14:paraId="748DF6B3" w14:textId="77777777" w:rsidR="002B2F54" w:rsidRPr="00F6473C" w:rsidRDefault="002B2F54" w:rsidP="00003055">
                                  <w:pPr>
                                    <w:spacing w:before="0" w:after="0" w:line="240" w:lineRule="auto"/>
                                    <w:ind w:left="114"/>
                                    <w:jc w:val="both"/>
                                    <w:rPr>
                                      <w:rFonts w:asciiTheme="minorHAnsi" w:hAnsiTheme="minorHAnsi"/>
                                      <w:sz w:val="16"/>
                                      <w:szCs w:val="14"/>
                                      <w:lang w:val="en-IE"/>
                                    </w:rPr>
                                  </w:pPr>
                                </w:p>
                                <w:p w14:paraId="053E2745" w14:textId="77777777" w:rsidR="002B2F54" w:rsidRDefault="002B2F54" w:rsidP="00003055">
                                  <w:pPr>
                                    <w:spacing w:before="0" w:after="0" w:line="240" w:lineRule="auto"/>
                                    <w:ind w:left="114"/>
                                    <w:jc w:val="both"/>
                                    <w:rPr>
                                      <w:rFonts w:asciiTheme="minorHAnsi" w:hAnsiTheme="minorHAnsi"/>
                                      <w:b/>
                                      <w:bCs/>
                                      <w:lang w:val="en-IE"/>
                                    </w:rPr>
                                  </w:pPr>
                                  <w:r w:rsidRPr="00F6473C">
                                    <w:rPr>
                                      <w:rFonts w:asciiTheme="minorHAnsi" w:hAnsiTheme="minorHAnsi"/>
                                      <w:sz w:val="16"/>
                                      <w:szCs w:val="14"/>
                                      <w:lang w:val="en-IE"/>
                                    </w:rPr>
                                    <w:t>Reporting obliged entities are encouraged to minimise the number of blank fields and to document the reasons for any unavailability of data in the comment sheet.</w:t>
                                  </w:r>
                                </w:p>
                              </w:tc>
                            </w:tr>
                          </w:tbl>
                          <w:p w14:paraId="570762A4" w14:textId="77777777" w:rsidR="00C670FC" w:rsidRPr="00C670FC" w:rsidRDefault="00C670FC" w:rsidP="00C670FC">
                            <w:pPr>
                              <w:rPr>
                                <w:lang w:eastAsia="en-GB"/>
                              </w:rPr>
                            </w:pPr>
                          </w:p>
                          <w:p w14:paraId="2057FD5C" w14:textId="77777777" w:rsidR="00C670FC" w:rsidRDefault="00C670FC" w:rsidP="00C670FC">
                            <w:pPr>
                              <w:rPr>
                                <w:lang w:eastAsia="en-GB"/>
                              </w:rPr>
                            </w:pPr>
                          </w:p>
                          <w:p w14:paraId="017F29F0" w14:textId="77777777" w:rsidR="00C670FC" w:rsidRPr="00C670FC" w:rsidRDefault="00C670FC" w:rsidP="00C670FC">
                            <w:pPr>
                              <w:rPr>
                                <w:lang w:eastAsia="en-GB"/>
                              </w:rPr>
                            </w:pPr>
                          </w:p>
                          <w:p w14:paraId="2121F81B" w14:textId="77777777" w:rsidR="00B349EF" w:rsidRDefault="00B349EF" w:rsidP="00B349EF">
                            <w:pPr>
                              <w:rPr>
                                <w:lang w:eastAsia="en-GB"/>
                              </w:rPr>
                            </w:pPr>
                          </w:p>
                          <w:p w14:paraId="1DB62170" w14:textId="77777777" w:rsidR="00B349EF" w:rsidRPr="00B349EF" w:rsidRDefault="00B349EF" w:rsidP="00B349EF">
                            <w:pPr>
                              <w:rPr>
                                <w:lang w:eastAsia="en-GB"/>
                              </w:rPr>
                            </w:pPr>
                          </w:p>
                          <w:p w14:paraId="1E60699F" w14:textId="77777777" w:rsidR="003463B0" w:rsidRDefault="003463B0" w:rsidP="003463B0">
                            <w:pPr>
                              <w:rPr>
                                <w:lang w:eastAsia="en-GB"/>
                              </w:rPr>
                            </w:pPr>
                          </w:p>
                          <w:p w14:paraId="43571DEA" w14:textId="77777777" w:rsidR="003463B0" w:rsidRPr="003463B0" w:rsidRDefault="003463B0" w:rsidP="003463B0">
                            <w:pPr>
                              <w:rPr>
                                <w:lang w:eastAsia="en-GB"/>
                              </w:rPr>
                            </w:pPr>
                          </w:p>
                          <w:p w14:paraId="3E342504" w14:textId="77777777" w:rsidR="003B77D2" w:rsidRDefault="003B77D2" w:rsidP="003B77D2">
                            <w:pPr>
                              <w:rPr>
                                <w:lang w:eastAsia="en-GB"/>
                              </w:rPr>
                            </w:pPr>
                          </w:p>
                          <w:p w14:paraId="717CDE12" w14:textId="77777777" w:rsidR="003B77D2" w:rsidRDefault="003B77D2" w:rsidP="003B77D2">
                            <w:pPr>
                              <w:rPr>
                                <w:lang w:eastAsia="en-GB"/>
                              </w:rPr>
                            </w:pPr>
                          </w:p>
                          <w:p w14:paraId="5E604DA7" w14:textId="77777777" w:rsidR="003B77D2" w:rsidRDefault="003B77D2" w:rsidP="003B77D2">
                            <w:pPr>
                              <w:rPr>
                                <w:lang w:eastAsia="en-GB"/>
                              </w:rPr>
                            </w:pPr>
                          </w:p>
                          <w:p w14:paraId="2F8FD5E9" w14:textId="77777777" w:rsidR="003B77D2" w:rsidRDefault="003B77D2" w:rsidP="003B77D2">
                            <w:pPr>
                              <w:rPr>
                                <w:lang w:eastAsia="en-GB"/>
                              </w:rPr>
                            </w:pPr>
                          </w:p>
                          <w:p w14:paraId="3C0E281B" w14:textId="77777777" w:rsidR="003B77D2" w:rsidRDefault="003B77D2" w:rsidP="003B77D2">
                            <w:pPr>
                              <w:rPr>
                                <w:lang w:eastAsia="en-GB"/>
                              </w:rPr>
                            </w:pPr>
                          </w:p>
                          <w:p w14:paraId="06257332" w14:textId="77777777" w:rsidR="003B77D2" w:rsidRDefault="003B77D2" w:rsidP="003B77D2">
                            <w:pPr>
                              <w:rPr>
                                <w:lang w:eastAsia="en-GB"/>
                              </w:rPr>
                            </w:pPr>
                          </w:p>
                          <w:p w14:paraId="65C10168" w14:textId="77777777" w:rsidR="003B77D2" w:rsidRDefault="003B77D2" w:rsidP="003B77D2">
                            <w:pPr>
                              <w:rPr>
                                <w:lang w:eastAsia="en-GB"/>
                              </w:rPr>
                            </w:pPr>
                          </w:p>
                          <w:p w14:paraId="385FCE1F" w14:textId="77777777" w:rsidR="003B77D2" w:rsidRPr="00135B9D" w:rsidRDefault="003B77D2" w:rsidP="00135B9D">
                            <w:pPr>
                              <w:rPr>
                                <w:lang w:eastAsia="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0ED494" id="_x0000_t202" coordsize="21600,21600" o:spt="202" path="m,l,21600r21600,l21600,xe">
                <v:stroke joinstyle="miter"/>
                <v:path gradientshapeok="t" o:connecttype="rect"/>
              </v:shapetype>
              <v:shape id="Text Box 133273896" o:spid="_x0000_s1026" type="#_x0000_t202" style="position:absolute;margin-left:-25.6pt;margin-top:16.4pt;width:499.2pt;height:73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" filled="f" stroked="f" strokeweight=".5pt">
                <v:textbox>
                  <w:txbxContent>
                    <w:p w14:paraId="4117E245" w14:textId="77777777" w:rsidR="0082631E" w:rsidRPr="00F7798B" w:rsidRDefault="008323F4" w:rsidP="00F7798B">
                      <w:pPr>
                        <w:pStyle w:val="Title"/>
                      </w:pPr>
                      <w:r>
                        <w:t xml:space="preserve">Draft Interpretative </w:t>
                      </w:r>
                      <w:r w:rsidR="001C0F6B">
                        <w:t>Note</w:t>
                      </w:r>
                    </w:p>
                    <w:p w14:paraId="4C504356" w14:textId="77777777" w:rsidR="002874F7" w:rsidRDefault="00427244" w:rsidP="002874F7">
                      <w:pPr>
                        <w:pStyle w:val="Subtitle"/>
                        <w:rPr>
                          <w:sz w:val="36"/>
                          <w:szCs w:val="18"/>
                          <w:lang w:eastAsia="en-GB"/>
                        </w:rPr>
                      </w:pPr>
                      <w:r w:rsidRPr="003A1853">
                        <w:rPr>
                          <w:sz w:val="36"/>
                          <w:szCs w:val="18"/>
                          <w:lang w:eastAsia="en-GB"/>
                        </w:rPr>
                        <w:t xml:space="preserve">On the </w:t>
                      </w:r>
                      <w:r w:rsidR="003A1853" w:rsidRPr="003A1853">
                        <w:rPr>
                          <w:sz w:val="36"/>
                          <w:szCs w:val="18"/>
                          <w:lang w:eastAsia="en-GB"/>
                        </w:rPr>
                        <w:t xml:space="preserve">risk assessment </w:t>
                      </w:r>
                      <w:r w:rsidRPr="003A1853">
                        <w:rPr>
                          <w:sz w:val="36"/>
                          <w:szCs w:val="18"/>
                          <w:lang w:eastAsia="en-GB"/>
                        </w:rPr>
                        <w:t xml:space="preserve">methodologies pursuant to draft RTS under Article 12(7) AMLAR and </w:t>
                      </w:r>
                      <w:r w:rsidR="00A23187" w:rsidRPr="003A1853">
                        <w:rPr>
                          <w:sz w:val="36"/>
                          <w:szCs w:val="18"/>
                          <w:lang w:eastAsia="en-GB"/>
                        </w:rPr>
                        <w:t>draft RTS under Article 40(2) AMLD</w:t>
                      </w:r>
                    </w:p>
                    <w:p w14:paraId="36CF4AC7" w14:textId="77777777" w:rsidR="000856B9" w:rsidRPr="000856B9" w:rsidRDefault="000856B9" w:rsidP="000856B9">
                      <w:pPr>
                        <w:rPr>
                          <w:lang w:eastAsia="en-GB"/>
                        </w:rPr>
                      </w:pPr>
                    </w:p>
                    <w:tbl>
                      <w:tblPr>
                        <w:tblW w:w="9870" w:type="dxa"/>
                        <w:tblInd w:w="-119"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000" w:firstRow="0" w:lastRow="0" w:firstColumn="0" w:lastColumn="0" w:noHBand="0" w:noVBand="0"/>
                      </w:tblPr>
                      <w:tblGrid>
                        <w:gridCol w:w="9870"/>
                      </w:tblGrid>
                      <w:tr w:rsidR="002B2F54" w14:paraId="3C752775" w14:textId="77777777" w:rsidTr="00901553">
                        <w:trPr>
                          <w:trHeight w:val="7313"/>
                        </w:trPr>
                        <w:tc>
                          <w:tcPr>
                            <w:tcW w:w="9870" w:type="dxa"/>
                            <w:shd w:val="clear" w:color="auto" w:fill="FFFF00"/>
                          </w:tcPr>
                          <w:p w14:paraId="634CF69F" w14:textId="77777777" w:rsidR="002B2F54" w:rsidRPr="00AB5FCF" w:rsidRDefault="002B2F54" w:rsidP="002B2F54">
                            <w:pPr>
                              <w:spacing w:before="0" w:after="0" w:line="240" w:lineRule="auto"/>
                              <w:ind w:left="114"/>
                              <w:rPr>
                                <w:rFonts w:asciiTheme="minorHAnsi" w:hAnsiTheme="minorHAnsi"/>
                                <w:b/>
                                <w:bCs/>
                                <w:sz w:val="20"/>
                                <w:szCs w:val="18"/>
                                <w:lang w:val="en-IE"/>
                              </w:rPr>
                            </w:pPr>
                          </w:p>
                          <w:p w14:paraId="371E8943" w14:textId="3C15A04D" w:rsidR="000856B9" w:rsidRPr="000856B9" w:rsidRDefault="000856B9" w:rsidP="000856B9">
                            <w:pPr>
                              <w:spacing w:before="0" w:after="0" w:line="240" w:lineRule="auto"/>
                              <w:ind w:left="114"/>
                              <w:jc w:val="center"/>
                              <w:rPr>
                                <w:rFonts w:asciiTheme="minorHAnsi" w:hAnsiTheme="minorHAnsi"/>
                                <w:sz w:val="18"/>
                                <w:szCs w:val="18"/>
                                <w:lang w:val="en-IE"/>
                              </w:rPr>
                            </w:pPr>
                            <w:r w:rsidRPr="000856B9">
                              <w:rPr>
                                <w:rFonts w:asciiTheme="minorHAnsi" w:hAnsiTheme="minorHAnsi"/>
                                <w:b/>
                                <w:bCs/>
                                <w:sz w:val="18"/>
                                <w:szCs w:val="18"/>
                                <w:lang w:val="en-IE"/>
                              </w:rPr>
                              <w:t>Key Information for the Purposes of This Data Collection</w:t>
                            </w:r>
                          </w:p>
                          <w:p w14:paraId="606106A2" w14:textId="77777777" w:rsidR="000856B9" w:rsidRDefault="000856B9" w:rsidP="002B2F54">
                            <w:pPr>
                              <w:spacing w:before="0" w:after="0" w:line="240" w:lineRule="auto"/>
                              <w:ind w:left="114"/>
                              <w:rPr>
                                <w:rFonts w:asciiTheme="minorHAnsi" w:hAnsiTheme="minorHAnsi"/>
                                <w:b/>
                                <w:bCs/>
                                <w:sz w:val="16"/>
                                <w:szCs w:val="16"/>
                                <w:lang w:val="en-IE"/>
                              </w:rPr>
                            </w:pPr>
                          </w:p>
                          <w:p w14:paraId="76084939" w14:textId="77777777" w:rsidR="002B2F54" w:rsidRPr="00626A4A" w:rsidRDefault="002B2F54" w:rsidP="00003055">
                            <w:pPr>
                              <w:spacing w:before="0" w:after="0" w:line="240" w:lineRule="auto"/>
                              <w:ind w:left="114"/>
                              <w:jc w:val="both"/>
                              <w:rPr>
                                <w:rFonts w:asciiTheme="minorHAnsi" w:hAnsiTheme="minorHAnsi"/>
                                <w:sz w:val="16"/>
                                <w:szCs w:val="16"/>
                                <w:lang w:val="en-IE"/>
                              </w:rPr>
                            </w:pPr>
                            <w:r w:rsidRPr="00626A4A">
                              <w:rPr>
                                <w:rFonts w:asciiTheme="minorHAnsi" w:hAnsiTheme="minorHAnsi"/>
                                <w:b/>
                                <w:bCs/>
                                <w:sz w:val="16"/>
                                <w:szCs w:val="16"/>
                                <w:lang w:val="en-IE"/>
                              </w:rPr>
                              <w:t>Reference period.</w:t>
                            </w:r>
                            <w:r w:rsidRPr="00626A4A">
                              <w:rPr>
                                <w:rFonts w:asciiTheme="minorHAnsi" w:hAnsiTheme="minorHAnsi"/>
                                <w:sz w:val="16"/>
                                <w:szCs w:val="16"/>
                                <w:lang w:val="en-IE"/>
                              </w:rPr>
                              <w:t xml:space="preserve"> The reference date is 31 December 2025. The reference year is the 2025 calendar year, running from 1 January 2025 to 31 December 2025 inclusive.</w:t>
                            </w:r>
                          </w:p>
                          <w:p w14:paraId="36EE0DD0" w14:textId="77777777" w:rsidR="002B2F54" w:rsidRPr="00626A4A" w:rsidRDefault="002B2F54" w:rsidP="00003055">
                            <w:pPr>
                              <w:spacing w:before="0" w:after="0" w:line="240" w:lineRule="auto"/>
                              <w:ind w:left="114"/>
                              <w:jc w:val="both"/>
                              <w:rPr>
                                <w:rFonts w:asciiTheme="minorHAnsi" w:hAnsiTheme="minorHAnsi"/>
                                <w:b/>
                                <w:bCs/>
                                <w:sz w:val="16"/>
                                <w:szCs w:val="16"/>
                                <w:lang w:val="en-IE"/>
                              </w:rPr>
                            </w:pPr>
                          </w:p>
                          <w:p w14:paraId="6594B303" w14:textId="1A07D88C" w:rsidR="002B2F54" w:rsidRPr="00626A4A" w:rsidRDefault="002B2F54" w:rsidP="00003055">
                            <w:pPr>
                              <w:spacing w:before="0" w:after="0" w:line="240" w:lineRule="auto"/>
                              <w:ind w:left="114"/>
                              <w:jc w:val="both"/>
                              <w:rPr>
                                <w:rFonts w:asciiTheme="minorHAnsi" w:hAnsiTheme="minorHAnsi"/>
                                <w:sz w:val="16"/>
                                <w:szCs w:val="16"/>
                                <w:lang w:val="en-IE"/>
                              </w:rPr>
                            </w:pPr>
                            <w:r w:rsidRPr="00626A4A">
                              <w:rPr>
                                <w:rFonts w:asciiTheme="minorHAnsi" w:hAnsiTheme="minorHAnsi"/>
                                <w:b/>
                                <w:bCs/>
                                <w:sz w:val="16"/>
                                <w:szCs w:val="16"/>
                                <w:lang w:val="en-IE"/>
                              </w:rPr>
                              <w:t>Legal basis.</w:t>
                            </w:r>
                            <w:r w:rsidRPr="00626A4A">
                              <w:rPr>
                                <w:rFonts w:asciiTheme="minorHAnsi" w:hAnsiTheme="minorHAnsi"/>
                                <w:sz w:val="16"/>
                                <w:szCs w:val="16"/>
                                <w:lang w:val="en-IE"/>
                              </w:rPr>
                              <w:t xml:space="preserve"> Instructions refer, where relevant, to the definitions set out in the AMLR to support consistent reporting. Where AMLR definitions were not yet applicable during the reference year, or where they conflict with the legislation in force for that period, reporting obliged entities should instead apply the definitions and requirements of Directive (</w:t>
                            </w:r>
                            <w:r w:rsidR="00194100" w:rsidRPr="00194100">
                              <w:rPr>
                                <w:rFonts w:asciiTheme="minorHAnsi" w:hAnsiTheme="minorHAnsi"/>
                                <w:sz w:val="16"/>
                                <w:szCs w:val="16"/>
                                <w:lang w:val="en-IE"/>
                              </w:rPr>
                              <w:t>UE) 2015/849</w:t>
                            </w:r>
                            <w:r w:rsidR="00C776CB">
                              <w:rPr>
                                <w:rFonts w:asciiTheme="minorHAnsi" w:hAnsiTheme="minorHAnsi"/>
                                <w:sz w:val="16"/>
                                <w:szCs w:val="16"/>
                                <w:lang w:val="en-IE"/>
                              </w:rPr>
                              <w:t xml:space="preserve"> (AMLD IV/V) </w:t>
                            </w:r>
                            <w:r w:rsidRPr="00626A4A">
                              <w:rPr>
                                <w:rFonts w:asciiTheme="minorHAnsi" w:hAnsiTheme="minorHAnsi"/>
                                <w:sz w:val="16"/>
                                <w:szCs w:val="16"/>
                                <w:lang w:val="en-IE"/>
                              </w:rPr>
                              <w:t>as transposed into their national law for the relevant reference period.</w:t>
                            </w:r>
                          </w:p>
                          <w:p w14:paraId="14A45AC0" w14:textId="77777777" w:rsidR="002B2F54" w:rsidRPr="00626A4A" w:rsidRDefault="002B2F54" w:rsidP="00003055">
                            <w:pPr>
                              <w:spacing w:before="0" w:after="0" w:line="240" w:lineRule="auto"/>
                              <w:ind w:left="114"/>
                              <w:jc w:val="both"/>
                              <w:rPr>
                                <w:rFonts w:asciiTheme="minorHAnsi" w:hAnsiTheme="minorHAnsi"/>
                                <w:b/>
                                <w:bCs/>
                                <w:sz w:val="16"/>
                                <w:szCs w:val="16"/>
                                <w:lang w:val="en-IE"/>
                              </w:rPr>
                            </w:pPr>
                          </w:p>
                          <w:p w14:paraId="003A375E" w14:textId="77777777" w:rsidR="002B2F54" w:rsidRPr="00626A4A" w:rsidRDefault="002B2F54" w:rsidP="00003055">
                            <w:pPr>
                              <w:spacing w:before="0" w:after="0" w:line="240" w:lineRule="auto"/>
                              <w:ind w:left="114"/>
                              <w:jc w:val="both"/>
                              <w:rPr>
                                <w:rFonts w:asciiTheme="minorHAnsi" w:hAnsiTheme="minorHAnsi"/>
                                <w:sz w:val="16"/>
                                <w:szCs w:val="16"/>
                                <w:lang w:val="en-IE"/>
                              </w:rPr>
                            </w:pPr>
                            <w:r w:rsidRPr="00626A4A">
                              <w:rPr>
                                <w:rFonts w:asciiTheme="minorHAnsi" w:hAnsiTheme="minorHAnsi"/>
                                <w:b/>
                                <w:bCs/>
                                <w:sz w:val="16"/>
                                <w:szCs w:val="16"/>
                                <w:lang w:val="en-IE"/>
                              </w:rPr>
                              <w:t>Scope of reporting by activity.</w:t>
                            </w:r>
                            <w:r w:rsidRPr="00626A4A">
                              <w:rPr>
                                <w:rFonts w:asciiTheme="minorHAnsi" w:hAnsiTheme="minorHAnsi"/>
                                <w:sz w:val="16"/>
                                <w:szCs w:val="16"/>
                                <w:lang w:val="en-IE"/>
                              </w:rPr>
                              <w:t xml:space="preserve"> Reporting obliged entities must report all datapoints relevant to the activities they perform. Where an obliged entity carries out activities falling under more than one category of obliged entity as defined under the AMLR, it must report datapoints applicable to each relevant activity. For example, a credit institution also acting as a life insurance intermediary must report datapoints applicable to both activities.</w:t>
                            </w:r>
                          </w:p>
                          <w:p w14:paraId="546ACCCA" w14:textId="77777777" w:rsidR="002B2F54" w:rsidRPr="00626A4A" w:rsidRDefault="002B2F54" w:rsidP="00003055">
                            <w:pPr>
                              <w:spacing w:before="0" w:after="0" w:line="240" w:lineRule="auto"/>
                              <w:ind w:left="114"/>
                              <w:jc w:val="both"/>
                              <w:rPr>
                                <w:rFonts w:asciiTheme="minorHAnsi" w:hAnsiTheme="minorHAnsi"/>
                                <w:b/>
                                <w:bCs/>
                                <w:sz w:val="16"/>
                                <w:szCs w:val="16"/>
                                <w:lang w:val="en-IE"/>
                              </w:rPr>
                            </w:pPr>
                          </w:p>
                          <w:p w14:paraId="203F51B4" w14:textId="77777777" w:rsidR="002B2F54" w:rsidRPr="00626A4A" w:rsidRDefault="002B2F54" w:rsidP="00003055">
                            <w:pPr>
                              <w:spacing w:before="0" w:after="0" w:line="240" w:lineRule="auto"/>
                              <w:ind w:left="114"/>
                              <w:jc w:val="both"/>
                              <w:rPr>
                                <w:rFonts w:asciiTheme="minorHAnsi" w:hAnsiTheme="minorHAnsi"/>
                                <w:sz w:val="16"/>
                                <w:szCs w:val="16"/>
                                <w:lang w:val="en-IE"/>
                              </w:rPr>
                            </w:pPr>
                            <w:r w:rsidRPr="00626A4A">
                              <w:rPr>
                                <w:rFonts w:asciiTheme="minorHAnsi" w:hAnsiTheme="minorHAnsi"/>
                                <w:b/>
                                <w:bCs/>
                                <w:sz w:val="16"/>
                                <w:szCs w:val="16"/>
                                <w:lang w:val="en-IE"/>
                              </w:rPr>
                              <w:t>Scope of reporting by establishment.</w:t>
                            </w:r>
                            <w:r w:rsidRPr="00626A4A">
                              <w:rPr>
                                <w:rFonts w:asciiTheme="minorHAnsi" w:hAnsiTheme="minorHAnsi"/>
                                <w:sz w:val="16"/>
                                <w:szCs w:val="16"/>
                                <w:lang w:val="en-IE"/>
                              </w:rPr>
                              <w:t xml:space="preserve"> Reporting is required at solo level for each separate establishment, rather than at solo level for each obliged entity as a whole. Concretely:</w:t>
                            </w:r>
                          </w:p>
                          <w:p w14:paraId="382E32F8" w14:textId="77777777" w:rsidR="002B2F54" w:rsidRPr="00626A4A" w:rsidRDefault="002B2F54" w:rsidP="00CF4D3B">
                            <w:pPr>
                              <w:numPr>
                                <w:ilvl w:val="0"/>
                                <w:numId w:val="145"/>
                              </w:numPr>
                              <w:spacing w:before="0" w:after="0" w:line="240" w:lineRule="auto"/>
                              <w:ind w:left="834"/>
                              <w:jc w:val="both"/>
                              <w:rPr>
                                <w:rFonts w:asciiTheme="minorHAnsi" w:hAnsiTheme="minorHAnsi"/>
                                <w:sz w:val="16"/>
                                <w:szCs w:val="16"/>
                                <w:lang w:val="en-IE"/>
                              </w:rPr>
                            </w:pPr>
                            <w:r w:rsidRPr="00626A4A">
                              <w:rPr>
                                <w:rFonts w:asciiTheme="minorHAnsi" w:hAnsiTheme="minorHAnsi"/>
                                <w:sz w:val="16"/>
                                <w:szCs w:val="16"/>
                                <w:lang w:val="en-IE"/>
                              </w:rPr>
                              <w:t>Each branch must report solo level data to the national financial supervisor of its country of establishment.</w:t>
                            </w:r>
                          </w:p>
                          <w:p w14:paraId="5F661FFF" w14:textId="77777777" w:rsidR="002B2F54" w:rsidRPr="00626A4A" w:rsidRDefault="002B2F54" w:rsidP="00CF4D3B">
                            <w:pPr>
                              <w:numPr>
                                <w:ilvl w:val="0"/>
                                <w:numId w:val="145"/>
                              </w:numPr>
                              <w:spacing w:before="0" w:after="0" w:line="240" w:lineRule="auto"/>
                              <w:ind w:left="834"/>
                              <w:jc w:val="both"/>
                              <w:rPr>
                                <w:rFonts w:asciiTheme="minorHAnsi" w:hAnsiTheme="minorHAnsi"/>
                                <w:sz w:val="16"/>
                                <w:szCs w:val="16"/>
                                <w:lang w:val="en-IE"/>
                              </w:rPr>
                            </w:pPr>
                            <w:r w:rsidRPr="00626A4A">
                              <w:rPr>
                                <w:rFonts w:asciiTheme="minorHAnsi" w:hAnsiTheme="minorHAnsi"/>
                                <w:sz w:val="16"/>
                                <w:szCs w:val="16"/>
                                <w:lang w:val="en-IE"/>
                              </w:rPr>
                              <w:t>Obliged entities with cross-border branches must exclude data from those branches when reporting to the national financial supervisor of the country of establishment of the legal entity, and must report only data attributable to the legal entity itself. This rule is intended to avoid double counting in the aggregation of data at national and EU level.</w:t>
                            </w:r>
                          </w:p>
                          <w:p w14:paraId="6BE6538C" w14:textId="77777777" w:rsidR="002B2F54" w:rsidRPr="00626A4A" w:rsidRDefault="002B2F54" w:rsidP="00003055">
                            <w:pPr>
                              <w:spacing w:before="0" w:after="0" w:line="240" w:lineRule="auto"/>
                              <w:ind w:left="114"/>
                              <w:jc w:val="both"/>
                              <w:rPr>
                                <w:rFonts w:asciiTheme="minorHAnsi" w:hAnsiTheme="minorHAnsi"/>
                                <w:b/>
                                <w:bCs/>
                                <w:sz w:val="16"/>
                                <w:szCs w:val="16"/>
                                <w:lang w:val="en-IE"/>
                              </w:rPr>
                            </w:pPr>
                          </w:p>
                          <w:p w14:paraId="7E2020DC" w14:textId="77777777" w:rsidR="002B2F54" w:rsidRPr="00626A4A" w:rsidRDefault="002B2F54" w:rsidP="00003055">
                            <w:pPr>
                              <w:spacing w:before="0" w:after="0" w:line="240" w:lineRule="auto"/>
                              <w:ind w:left="114"/>
                              <w:jc w:val="both"/>
                              <w:rPr>
                                <w:rFonts w:asciiTheme="minorHAnsi" w:hAnsiTheme="minorHAnsi"/>
                                <w:sz w:val="16"/>
                                <w:szCs w:val="16"/>
                                <w:lang w:val="en-IE"/>
                              </w:rPr>
                            </w:pPr>
                            <w:r w:rsidRPr="00626A4A">
                              <w:rPr>
                                <w:rFonts w:asciiTheme="minorHAnsi" w:hAnsiTheme="minorHAnsi"/>
                                <w:b/>
                                <w:bCs/>
                                <w:sz w:val="16"/>
                                <w:szCs w:val="16"/>
                                <w:lang w:val="en-IE"/>
                              </w:rPr>
                              <w:t>Data reporting conventions.</w:t>
                            </w:r>
                            <w:r w:rsidRPr="00626A4A">
                              <w:rPr>
                                <w:rFonts w:asciiTheme="minorHAnsi" w:hAnsiTheme="minorHAnsi"/>
                                <w:sz w:val="16"/>
                                <w:szCs w:val="16"/>
                                <w:lang w:val="en-IE"/>
                              </w:rPr>
                              <w:t xml:space="preserve"> A dedicated row in the reporting template specifies, for each datapoint, whether it should be reported as a stock (position as of 31 December 2025) or as a flow (cumulative activity over the period from 1 January 2025 to 31 December 2025). Unless otherwise specified in the template, entering:</w:t>
                            </w:r>
                          </w:p>
                          <w:p w14:paraId="319993A1" w14:textId="77777777" w:rsidR="002B2F54" w:rsidRPr="00F6473C" w:rsidRDefault="002B2F54" w:rsidP="00003055">
                            <w:pPr>
                              <w:numPr>
                                <w:ilvl w:val="0"/>
                                <w:numId w:val="146"/>
                              </w:numPr>
                              <w:spacing w:before="0" w:after="0" w:line="240" w:lineRule="auto"/>
                              <w:ind w:left="834"/>
                              <w:jc w:val="both"/>
                              <w:rPr>
                                <w:rFonts w:asciiTheme="minorHAnsi" w:hAnsiTheme="minorHAnsi"/>
                                <w:sz w:val="16"/>
                                <w:szCs w:val="14"/>
                                <w:lang w:val="en-IE"/>
                              </w:rPr>
                            </w:pPr>
                            <w:r w:rsidRPr="00F6473C">
                              <w:rPr>
                                <w:rFonts w:asciiTheme="minorHAnsi" w:hAnsiTheme="minorHAnsi"/>
                                <w:b/>
                                <w:bCs/>
                                <w:sz w:val="16"/>
                                <w:szCs w:val="14"/>
                                <w:lang w:val="en-IE"/>
                              </w:rPr>
                              <w:t>"0"</w:t>
                            </w:r>
                            <w:r w:rsidRPr="00F6473C">
                              <w:rPr>
                                <w:rFonts w:asciiTheme="minorHAnsi" w:hAnsiTheme="minorHAnsi"/>
                                <w:sz w:val="16"/>
                                <w:szCs w:val="14"/>
                                <w:lang w:val="en-IE"/>
                              </w:rPr>
                              <w:t xml:space="preserve"> indicates that the reported value for the relevant datapoint is zero.</w:t>
                            </w:r>
                          </w:p>
                          <w:p w14:paraId="6BC15D21" w14:textId="77777777" w:rsidR="002B2F54" w:rsidRPr="00F6473C" w:rsidRDefault="002B2F54" w:rsidP="00003055">
                            <w:pPr>
                              <w:numPr>
                                <w:ilvl w:val="0"/>
                                <w:numId w:val="146"/>
                              </w:numPr>
                              <w:spacing w:before="0" w:after="0" w:line="240" w:lineRule="auto"/>
                              <w:ind w:left="834"/>
                              <w:jc w:val="both"/>
                              <w:rPr>
                                <w:rFonts w:asciiTheme="minorHAnsi" w:hAnsiTheme="minorHAnsi"/>
                                <w:sz w:val="16"/>
                                <w:szCs w:val="14"/>
                                <w:lang w:val="en-IE"/>
                              </w:rPr>
                            </w:pPr>
                            <w:r w:rsidRPr="00F6473C">
                              <w:rPr>
                                <w:rFonts w:asciiTheme="minorHAnsi" w:hAnsiTheme="minorHAnsi"/>
                                <w:b/>
                                <w:bCs/>
                                <w:sz w:val="16"/>
                                <w:szCs w:val="14"/>
                                <w:lang w:val="en-IE"/>
                              </w:rPr>
                              <w:t>A blank cell</w:t>
                            </w:r>
                            <w:r w:rsidRPr="00F6473C">
                              <w:rPr>
                                <w:rFonts w:asciiTheme="minorHAnsi" w:hAnsiTheme="minorHAnsi"/>
                                <w:sz w:val="16"/>
                                <w:szCs w:val="14"/>
                                <w:lang w:val="en-IE"/>
                              </w:rPr>
                              <w:t xml:space="preserve"> indicates either: </w:t>
                            </w:r>
                          </w:p>
                          <w:p w14:paraId="741EAC6D" w14:textId="77777777" w:rsidR="002B2F54" w:rsidRPr="00F6473C" w:rsidRDefault="002B2F54" w:rsidP="00003055">
                            <w:pPr>
                              <w:numPr>
                                <w:ilvl w:val="1"/>
                                <w:numId w:val="146"/>
                              </w:numPr>
                              <w:spacing w:before="0" w:after="0" w:line="240" w:lineRule="auto"/>
                              <w:ind w:left="1554"/>
                              <w:jc w:val="both"/>
                              <w:rPr>
                                <w:rFonts w:asciiTheme="minorHAnsi" w:hAnsiTheme="minorHAnsi"/>
                                <w:sz w:val="16"/>
                                <w:szCs w:val="14"/>
                                <w:lang w:val="en-IE"/>
                              </w:rPr>
                            </w:pPr>
                            <w:r w:rsidRPr="00F6473C">
                              <w:rPr>
                                <w:rFonts w:asciiTheme="minorHAnsi" w:hAnsiTheme="minorHAnsi"/>
                                <w:sz w:val="16"/>
                                <w:szCs w:val="14"/>
                                <w:lang w:val="en-IE"/>
                              </w:rPr>
                              <w:t>that the relevant datapoint is not applicable to the reporting obliged entity given the nature of its activities or its legal status (cf. AML.01.01 on provided financial services and products).</w:t>
                            </w:r>
                          </w:p>
                          <w:p w14:paraId="57C9D219" w14:textId="77777777" w:rsidR="002B2F54" w:rsidRPr="00F6473C" w:rsidRDefault="002B2F54" w:rsidP="00003055">
                            <w:pPr>
                              <w:numPr>
                                <w:ilvl w:val="1"/>
                                <w:numId w:val="146"/>
                              </w:numPr>
                              <w:spacing w:before="0" w:after="0" w:line="240" w:lineRule="auto"/>
                              <w:ind w:left="1554"/>
                              <w:jc w:val="both"/>
                              <w:rPr>
                                <w:rFonts w:asciiTheme="minorHAnsi" w:hAnsiTheme="minorHAnsi"/>
                                <w:sz w:val="16"/>
                                <w:szCs w:val="14"/>
                                <w:lang w:val="en-IE"/>
                              </w:rPr>
                            </w:pPr>
                            <w:r w:rsidRPr="00F6473C">
                              <w:rPr>
                                <w:rFonts w:asciiTheme="minorHAnsi" w:hAnsiTheme="minorHAnsi"/>
                                <w:sz w:val="16"/>
                                <w:szCs w:val="14"/>
                                <w:lang w:val="en-IE"/>
                              </w:rPr>
                              <w:t>that the data required for the relevant datapoint exists in principle but is unavailable to the reporting obliged entity at the time of reporting.</w:t>
                            </w:r>
                          </w:p>
                          <w:p w14:paraId="748DF6B3" w14:textId="77777777" w:rsidR="002B2F54" w:rsidRPr="00F6473C" w:rsidRDefault="002B2F54" w:rsidP="00003055">
                            <w:pPr>
                              <w:spacing w:before="0" w:after="0" w:line="240" w:lineRule="auto"/>
                              <w:ind w:left="114"/>
                              <w:jc w:val="both"/>
                              <w:rPr>
                                <w:rFonts w:asciiTheme="minorHAnsi" w:hAnsiTheme="minorHAnsi"/>
                                <w:sz w:val="16"/>
                                <w:szCs w:val="14"/>
                                <w:lang w:val="en-IE"/>
                              </w:rPr>
                            </w:pPr>
                          </w:p>
                          <w:p w14:paraId="053E2745" w14:textId="77777777" w:rsidR="002B2F54" w:rsidRDefault="002B2F54" w:rsidP="00003055">
                            <w:pPr>
                              <w:spacing w:before="0" w:after="0" w:line="240" w:lineRule="auto"/>
                              <w:ind w:left="114"/>
                              <w:jc w:val="both"/>
                              <w:rPr>
                                <w:rFonts w:asciiTheme="minorHAnsi" w:hAnsiTheme="minorHAnsi"/>
                                <w:b/>
                                <w:bCs/>
                                <w:lang w:val="en-IE"/>
                              </w:rPr>
                            </w:pPr>
                            <w:r w:rsidRPr="00F6473C">
                              <w:rPr>
                                <w:rFonts w:asciiTheme="minorHAnsi" w:hAnsiTheme="minorHAnsi"/>
                                <w:sz w:val="16"/>
                                <w:szCs w:val="14"/>
                                <w:lang w:val="en-IE"/>
                              </w:rPr>
                              <w:t>Reporting obliged entities are encouraged to minimise the number of blank fields and to document the reasons for any unavailability of data in the comment sheet.</w:t>
                            </w:r>
                          </w:p>
                        </w:tc>
                      </w:tr>
                    </w:tbl>
                    <w:p w14:paraId="570762A4" w14:textId="77777777" w:rsidR="00C670FC" w:rsidRPr="00C670FC" w:rsidRDefault="00C670FC" w:rsidP="00C670FC">
                      <w:pPr>
                        <w:rPr>
                          <w:lang w:eastAsia="en-GB"/>
                        </w:rPr>
                      </w:pPr>
                    </w:p>
                    <w:p w14:paraId="2057FD5C" w14:textId="77777777" w:rsidR="00C670FC" w:rsidRDefault="00C670FC" w:rsidP="00C670FC">
                      <w:pPr>
                        <w:rPr>
                          <w:lang w:eastAsia="en-GB"/>
                        </w:rPr>
                      </w:pPr>
                    </w:p>
                    <w:p w14:paraId="017F29F0" w14:textId="77777777" w:rsidR="00C670FC" w:rsidRPr="00C670FC" w:rsidRDefault="00C670FC" w:rsidP="00C670FC">
                      <w:pPr>
                        <w:rPr>
                          <w:lang w:eastAsia="en-GB"/>
                        </w:rPr>
                      </w:pPr>
                    </w:p>
                    <w:p w14:paraId="2121F81B" w14:textId="77777777" w:rsidR="00B349EF" w:rsidRDefault="00B349EF" w:rsidP="00B349EF">
                      <w:pPr>
                        <w:rPr>
                          <w:lang w:eastAsia="en-GB"/>
                        </w:rPr>
                      </w:pPr>
                    </w:p>
                    <w:p w14:paraId="1DB62170" w14:textId="77777777" w:rsidR="00B349EF" w:rsidRPr="00B349EF" w:rsidRDefault="00B349EF" w:rsidP="00B349EF">
                      <w:pPr>
                        <w:rPr>
                          <w:lang w:eastAsia="en-GB"/>
                        </w:rPr>
                      </w:pPr>
                    </w:p>
                    <w:p w14:paraId="1E60699F" w14:textId="77777777" w:rsidR="003463B0" w:rsidRDefault="003463B0" w:rsidP="003463B0">
                      <w:pPr>
                        <w:rPr>
                          <w:lang w:eastAsia="en-GB"/>
                        </w:rPr>
                      </w:pPr>
                    </w:p>
                    <w:p w14:paraId="43571DEA" w14:textId="77777777" w:rsidR="003463B0" w:rsidRPr="003463B0" w:rsidRDefault="003463B0" w:rsidP="003463B0">
                      <w:pPr>
                        <w:rPr>
                          <w:lang w:eastAsia="en-GB"/>
                        </w:rPr>
                      </w:pPr>
                    </w:p>
                    <w:p w14:paraId="3E342504" w14:textId="77777777" w:rsidR="003B77D2" w:rsidRDefault="003B77D2" w:rsidP="003B77D2">
                      <w:pPr>
                        <w:rPr>
                          <w:lang w:eastAsia="en-GB"/>
                        </w:rPr>
                      </w:pPr>
                    </w:p>
                    <w:p w14:paraId="717CDE12" w14:textId="77777777" w:rsidR="003B77D2" w:rsidRDefault="003B77D2" w:rsidP="003B77D2">
                      <w:pPr>
                        <w:rPr>
                          <w:lang w:eastAsia="en-GB"/>
                        </w:rPr>
                      </w:pPr>
                    </w:p>
                    <w:p w14:paraId="5E604DA7" w14:textId="77777777" w:rsidR="003B77D2" w:rsidRDefault="003B77D2" w:rsidP="003B77D2">
                      <w:pPr>
                        <w:rPr>
                          <w:lang w:eastAsia="en-GB"/>
                        </w:rPr>
                      </w:pPr>
                    </w:p>
                    <w:p w14:paraId="2F8FD5E9" w14:textId="77777777" w:rsidR="003B77D2" w:rsidRDefault="003B77D2" w:rsidP="003B77D2">
                      <w:pPr>
                        <w:rPr>
                          <w:lang w:eastAsia="en-GB"/>
                        </w:rPr>
                      </w:pPr>
                    </w:p>
                    <w:p w14:paraId="3C0E281B" w14:textId="77777777" w:rsidR="003B77D2" w:rsidRDefault="003B77D2" w:rsidP="003B77D2">
                      <w:pPr>
                        <w:rPr>
                          <w:lang w:eastAsia="en-GB"/>
                        </w:rPr>
                      </w:pPr>
                    </w:p>
                    <w:p w14:paraId="06257332" w14:textId="77777777" w:rsidR="003B77D2" w:rsidRDefault="003B77D2" w:rsidP="003B77D2">
                      <w:pPr>
                        <w:rPr>
                          <w:lang w:eastAsia="en-GB"/>
                        </w:rPr>
                      </w:pPr>
                    </w:p>
                    <w:p w14:paraId="65C10168" w14:textId="77777777" w:rsidR="003B77D2" w:rsidRDefault="003B77D2" w:rsidP="003B77D2">
                      <w:pPr>
                        <w:rPr>
                          <w:lang w:eastAsia="en-GB"/>
                        </w:rPr>
                      </w:pPr>
                    </w:p>
                    <w:p w14:paraId="385FCE1F" w14:textId="77777777" w:rsidR="003B77D2" w:rsidRPr="00135B9D" w:rsidRDefault="003B77D2" w:rsidP="00135B9D">
                      <w:pPr>
                        <w:rPr>
                          <w:lang w:eastAsia="en-GB"/>
                        </w:rPr>
                      </w:pPr>
                    </w:p>
                  </w:txbxContent>
                </v:textbox>
              </v:shape>
            </w:pict>
          </mc:Fallback>
        </mc:AlternateContent>
      </w:r>
    </w:p>
    <w:p w14:paraId="3E03F185" w14:textId="77777777" w:rsidR="006D6D8B" w:rsidRDefault="006D6D8B" w:rsidP="0071082D">
      <w:pPr>
        <w:rPr>
          <w:rFonts w:asciiTheme="minorHAnsi" w:hAnsiTheme="minorHAnsi"/>
        </w:rPr>
      </w:pPr>
    </w:p>
    <w:p w14:paraId="60BEE5BF" w14:textId="272CAC18" w:rsidR="00A172C1" w:rsidRPr="005A0C5E" w:rsidRDefault="00E37F9D" w:rsidP="0071082D">
      <w:pPr>
        <w:rPr>
          <w:rFonts w:asciiTheme="minorHAnsi" w:hAnsiTheme="minorHAnsi"/>
        </w:rPr>
      </w:pPr>
      <w:r w:rsidRPr="005A0C5E">
        <w:rPr>
          <w:rFonts w:asciiTheme="minorHAnsi" w:hAnsiTheme="minorHAnsi"/>
        </w:rPr>
        <w:t xml:space="preserve"> </w:t>
      </w:r>
      <w:sdt>
        <w:sdtPr>
          <w:rPr>
            <w:rFonts w:asciiTheme="minorHAnsi" w:hAnsiTheme="minorHAnsi"/>
          </w:rPr>
          <w:id w:val="470482816"/>
          <w:docPartObj>
            <w:docPartGallery w:val="Cover Pages"/>
            <w:docPartUnique/>
          </w:docPartObj>
        </w:sdtPr>
        <w:sdtEndPr>
          <w:rPr>
            <w:b/>
          </w:rPr>
        </w:sdtEndPr>
        <w:sdtContent>
          <w:r w:rsidR="00BA6E0D" w:rsidRPr="005A0C5E">
            <w:rPr>
              <w:rFonts w:asciiTheme="minorHAnsi" w:hAnsiTheme="minorHAnsi"/>
              <w:b/>
            </w:rPr>
            <w:br w:type="page"/>
          </w:r>
        </w:sdtContent>
      </w:sdt>
    </w:p>
    <w:sdt>
      <w:sdtPr>
        <w:rPr>
          <w:rFonts w:asciiTheme="minorHAnsi" w:hAnsiTheme="minorHAnsi"/>
          <w:b w:val="0"/>
          <w:caps/>
          <w:color w:val="595959" w:themeColor="text1" w:themeTint="A6"/>
          <w:sz w:val="18"/>
          <w:szCs w:val="18"/>
        </w:rPr>
        <w:id w:val="703371794"/>
        <w:docPartObj>
          <w:docPartGallery w:val="Table of Contents"/>
          <w:docPartUnique/>
        </w:docPartObj>
      </w:sdtPr>
      <w:sdtEndPr>
        <w:rPr>
          <w:caps w:val="0"/>
          <w:noProof/>
          <w:color w:val="262626" w:themeColor="text1" w:themeTint="D9"/>
          <w:sz w:val="22"/>
          <w:szCs w:val="22"/>
        </w:rPr>
      </w:sdtEndPr>
      <w:sdtContent>
        <w:p w14:paraId="1680B04C" w14:textId="77777777" w:rsidR="00A172C1" w:rsidRPr="00016335" w:rsidRDefault="00A172C1" w:rsidP="00A172C1">
          <w:pPr>
            <w:pStyle w:val="TOCHeading"/>
            <w:rPr>
              <w:rFonts w:asciiTheme="minorHAnsi" w:hAnsiTheme="minorHAnsi"/>
            </w:rPr>
          </w:pPr>
          <w:r w:rsidRPr="00016335">
            <w:rPr>
              <w:rFonts w:asciiTheme="minorHAnsi" w:hAnsiTheme="minorHAnsi"/>
            </w:rPr>
            <w:t>Contents</w:t>
          </w:r>
        </w:p>
        <w:p w14:paraId="7F23B780" w14:textId="1E717919" w:rsidR="00D67950" w:rsidRDefault="00A172C1">
          <w:pPr>
            <w:pStyle w:val="TOC1"/>
            <w:rPr>
              <w:rFonts w:asciiTheme="minorHAnsi" w:eastAsiaTheme="minorEastAsia" w:hAnsiTheme="minorHAnsi" w:cstheme="minorBidi"/>
              <w:b w:val="0"/>
              <w:color w:val="auto"/>
              <w:kern w:val="2"/>
              <w:sz w:val="24"/>
              <w:szCs w:val="24"/>
              <w14:ligatures w14:val="standardContextual"/>
            </w:rPr>
          </w:pPr>
          <w:r w:rsidRPr="008B7A29">
            <w:rPr>
              <w:rFonts w:asciiTheme="minorHAnsi" w:hAnsiTheme="minorHAnsi"/>
            </w:rPr>
            <w:fldChar w:fldCharType="begin"/>
          </w:r>
          <w:r>
            <w:instrText xml:space="preserve"> TOC \o "1-3" \h \z \u </w:instrText>
          </w:r>
          <w:r w:rsidRPr="008B7A29">
            <w:rPr>
              <w:rFonts w:asciiTheme="minorHAnsi" w:hAnsiTheme="minorHAnsi"/>
            </w:rPr>
            <w:fldChar w:fldCharType="separate"/>
          </w:r>
          <w:hyperlink w:anchor="_Toc223104815" w:history="1">
            <w:r w:rsidR="00D67950" w:rsidRPr="000E582C">
              <w:rPr>
                <w:rStyle w:val="Hyperlink"/>
                <w:lang w:val="en-GB"/>
              </w:rPr>
              <w:t>1</w:t>
            </w:r>
            <w:r w:rsidR="00D67950">
              <w:rPr>
                <w:rFonts w:asciiTheme="minorHAnsi" w:eastAsiaTheme="minorEastAsia" w:hAnsiTheme="minorHAnsi" w:cstheme="minorBidi"/>
                <w:b w:val="0"/>
                <w:color w:val="auto"/>
                <w:kern w:val="2"/>
                <w:sz w:val="24"/>
                <w:szCs w:val="24"/>
                <w14:ligatures w14:val="standardContextual"/>
              </w:rPr>
              <w:tab/>
            </w:r>
            <w:r w:rsidR="00D67950" w:rsidRPr="000E582C">
              <w:rPr>
                <w:rStyle w:val="Hyperlink"/>
                <w:lang w:val="en-GB"/>
              </w:rPr>
              <w:t>Interpretative note on the data points listed in Annex 1 to the Draft RTSs</w:t>
            </w:r>
            <w:r w:rsidR="00D67950">
              <w:rPr>
                <w:webHidden/>
              </w:rPr>
              <w:tab/>
            </w:r>
            <w:r w:rsidR="00D67950">
              <w:rPr>
                <w:webHidden/>
              </w:rPr>
              <w:fldChar w:fldCharType="begin"/>
            </w:r>
            <w:r w:rsidR="00D67950">
              <w:rPr>
                <w:webHidden/>
              </w:rPr>
              <w:instrText xml:space="preserve"> PAGEREF _Toc223104815 \h </w:instrText>
            </w:r>
            <w:r w:rsidR="00D67950">
              <w:rPr>
                <w:webHidden/>
              </w:rPr>
            </w:r>
            <w:r w:rsidR="00D67950">
              <w:rPr>
                <w:webHidden/>
              </w:rPr>
              <w:fldChar w:fldCharType="separate"/>
            </w:r>
            <w:r w:rsidR="00CB5C15">
              <w:rPr>
                <w:webHidden/>
              </w:rPr>
              <w:t>3</w:t>
            </w:r>
            <w:r w:rsidR="00D67950">
              <w:rPr>
                <w:webHidden/>
              </w:rPr>
              <w:fldChar w:fldCharType="end"/>
            </w:r>
          </w:hyperlink>
        </w:p>
        <w:p w14:paraId="1843B398" w14:textId="31DB8AE0" w:rsidR="00D67950" w:rsidRDefault="00D67950">
          <w:pPr>
            <w:pStyle w:val="TOC2"/>
            <w:rPr>
              <w:rFonts w:asciiTheme="minorHAnsi" w:eastAsiaTheme="minorEastAsia" w:hAnsiTheme="minorHAnsi" w:cstheme="minorBidi"/>
              <w:color w:val="auto"/>
              <w:kern w:val="2"/>
              <w:sz w:val="24"/>
              <w:szCs w:val="24"/>
              <w14:ligatures w14:val="standardContextual"/>
            </w:rPr>
          </w:pPr>
          <w:hyperlink w:anchor="_Toc223104816" w:history="1">
            <w:r w:rsidRPr="000E582C">
              <w:rPr>
                <w:rStyle w:val="Hyperlink"/>
                <w:lang w:val="en-GB"/>
              </w:rPr>
              <w:t>1.1</w:t>
            </w:r>
            <w:r>
              <w:rPr>
                <w:rFonts w:asciiTheme="minorHAnsi" w:eastAsiaTheme="minorEastAsia" w:hAnsiTheme="minorHAnsi" w:cstheme="minorBidi"/>
                <w:color w:val="auto"/>
                <w:kern w:val="2"/>
                <w:sz w:val="24"/>
                <w:szCs w:val="24"/>
                <w14:ligatures w14:val="standardContextual"/>
              </w:rPr>
              <w:tab/>
            </w:r>
            <w:r w:rsidRPr="000E582C">
              <w:rPr>
                <w:rStyle w:val="Hyperlink"/>
                <w:lang w:val="en-GB"/>
              </w:rPr>
              <w:t>General instructions</w:t>
            </w:r>
            <w:r>
              <w:rPr>
                <w:webHidden/>
              </w:rPr>
              <w:tab/>
            </w:r>
            <w:r>
              <w:rPr>
                <w:webHidden/>
              </w:rPr>
              <w:fldChar w:fldCharType="begin"/>
            </w:r>
            <w:r>
              <w:rPr>
                <w:webHidden/>
              </w:rPr>
              <w:instrText xml:space="preserve"> PAGEREF _Toc223104816 \h </w:instrText>
            </w:r>
            <w:r>
              <w:rPr>
                <w:webHidden/>
              </w:rPr>
            </w:r>
            <w:r>
              <w:rPr>
                <w:webHidden/>
              </w:rPr>
              <w:fldChar w:fldCharType="separate"/>
            </w:r>
            <w:r w:rsidR="00CB5C15">
              <w:rPr>
                <w:webHidden/>
              </w:rPr>
              <w:t>3</w:t>
            </w:r>
            <w:r>
              <w:rPr>
                <w:webHidden/>
              </w:rPr>
              <w:fldChar w:fldCharType="end"/>
            </w:r>
          </w:hyperlink>
        </w:p>
        <w:p w14:paraId="784D9F10" w14:textId="0D0FDFEF" w:rsidR="00D67950" w:rsidRDefault="00D67950">
          <w:pPr>
            <w:pStyle w:val="TOC3"/>
            <w:rPr>
              <w:rFonts w:asciiTheme="minorHAnsi" w:eastAsiaTheme="minorEastAsia" w:hAnsiTheme="minorHAnsi" w:cstheme="minorBidi"/>
              <w:noProof/>
              <w:color w:val="auto"/>
              <w:kern w:val="2"/>
              <w:sz w:val="24"/>
              <w:szCs w:val="24"/>
              <w14:ligatures w14:val="standardContextual"/>
            </w:rPr>
          </w:pPr>
          <w:hyperlink w:anchor="_Toc223104817" w:history="1">
            <w:r w:rsidRPr="000E582C">
              <w:rPr>
                <w:rStyle w:val="Hyperlink"/>
                <w:noProof/>
                <w:lang w:val="en-IE"/>
              </w:rPr>
              <w:t>1.1.1</w:t>
            </w:r>
            <w:r>
              <w:rPr>
                <w:rFonts w:asciiTheme="minorHAnsi" w:eastAsiaTheme="minorEastAsia" w:hAnsiTheme="minorHAnsi" w:cstheme="minorBidi"/>
                <w:noProof/>
                <w:color w:val="auto"/>
                <w:kern w:val="2"/>
                <w:sz w:val="24"/>
                <w:szCs w:val="24"/>
                <w14:ligatures w14:val="standardContextual"/>
              </w:rPr>
              <w:tab/>
            </w:r>
            <w:r w:rsidRPr="000E582C">
              <w:rPr>
                <w:rStyle w:val="Hyperlink"/>
                <w:noProof/>
                <w:lang w:val="en-IE"/>
              </w:rPr>
              <w:t>Purpose and status of this interpretative note</w:t>
            </w:r>
            <w:r>
              <w:rPr>
                <w:noProof/>
                <w:webHidden/>
              </w:rPr>
              <w:tab/>
            </w:r>
            <w:r>
              <w:rPr>
                <w:noProof/>
                <w:webHidden/>
              </w:rPr>
              <w:fldChar w:fldCharType="begin"/>
            </w:r>
            <w:r>
              <w:rPr>
                <w:noProof/>
                <w:webHidden/>
              </w:rPr>
              <w:instrText xml:space="preserve"> PAGEREF _Toc223104817 \h </w:instrText>
            </w:r>
            <w:r>
              <w:rPr>
                <w:noProof/>
                <w:webHidden/>
              </w:rPr>
            </w:r>
            <w:r>
              <w:rPr>
                <w:noProof/>
                <w:webHidden/>
              </w:rPr>
              <w:fldChar w:fldCharType="separate"/>
            </w:r>
            <w:r w:rsidR="00CB5C15">
              <w:rPr>
                <w:noProof/>
                <w:webHidden/>
              </w:rPr>
              <w:t>3</w:t>
            </w:r>
            <w:r>
              <w:rPr>
                <w:noProof/>
                <w:webHidden/>
              </w:rPr>
              <w:fldChar w:fldCharType="end"/>
            </w:r>
          </w:hyperlink>
        </w:p>
        <w:p w14:paraId="54DC28A4" w14:textId="0B46912E" w:rsidR="00D67950" w:rsidRDefault="00D67950">
          <w:pPr>
            <w:pStyle w:val="TOC3"/>
            <w:rPr>
              <w:rFonts w:asciiTheme="minorHAnsi" w:eastAsiaTheme="minorEastAsia" w:hAnsiTheme="minorHAnsi" w:cstheme="minorBidi"/>
              <w:noProof/>
              <w:color w:val="auto"/>
              <w:kern w:val="2"/>
              <w:sz w:val="24"/>
              <w:szCs w:val="24"/>
              <w14:ligatures w14:val="standardContextual"/>
            </w:rPr>
          </w:pPr>
          <w:hyperlink w:anchor="_Toc223104818" w:history="1">
            <w:r w:rsidRPr="000E582C">
              <w:rPr>
                <w:rStyle w:val="Hyperlink"/>
                <w:noProof/>
                <w:lang w:val="en-IE"/>
              </w:rPr>
              <w:t>1.1.2</w:t>
            </w:r>
            <w:r>
              <w:rPr>
                <w:rFonts w:asciiTheme="minorHAnsi" w:eastAsiaTheme="minorEastAsia" w:hAnsiTheme="minorHAnsi" w:cstheme="minorBidi"/>
                <w:noProof/>
                <w:color w:val="auto"/>
                <w:kern w:val="2"/>
                <w:sz w:val="24"/>
                <w:szCs w:val="24"/>
                <w14:ligatures w14:val="standardContextual"/>
              </w:rPr>
              <w:tab/>
            </w:r>
            <w:r w:rsidRPr="000E582C">
              <w:rPr>
                <w:rStyle w:val="Hyperlink"/>
                <w:noProof/>
                <w:lang w:val="en-IE"/>
              </w:rPr>
              <w:t>Scope of the note and future updates</w:t>
            </w:r>
            <w:r>
              <w:rPr>
                <w:noProof/>
                <w:webHidden/>
              </w:rPr>
              <w:tab/>
            </w:r>
            <w:r>
              <w:rPr>
                <w:noProof/>
                <w:webHidden/>
              </w:rPr>
              <w:fldChar w:fldCharType="begin"/>
            </w:r>
            <w:r>
              <w:rPr>
                <w:noProof/>
                <w:webHidden/>
              </w:rPr>
              <w:instrText xml:space="preserve"> PAGEREF _Toc223104818 \h </w:instrText>
            </w:r>
            <w:r>
              <w:rPr>
                <w:noProof/>
                <w:webHidden/>
              </w:rPr>
            </w:r>
            <w:r>
              <w:rPr>
                <w:noProof/>
                <w:webHidden/>
              </w:rPr>
              <w:fldChar w:fldCharType="separate"/>
            </w:r>
            <w:r w:rsidR="00CB5C15">
              <w:rPr>
                <w:noProof/>
                <w:webHidden/>
              </w:rPr>
              <w:t>4</w:t>
            </w:r>
            <w:r>
              <w:rPr>
                <w:noProof/>
                <w:webHidden/>
              </w:rPr>
              <w:fldChar w:fldCharType="end"/>
            </w:r>
          </w:hyperlink>
        </w:p>
        <w:p w14:paraId="1D0FF0ED" w14:textId="7D1D09C3" w:rsidR="00D67950" w:rsidRDefault="00D67950">
          <w:pPr>
            <w:pStyle w:val="TOC3"/>
            <w:rPr>
              <w:rFonts w:asciiTheme="minorHAnsi" w:eastAsiaTheme="minorEastAsia" w:hAnsiTheme="minorHAnsi" w:cstheme="minorBidi"/>
              <w:noProof/>
              <w:color w:val="auto"/>
              <w:kern w:val="2"/>
              <w:sz w:val="24"/>
              <w:szCs w:val="24"/>
              <w14:ligatures w14:val="standardContextual"/>
            </w:rPr>
          </w:pPr>
          <w:hyperlink w:anchor="_Toc223104819" w:history="1">
            <w:r w:rsidRPr="000E582C">
              <w:rPr>
                <w:rStyle w:val="Hyperlink"/>
                <w:noProof/>
                <w:lang w:val="en-IE"/>
              </w:rPr>
              <w:t>1.1.3</w:t>
            </w:r>
            <w:r>
              <w:rPr>
                <w:rFonts w:asciiTheme="minorHAnsi" w:eastAsiaTheme="minorEastAsia" w:hAnsiTheme="minorHAnsi" w:cstheme="minorBidi"/>
                <w:noProof/>
                <w:color w:val="auto"/>
                <w:kern w:val="2"/>
                <w:sz w:val="24"/>
                <w:szCs w:val="24"/>
                <w14:ligatures w14:val="standardContextual"/>
              </w:rPr>
              <w:tab/>
            </w:r>
            <w:r w:rsidRPr="000E582C">
              <w:rPr>
                <w:rStyle w:val="Hyperlink"/>
                <w:noProof/>
                <w:lang w:val="en-IE"/>
              </w:rPr>
              <w:t>Introduction to reporting templates, instructions and harmonised reporting</w:t>
            </w:r>
            <w:r>
              <w:rPr>
                <w:noProof/>
                <w:webHidden/>
              </w:rPr>
              <w:tab/>
            </w:r>
            <w:r>
              <w:rPr>
                <w:noProof/>
                <w:webHidden/>
              </w:rPr>
              <w:fldChar w:fldCharType="begin"/>
            </w:r>
            <w:r>
              <w:rPr>
                <w:noProof/>
                <w:webHidden/>
              </w:rPr>
              <w:instrText xml:space="preserve"> PAGEREF _Toc223104819 \h </w:instrText>
            </w:r>
            <w:r>
              <w:rPr>
                <w:noProof/>
                <w:webHidden/>
              </w:rPr>
            </w:r>
            <w:r>
              <w:rPr>
                <w:noProof/>
                <w:webHidden/>
              </w:rPr>
              <w:fldChar w:fldCharType="separate"/>
            </w:r>
            <w:r w:rsidR="00CB5C15">
              <w:rPr>
                <w:noProof/>
                <w:webHidden/>
              </w:rPr>
              <w:t>4</w:t>
            </w:r>
            <w:r>
              <w:rPr>
                <w:noProof/>
                <w:webHidden/>
              </w:rPr>
              <w:fldChar w:fldCharType="end"/>
            </w:r>
          </w:hyperlink>
        </w:p>
        <w:p w14:paraId="079A634E" w14:textId="1CD125D6" w:rsidR="00D67950" w:rsidRDefault="00D67950">
          <w:pPr>
            <w:pStyle w:val="TOC3"/>
            <w:rPr>
              <w:rFonts w:asciiTheme="minorHAnsi" w:eastAsiaTheme="minorEastAsia" w:hAnsiTheme="minorHAnsi" w:cstheme="minorBidi"/>
              <w:noProof/>
              <w:color w:val="auto"/>
              <w:kern w:val="2"/>
              <w:sz w:val="24"/>
              <w:szCs w:val="24"/>
              <w14:ligatures w14:val="standardContextual"/>
            </w:rPr>
          </w:pPr>
          <w:hyperlink w:anchor="_Toc223104820" w:history="1">
            <w:r w:rsidRPr="000E582C">
              <w:rPr>
                <w:rStyle w:val="Hyperlink"/>
                <w:noProof/>
                <w:lang w:val="en-IE"/>
              </w:rPr>
              <w:t>1.1.4</w:t>
            </w:r>
            <w:r>
              <w:rPr>
                <w:rFonts w:asciiTheme="minorHAnsi" w:eastAsiaTheme="minorEastAsia" w:hAnsiTheme="minorHAnsi" w:cstheme="minorBidi"/>
                <w:noProof/>
                <w:color w:val="auto"/>
                <w:kern w:val="2"/>
                <w:sz w:val="24"/>
                <w:szCs w:val="24"/>
                <w14:ligatures w14:val="standardContextual"/>
              </w:rPr>
              <w:tab/>
            </w:r>
            <w:r w:rsidRPr="000E582C">
              <w:rPr>
                <w:rStyle w:val="Hyperlink"/>
                <w:noProof/>
                <w:lang w:val="en-IE"/>
              </w:rPr>
              <w:t>Reporting period, currency, and currency conversion</w:t>
            </w:r>
            <w:r>
              <w:rPr>
                <w:noProof/>
                <w:webHidden/>
              </w:rPr>
              <w:tab/>
            </w:r>
            <w:r>
              <w:rPr>
                <w:noProof/>
                <w:webHidden/>
              </w:rPr>
              <w:fldChar w:fldCharType="begin"/>
            </w:r>
            <w:r>
              <w:rPr>
                <w:noProof/>
                <w:webHidden/>
              </w:rPr>
              <w:instrText xml:space="preserve"> PAGEREF _Toc223104820 \h </w:instrText>
            </w:r>
            <w:r>
              <w:rPr>
                <w:noProof/>
                <w:webHidden/>
              </w:rPr>
            </w:r>
            <w:r>
              <w:rPr>
                <w:noProof/>
                <w:webHidden/>
              </w:rPr>
              <w:fldChar w:fldCharType="separate"/>
            </w:r>
            <w:r w:rsidR="00CB5C15">
              <w:rPr>
                <w:noProof/>
                <w:webHidden/>
              </w:rPr>
              <w:t>5</w:t>
            </w:r>
            <w:r>
              <w:rPr>
                <w:noProof/>
                <w:webHidden/>
              </w:rPr>
              <w:fldChar w:fldCharType="end"/>
            </w:r>
          </w:hyperlink>
        </w:p>
        <w:p w14:paraId="48E06B72" w14:textId="45D294D9" w:rsidR="00D67950" w:rsidRDefault="00D67950">
          <w:pPr>
            <w:pStyle w:val="TOC3"/>
            <w:rPr>
              <w:rFonts w:asciiTheme="minorHAnsi" w:eastAsiaTheme="minorEastAsia" w:hAnsiTheme="minorHAnsi" w:cstheme="minorBidi"/>
              <w:noProof/>
              <w:color w:val="auto"/>
              <w:kern w:val="2"/>
              <w:sz w:val="24"/>
              <w:szCs w:val="24"/>
              <w14:ligatures w14:val="standardContextual"/>
            </w:rPr>
          </w:pPr>
          <w:hyperlink w:anchor="_Toc223104821" w:history="1">
            <w:r w:rsidRPr="000E582C">
              <w:rPr>
                <w:rStyle w:val="Hyperlink"/>
                <w:noProof/>
                <w:lang w:val="en-IE"/>
              </w:rPr>
              <w:t>1.1.5</w:t>
            </w:r>
            <w:r>
              <w:rPr>
                <w:rFonts w:asciiTheme="minorHAnsi" w:eastAsiaTheme="minorEastAsia" w:hAnsiTheme="minorHAnsi" w:cstheme="minorBidi"/>
                <w:noProof/>
                <w:color w:val="auto"/>
                <w:kern w:val="2"/>
                <w:sz w:val="24"/>
                <w:szCs w:val="24"/>
                <w14:ligatures w14:val="standardContextual"/>
              </w:rPr>
              <w:tab/>
            </w:r>
            <w:r w:rsidRPr="000E582C">
              <w:rPr>
                <w:rStyle w:val="Hyperlink"/>
                <w:noProof/>
                <w:lang w:val="en-IE"/>
              </w:rPr>
              <w:t>Excel structure and data quality expectations</w:t>
            </w:r>
            <w:r>
              <w:rPr>
                <w:noProof/>
                <w:webHidden/>
              </w:rPr>
              <w:tab/>
            </w:r>
            <w:r>
              <w:rPr>
                <w:noProof/>
                <w:webHidden/>
              </w:rPr>
              <w:fldChar w:fldCharType="begin"/>
            </w:r>
            <w:r>
              <w:rPr>
                <w:noProof/>
                <w:webHidden/>
              </w:rPr>
              <w:instrText xml:space="preserve"> PAGEREF _Toc223104821 \h </w:instrText>
            </w:r>
            <w:r>
              <w:rPr>
                <w:noProof/>
                <w:webHidden/>
              </w:rPr>
            </w:r>
            <w:r>
              <w:rPr>
                <w:noProof/>
                <w:webHidden/>
              </w:rPr>
              <w:fldChar w:fldCharType="separate"/>
            </w:r>
            <w:r w:rsidR="00CB5C15">
              <w:rPr>
                <w:noProof/>
                <w:webHidden/>
              </w:rPr>
              <w:t>5</w:t>
            </w:r>
            <w:r>
              <w:rPr>
                <w:noProof/>
                <w:webHidden/>
              </w:rPr>
              <w:fldChar w:fldCharType="end"/>
            </w:r>
          </w:hyperlink>
        </w:p>
        <w:p w14:paraId="6486D286" w14:textId="6CC28B8F" w:rsidR="00D67950" w:rsidRDefault="00D67950">
          <w:pPr>
            <w:pStyle w:val="TOC3"/>
            <w:rPr>
              <w:rFonts w:asciiTheme="minorHAnsi" w:eastAsiaTheme="minorEastAsia" w:hAnsiTheme="minorHAnsi" w:cstheme="minorBidi"/>
              <w:noProof/>
              <w:color w:val="auto"/>
              <w:kern w:val="2"/>
              <w:sz w:val="24"/>
              <w:szCs w:val="24"/>
              <w14:ligatures w14:val="standardContextual"/>
            </w:rPr>
          </w:pPr>
          <w:hyperlink w:anchor="_Toc223104822" w:history="1">
            <w:r w:rsidRPr="000E582C">
              <w:rPr>
                <w:rStyle w:val="Hyperlink"/>
                <w:noProof/>
                <w:lang w:val="en-IE"/>
              </w:rPr>
              <w:t>1.1.6</w:t>
            </w:r>
            <w:r>
              <w:rPr>
                <w:rFonts w:asciiTheme="minorHAnsi" w:eastAsiaTheme="minorEastAsia" w:hAnsiTheme="minorHAnsi" w:cstheme="minorBidi"/>
                <w:noProof/>
                <w:color w:val="auto"/>
                <w:kern w:val="2"/>
                <w:sz w:val="24"/>
                <w:szCs w:val="24"/>
                <w14:ligatures w14:val="standardContextual"/>
              </w:rPr>
              <w:tab/>
            </w:r>
            <w:r w:rsidRPr="000E582C">
              <w:rPr>
                <w:rStyle w:val="Hyperlink"/>
                <w:noProof/>
                <w:lang w:val="en-IE"/>
              </w:rPr>
              <w:t>Objectives and use of the testing &amp; calibration phase</w:t>
            </w:r>
            <w:r>
              <w:rPr>
                <w:noProof/>
                <w:webHidden/>
              </w:rPr>
              <w:tab/>
            </w:r>
            <w:r>
              <w:rPr>
                <w:noProof/>
                <w:webHidden/>
              </w:rPr>
              <w:fldChar w:fldCharType="begin"/>
            </w:r>
            <w:r>
              <w:rPr>
                <w:noProof/>
                <w:webHidden/>
              </w:rPr>
              <w:instrText xml:space="preserve"> PAGEREF _Toc223104822 \h </w:instrText>
            </w:r>
            <w:r>
              <w:rPr>
                <w:noProof/>
                <w:webHidden/>
              </w:rPr>
            </w:r>
            <w:r>
              <w:rPr>
                <w:noProof/>
                <w:webHidden/>
              </w:rPr>
              <w:fldChar w:fldCharType="separate"/>
            </w:r>
            <w:r w:rsidR="00CB5C15">
              <w:rPr>
                <w:noProof/>
                <w:webHidden/>
              </w:rPr>
              <w:t>6</w:t>
            </w:r>
            <w:r>
              <w:rPr>
                <w:noProof/>
                <w:webHidden/>
              </w:rPr>
              <w:fldChar w:fldCharType="end"/>
            </w:r>
          </w:hyperlink>
        </w:p>
        <w:p w14:paraId="23473DEA" w14:textId="4A75434D" w:rsidR="00D67950" w:rsidRDefault="00D67950">
          <w:pPr>
            <w:pStyle w:val="TOC3"/>
            <w:rPr>
              <w:rFonts w:asciiTheme="minorHAnsi" w:eastAsiaTheme="minorEastAsia" w:hAnsiTheme="minorHAnsi" w:cstheme="minorBidi"/>
              <w:noProof/>
              <w:color w:val="auto"/>
              <w:kern w:val="2"/>
              <w:sz w:val="24"/>
              <w:szCs w:val="24"/>
              <w14:ligatures w14:val="standardContextual"/>
            </w:rPr>
          </w:pPr>
          <w:hyperlink w:anchor="_Toc223104827" w:history="1">
            <w:r w:rsidRPr="000E582C">
              <w:rPr>
                <w:rStyle w:val="Hyperlink"/>
                <w:noProof/>
                <w:lang w:val="en-IE"/>
              </w:rPr>
              <w:t>1.1.7</w:t>
            </w:r>
            <w:r>
              <w:rPr>
                <w:rFonts w:asciiTheme="minorHAnsi" w:eastAsiaTheme="minorEastAsia" w:hAnsiTheme="minorHAnsi" w:cstheme="minorBidi"/>
                <w:noProof/>
                <w:color w:val="auto"/>
                <w:kern w:val="2"/>
                <w:sz w:val="24"/>
                <w:szCs w:val="24"/>
                <w14:ligatures w14:val="standardContextual"/>
              </w:rPr>
              <w:tab/>
            </w:r>
            <w:r w:rsidRPr="000E582C">
              <w:rPr>
                <w:rStyle w:val="Hyperlink"/>
                <w:noProof/>
                <w:lang w:val="en-IE"/>
              </w:rPr>
              <w:t>Abbreviations</w:t>
            </w:r>
            <w:r>
              <w:rPr>
                <w:noProof/>
                <w:webHidden/>
              </w:rPr>
              <w:tab/>
            </w:r>
            <w:r>
              <w:rPr>
                <w:noProof/>
                <w:webHidden/>
              </w:rPr>
              <w:fldChar w:fldCharType="begin"/>
            </w:r>
            <w:r>
              <w:rPr>
                <w:noProof/>
                <w:webHidden/>
              </w:rPr>
              <w:instrText xml:space="preserve"> PAGEREF _Toc223104827 \h </w:instrText>
            </w:r>
            <w:r>
              <w:rPr>
                <w:noProof/>
                <w:webHidden/>
              </w:rPr>
            </w:r>
            <w:r>
              <w:rPr>
                <w:noProof/>
                <w:webHidden/>
              </w:rPr>
              <w:fldChar w:fldCharType="separate"/>
            </w:r>
            <w:r w:rsidR="00CB5C15">
              <w:rPr>
                <w:noProof/>
                <w:webHidden/>
              </w:rPr>
              <w:t>7</w:t>
            </w:r>
            <w:r>
              <w:rPr>
                <w:noProof/>
                <w:webHidden/>
              </w:rPr>
              <w:fldChar w:fldCharType="end"/>
            </w:r>
          </w:hyperlink>
        </w:p>
        <w:p w14:paraId="7F1F0EAC" w14:textId="16FD9257" w:rsidR="00D67950" w:rsidRDefault="00D67950">
          <w:pPr>
            <w:pStyle w:val="TOC2"/>
            <w:rPr>
              <w:rFonts w:asciiTheme="minorHAnsi" w:eastAsiaTheme="minorEastAsia" w:hAnsiTheme="minorHAnsi" w:cstheme="minorBidi"/>
              <w:color w:val="auto"/>
              <w:kern w:val="2"/>
              <w:sz w:val="24"/>
              <w:szCs w:val="24"/>
              <w14:ligatures w14:val="standardContextual"/>
            </w:rPr>
          </w:pPr>
          <w:hyperlink w:anchor="_Toc223104828" w:history="1">
            <w:r w:rsidRPr="000E582C">
              <w:rPr>
                <w:rStyle w:val="Hyperlink"/>
              </w:rPr>
              <w:t>SECTION 0: Cover Page</w:t>
            </w:r>
            <w:r>
              <w:rPr>
                <w:webHidden/>
              </w:rPr>
              <w:tab/>
            </w:r>
            <w:r>
              <w:rPr>
                <w:webHidden/>
              </w:rPr>
              <w:fldChar w:fldCharType="begin"/>
            </w:r>
            <w:r>
              <w:rPr>
                <w:webHidden/>
              </w:rPr>
              <w:instrText xml:space="preserve"> PAGEREF _Toc223104828 \h </w:instrText>
            </w:r>
            <w:r>
              <w:rPr>
                <w:webHidden/>
              </w:rPr>
            </w:r>
            <w:r>
              <w:rPr>
                <w:webHidden/>
              </w:rPr>
              <w:fldChar w:fldCharType="separate"/>
            </w:r>
            <w:r w:rsidR="00CB5C15">
              <w:rPr>
                <w:webHidden/>
              </w:rPr>
              <w:t>8</w:t>
            </w:r>
            <w:r>
              <w:rPr>
                <w:webHidden/>
              </w:rPr>
              <w:fldChar w:fldCharType="end"/>
            </w:r>
          </w:hyperlink>
        </w:p>
        <w:p w14:paraId="6582E66D" w14:textId="789ADCCB" w:rsidR="00D67950" w:rsidRDefault="00D67950">
          <w:pPr>
            <w:pStyle w:val="TOC2"/>
            <w:rPr>
              <w:rFonts w:asciiTheme="minorHAnsi" w:eastAsiaTheme="minorEastAsia" w:hAnsiTheme="minorHAnsi" w:cstheme="minorBidi"/>
              <w:color w:val="auto"/>
              <w:kern w:val="2"/>
              <w:sz w:val="24"/>
              <w:szCs w:val="24"/>
              <w14:ligatures w14:val="standardContextual"/>
            </w:rPr>
          </w:pPr>
          <w:hyperlink w:anchor="_Toc223104829" w:history="1">
            <w:r w:rsidRPr="000E582C">
              <w:rPr>
                <w:rStyle w:val="Hyperlink"/>
                <w:lang w:val="en-GB"/>
              </w:rPr>
              <w:t>AML.01.01 Basic Information</w:t>
            </w:r>
            <w:r>
              <w:rPr>
                <w:webHidden/>
              </w:rPr>
              <w:tab/>
            </w:r>
            <w:r>
              <w:rPr>
                <w:webHidden/>
              </w:rPr>
              <w:fldChar w:fldCharType="begin"/>
            </w:r>
            <w:r>
              <w:rPr>
                <w:webHidden/>
              </w:rPr>
              <w:instrText xml:space="preserve"> PAGEREF _Toc223104829 \h </w:instrText>
            </w:r>
            <w:r>
              <w:rPr>
                <w:webHidden/>
              </w:rPr>
            </w:r>
            <w:r>
              <w:rPr>
                <w:webHidden/>
              </w:rPr>
              <w:fldChar w:fldCharType="separate"/>
            </w:r>
            <w:r w:rsidR="00CB5C15">
              <w:rPr>
                <w:webHidden/>
              </w:rPr>
              <w:t>8</w:t>
            </w:r>
            <w:r>
              <w:rPr>
                <w:webHidden/>
              </w:rPr>
              <w:fldChar w:fldCharType="end"/>
            </w:r>
          </w:hyperlink>
        </w:p>
        <w:p w14:paraId="69CECCDF" w14:textId="14EA61E4" w:rsidR="00D67950" w:rsidRDefault="00D67950">
          <w:pPr>
            <w:pStyle w:val="TOC2"/>
            <w:rPr>
              <w:rFonts w:asciiTheme="minorHAnsi" w:eastAsiaTheme="minorEastAsia" w:hAnsiTheme="minorHAnsi" w:cstheme="minorBidi"/>
              <w:color w:val="auto"/>
              <w:kern w:val="2"/>
              <w:sz w:val="24"/>
              <w:szCs w:val="24"/>
              <w14:ligatures w14:val="standardContextual"/>
            </w:rPr>
          </w:pPr>
          <w:hyperlink w:anchor="_Toc223104830" w:history="1">
            <w:r w:rsidRPr="000E582C">
              <w:rPr>
                <w:rStyle w:val="Hyperlink"/>
                <w:lang w:val="en-GB"/>
              </w:rPr>
              <w:t>AML.01.02 Comments</w:t>
            </w:r>
            <w:r>
              <w:rPr>
                <w:webHidden/>
              </w:rPr>
              <w:tab/>
            </w:r>
            <w:r>
              <w:rPr>
                <w:webHidden/>
              </w:rPr>
              <w:fldChar w:fldCharType="begin"/>
            </w:r>
            <w:r>
              <w:rPr>
                <w:webHidden/>
              </w:rPr>
              <w:instrText xml:space="preserve"> PAGEREF _Toc223104830 \h </w:instrText>
            </w:r>
            <w:r>
              <w:rPr>
                <w:webHidden/>
              </w:rPr>
            </w:r>
            <w:r>
              <w:rPr>
                <w:webHidden/>
              </w:rPr>
              <w:fldChar w:fldCharType="separate"/>
            </w:r>
            <w:r w:rsidR="00CB5C15">
              <w:rPr>
                <w:webHidden/>
              </w:rPr>
              <w:t>12</w:t>
            </w:r>
            <w:r>
              <w:rPr>
                <w:webHidden/>
              </w:rPr>
              <w:fldChar w:fldCharType="end"/>
            </w:r>
          </w:hyperlink>
        </w:p>
        <w:p w14:paraId="3D9668B8" w14:textId="45D2E434" w:rsidR="00D67950" w:rsidRDefault="00D67950">
          <w:pPr>
            <w:pStyle w:val="TOC2"/>
            <w:rPr>
              <w:rFonts w:asciiTheme="minorHAnsi" w:eastAsiaTheme="minorEastAsia" w:hAnsiTheme="minorHAnsi" w:cstheme="minorBidi"/>
              <w:color w:val="auto"/>
              <w:kern w:val="2"/>
              <w:sz w:val="24"/>
              <w:szCs w:val="24"/>
              <w14:ligatures w14:val="standardContextual"/>
            </w:rPr>
          </w:pPr>
          <w:hyperlink w:anchor="_Toc223104831" w:history="1">
            <w:r w:rsidRPr="000E582C">
              <w:rPr>
                <w:rStyle w:val="Hyperlink"/>
              </w:rPr>
              <w:t>SECTION A: AML/CFT INHERENT RISK DATA POINTS</w:t>
            </w:r>
            <w:r>
              <w:rPr>
                <w:webHidden/>
              </w:rPr>
              <w:tab/>
            </w:r>
            <w:r>
              <w:rPr>
                <w:webHidden/>
              </w:rPr>
              <w:fldChar w:fldCharType="begin"/>
            </w:r>
            <w:r>
              <w:rPr>
                <w:webHidden/>
              </w:rPr>
              <w:instrText xml:space="preserve"> PAGEREF _Toc223104831 \h </w:instrText>
            </w:r>
            <w:r>
              <w:rPr>
                <w:webHidden/>
              </w:rPr>
            </w:r>
            <w:r>
              <w:rPr>
                <w:webHidden/>
              </w:rPr>
              <w:fldChar w:fldCharType="separate"/>
            </w:r>
            <w:r w:rsidR="00CB5C15">
              <w:rPr>
                <w:webHidden/>
              </w:rPr>
              <w:t>14</w:t>
            </w:r>
            <w:r>
              <w:rPr>
                <w:webHidden/>
              </w:rPr>
              <w:fldChar w:fldCharType="end"/>
            </w:r>
          </w:hyperlink>
        </w:p>
        <w:p w14:paraId="4E3C2F4A" w14:textId="24F49812" w:rsidR="00D67950" w:rsidRDefault="00D67950">
          <w:pPr>
            <w:pStyle w:val="TOC2"/>
            <w:rPr>
              <w:rFonts w:asciiTheme="minorHAnsi" w:eastAsiaTheme="minorEastAsia" w:hAnsiTheme="minorHAnsi" w:cstheme="minorBidi"/>
              <w:color w:val="auto"/>
              <w:kern w:val="2"/>
              <w:sz w:val="24"/>
              <w:szCs w:val="24"/>
              <w14:ligatures w14:val="standardContextual"/>
            </w:rPr>
          </w:pPr>
          <w:hyperlink w:anchor="_Toc223104832" w:history="1">
            <w:r w:rsidRPr="000E582C">
              <w:rPr>
                <w:rStyle w:val="Hyperlink"/>
                <w:lang w:val="en-GB"/>
              </w:rPr>
              <w:t>1.2</w:t>
            </w:r>
            <w:r>
              <w:rPr>
                <w:rFonts w:asciiTheme="minorHAnsi" w:eastAsiaTheme="minorEastAsia" w:hAnsiTheme="minorHAnsi" w:cstheme="minorBidi"/>
                <w:color w:val="auto"/>
                <w:kern w:val="2"/>
                <w:sz w:val="24"/>
                <w:szCs w:val="24"/>
                <w14:ligatures w14:val="standardContextual"/>
              </w:rPr>
              <w:tab/>
            </w:r>
            <w:r w:rsidRPr="000E582C">
              <w:rPr>
                <w:rStyle w:val="Hyperlink"/>
                <w:lang w:val="en-GB"/>
              </w:rPr>
              <w:t>AML.02.01 Customers Template Instructions</w:t>
            </w:r>
            <w:r>
              <w:rPr>
                <w:webHidden/>
              </w:rPr>
              <w:tab/>
            </w:r>
            <w:r>
              <w:rPr>
                <w:webHidden/>
              </w:rPr>
              <w:fldChar w:fldCharType="begin"/>
            </w:r>
            <w:r>
              <w:rPr>
                <w:webHidden/>
              </w:rPr>
              <w:instrText xml:space="preserve"> PAGEREF _Toc223104832 \h </w:instrText>
            </w:r>
            <w:r>
              <w:rPr>
                <w:webHidden/>
              </w:rPr>
            </w:r>
            <w:r>
              <w:rPr>
                <w:webHidden/>
              </w:rPr>
              <w:fldChar w:fldCharType="separate"/>
            </w:r>
            <w:r w:rsidR="00CB5C15">
              <w:rPr>
                <w:webHidden/>
              </w:rPr>
              <w:t>14</w:t>
            </w:r>
            <w:r>
              <w:rPr>
                <w:webHidden/>
              </w:rPr>
              <w:fldChar w:fldCharType="end"/>
            </w:r>
          </w:hyperlink>
        </w:p>
        <w:p w14:paraId="75EEF88E" w14:textId="3B90B428" w:rsidR="00D67950" w:rsidRDefault="00D67950">
          <w:pPr>
            <w:pStyle w:val="TOC2"/>
            <w:rPr>
              <w:rFonts w:asciiTheme="minorHAnsi" w:eastAsiaTheme="minorEastAsia" w:hAnsiTheme="minorHAnsi" w:cstheme="minorBidi"/>
              <w:color w:val="auto"/>
              <w:kern w:val="2"/>
              <w:sz w:val="24"/>
              <w:szCs w:val="24"/>
              <w14:ligatures w14:val="standardContextual"/>
            </w:rPr>
          </w:pPr>
          <w:hyperlink w:anchor="_Toc223104833" w:history="1">
            <w:r w:rsidRPr="000E582C">
              <w:rPr>
                <w:rStyle w:val="Hyperlink"/>
                <w:lang w:val="en-GB"/>
              </w:rPr>
              <w:t>1.3</w:t>
            </w:r>
            <w:r>
              <w:rPr>
                <w:rFonts w:asciiTheme="minorHAnsi" w:eastAsiaTheme="minorEastAsia" w:hAnsiTheme="minorHAnsi" w:cstheme="minorBidi"/>
                <w:color w:val="auto"/>
                <w:kern w:val="2"/>
                <w:sz w:val="24"/>
                <w:szCs w:val="24"/>
                <w14:ligatures w14:val="standardContextual"/>
              </w:rPr>
              <w:tab/>
            </w:r>
            <w:r w:rsidRPr="000E582C">
              <w:rPr>
                <w:rStyle w:val="Hyperlink"/>
                <w:lang w:val="en-GB"/>
              </w:rPr>
              <w:t>Products and Services template instructions</w:t>
            </w:r>
            <w:r>
              <w:rPr>
                <w:webHidden/>
              </w:rPr>
              <w:tab/>
            </w:r>
            <w:r>
              <w:rPr>
                <w:webHidden/>
              </w:rPr>
              <w:fldChar w:fldCharType="begin"/>
            </w:r>
            <w:r>
              <w:rPr>
                <w:webHidden/>
              </w:rPr>
              <w:instrText xml:space="preserve"> PAGEREF _Toc223104833 \h </w:instrText>
            </w:r>
            <w:r>
              <w:rPr>
                <w:webHidden/>
              </w:rPr>
            </w:r>
            <w:r>
              <w:rPr>
                <w:webHidden/>
              </w:rPr>
              <w:fldChar w:fldCharType="separate"/>
            </w:r>
            <w:r w:rsidR="00CB5C15">
              <w:rPr>
                <w:webHidden/>
              </w:rPr>
              <w:t>19</w:t>
            </w:r>
            <w:r>
              <w:rPr>
                <w:webHidden/>
              </w:rPr>
              <w:fldChar w:fldCharType="end"/>
            </w:r>
          </w:hyperlink>
        </w:p>
        <w:p w14:paraId="6BC25525" w14:textId="22179F1A" w:rsidR="00D67950" w:rsidRDefault="00D67950">
          <w:pPr>
            <w:pStyle w:val="TOC3"/>
            <w:rPr>
              <w:rFonts w:asciiTheme="minorHAnsi" w:eastAsiaTheme="minorEastAsia" w:hAnsiTheme="minorHAnsi" w:cstheme="minorBidi"/>
              <w:noProof/>
              <w:color w:val="auto"/>
              <w:kern w:val="2"/>
              <w:sz w:val="24"/>
              <w:szCs w:val="24"/>
              <w14:ligatures w14:val="standardContextual"/>
            </w:rPr>
          </w:pPr>
          <w:hyperlink w:anchor="_Toc223104834" w:history="1">
            <w:r w:rsidRPr="000E582C">
              <w:rPr>
                <w:rStyle w:val="Hyperlink"/>
                <w:noProof/>
                <w:lang w:val="en-GB"/>
              </w:rPr>
              <w:t>1.3.1</w:t>
            </w:r>
            <w:r>
              <w:rPr>
                <w:rFonts w:asciiTheme="minorHAnsi" w:eastAsiaTheme="minorEastAsia" w:hAnsiTheme="minorHAnsi" w:cstheme="minorBidi"/>
                <w:noProof/>
                <w:color w:val="auto"/>
                <w:kern w:val="2"/>
                <w:sz w:val="24"/>
                <w:szCs w:val="24"/>
                <w14:ligatures w14:val="standardContextual"/>
              </w:rPr>
              <w:tab/>
            </w:r>
            <w:r w:rsidRPr="000E582C">
              <w:rPr>
                <w:rStyle w:val="Hyperlink"/>
                <w:noProof/>
                <w:lang w:val="en-GB"/>
              </w:rPr>
              <w:t>AML.03.01 Payment Accounts</w:t>
            </w:r>
            <w:r>
              <w:rPr>
                <w:noProof/>
                <w:webHidden/>
              </w:rPr>
              <w:tab/>
            </w:r>
            <w:r>
              <w:rPr>
                <w:noProof/>
                <w:webHidden/>
              </w:rPr>
              <w:fldChar w:fldCharType="begin"/>
            </w:r>
            <w:r>
              <w:rPr>
                <w:noProof/>
                <w:webHidden/>
              </w:rPr>
              <w:instrText xml:space="preserve"> PAGEREF _Toc223104834 \h </w:instrText>
            </w:r>
            <w:r>
              <w:rPr>
                <w:noProof/>
                <w:webHidden/>
              </w:rPr>
            </w:r>
            <w:r>
              <w:rPr>
                <w:noProof/>
                <w:webHidden/>
              </w:rPr>
              <w:fldChar w:fldCharType="separate"/>
            </w:r>
            <w:r w:rsidR="00CB5C15">
              <w:rPr>
                <w:noProof/>
                <w:webHidden/>
              </w:rPr>
              <w:t>20</w:t>
            </w:r>
            <w:r>
              <w:rPr>
                <w:noProof/>
                <w:webHidden/>
              </w:rPr>
              <w:fldChar w:fldCharType="end"/>
            </w:r>
          </w:hyperlink>
        </w:p>
        <w:p w14:paraId="19496C7F" w14:textId="3D1DB9C0" w:rsidR="00D67950" w:rsidRDefault="00D67950">
          <w:pPr>
            <w:pStyle w:val="TOC3"/>
            <w:rPr>
              <w:rFonts w:asciiTheme="minorHAnsi" w:eastAsiaTheme="minorEastAsia" w:hAnsiTheme="minorHAnsi" w:cstheme="minorBidi"/>
              <w:noProof/>
              <w:color w:val="auto"/>
              <w:kern w:val="2"/>
              <w:sz w:val="24"/>
              <w:szCs w:val="24"/>
              <w14:ligatures w14:val="standardContextual"/>
            </w:rPr>
          </w:pPr>
          <w:hyperlink w:anchor="_Toc223104835" w:history="1">
            <w:r w:rsidRPr="000E582C">
              <w:rPr>
                <w:rStyle w:val="Hyperlink"/>
                <w:noProof/>
                <w:lang w:val="en-GB"/>
              </w:rPr>
              <w:t>1.3.2</w:t>
            </w:r>
            <w:r>
              <w:rPr>
                <w:rFonts w:asciiTheme="minorHAnsi" w:eastAsiaTheme="minorEastAsia" w:hAnsiTheme="minorHAnsi" w:cstheme="minorBidi"/>
                <w:noProof/>
                <w:color w:val="auto"/>
                <w:kern w:val="2"/>
                <w:sz w:val="24"/>
                <w:szCs w:val="24"/>
                <w14:ligatures w14:val="standardContextual"/>
              </w:rPr>
              <w:tab/>
            </w:r>
            <w:r w:rsidRPr="000E582C">
              <w:rPr>
                <w:rStyle w:val="Hyperlink"/>
                <w:noProof/>
                <w:lang w:val="en-GB"/>
              </w:rPr>
              <w:t>AML.03.02 Virtual IBANs</w:t>
            </w:r>
            <w:r>
              <w:rPr>
                <w:noProof/>
                <w:webHidden/>
              </w:rPr>
              <w:tab/>
            </w:r>
            <w:r>
              <w:rPr>
                <w:noProof/>
                <w:webHidden/>
              </w:rPr>
              <w:fldChar w:fldCharType="begin"/>
            </w:r>
            <w:r>
              <w:rPr>
                <w:noProof/>
                <w:webHidden/>
              </w:rPr>
              <w:instrText xml:space="preserve"> PAGEREF _Toc223104835 \h </w:instrText>
            </w:r>
            <w:r>
              <w:rPr>
                <w:noProof/>
                <w:webHidden/>
              </w:rPr>
            </w:r>
            <w:r>
              <w:rPr>
                <w:noProof/>
                <w:webHidden/>
              </w:rPr>
              <w:fldChar w:fldCharType="separate"/>
            </w:r>
            <w:r w:rsidR="00CB5C15">
              <w:rPr>
                <w:noProof/>
                <w:webHidden/>
              </w:rPr>
              <w:t>22</w:t>
            </w:r>
            <w:r>
              <w:rPr>
                <w:noProof/>
                <w:webHidden/>
              </w:rPr>
              <w:fldChar w:fldCharType="end"/>
            </w:r>
          </w:hyperlink>
        </w:p>
        <w:p w14:paraId="30D407F3" w14:textId="1C7F6E41" w:rsidR="00D67950" w:rsidRDefault="00D67950">
          <w:pPr>
            <w:pStyle w:val="TOC3"/>
            <w:rPr>
              <w:rFonts w:asciiTheme="minorHAnsi" w:eastAsiaTheme="minorEastAsia" w:hAnsiTheme="minorHAnsi" w:cstheme="minorBidi"/>
              <w:noProof/>
              <w:color w:val="auto"/>
              <w:kern w:val="2"/>
              <w:sz w:val="24"/>
              <w:szCs w:val="24"/>
              <w14:ligatures w14:val="standardContextual"/>
            </w:rPr>
          </w:pPr>
          <w:hyperlink w:anchor="_Toc223104836" w:history="1">
            <w:r w:rsidRPr="000E582C">
              <w:rPr>
                <w:rStyle w:val="Hyperlink"/>
                <w:noProof/>
                <w:lang w:val="en-GB"/>
              </w:rPr>
              <w:t>1.3.3</w:t>
            </w:r>
            <w:r>
              <w:rPr>
                <w:rFonts w:asciiTheme="minorHAnsi" w:eastAsiaTheme="minorEastAsia" w:hAnsiTheme="minorHAnsi" w:cstheme="minorBidi"/>
                <w:noProof/>
                <w:color w:val="auto"/>
                <w:kern w:val="2"/>
                <w:sz w:val="24"/>
                <w:szCs w:val="24"/>
                <w14:ligatures w14:val="standardContextual"/>
              </w:rPr>
              <w:tab/>
            </w:r>
            <w:r w:rsidRPr="000E582C">
              <w:rPr>
                <w:rStyle w:val="Hyperlink"/>
                <w:noProof/>
                <w:lang w:val="en-GB"/>
              </w:rPr>
              <w:t>AML.03.03 Prepaid Cards</w:t>
            </w:r>
            <w:r>
              <w:rPr>
                <w:noProof/>
                <w:webHidden/>
              </w:rPr>
              <w:tab/>
            </w:r>
            <w:r>
              <w:rPr>
                <w:noProof/>
                <w:webHidden/>
              </w:rPr>
              <w:fldChar w:fldCharType="begin"/>
            </w:r>
            <w:r>
              <w:rPr>
                <w:noProof/>
                <w:webHidden/>
              </w:rPr>
              <w:instrText xml:space="preserve"> PAGEREF _Toc223104836 \h </w:instrText>
            </w:r>
            <w:r>
              <w:rPr>
                <w:noProof/>
                <w:webHidden/>
              </w:rPr>
            </w:r>
            <w:r>
              <w:rPr>
                <w:noProof/>
                <w:webHidden/>
              </w:rPr>
              <w:fldChar w:fldCharType="separate"/>
            </w:r>
            <w:r w:rsidR="00CB5C15">
              <w:rPr>
                <w:noProof/>
                <w:webHidden/>
              </w:rPr>
              <w:t>23</w:t>
            </w:r>
            <w:r>
              <w:rPr>
                <w:noProof/>
                <w:webHidden/>
              </w:rPr>
              <w:fldChar w:fldCharType="end"/>
            </w:r>
          </w:hyperlink>
        </w:p>
        <w:p w14:paraId="5141B783" w14:textId="4DE76787" w:rsidR="00D67950" w:rsidRDefault="00D67950">
          <w:pPr>
            <w:pStyle w:val="TOC3"/>
            <w:rPr>
              <w:rFonts w:asciiTheme="minorHAnsi" w:eastAsiaTheme="minorEastAsia" w:hAnsiTheme="minorHAnsi" w:cstheme="minorBidi"/>
              <w:noProof/>
              <w:color w:val="auto"/>
              <w:kern w:val="2"/>
              <w:sz w:val="24"/>
              <w:szCs w:val="24"/>
              <w14:ligatures w14:val="standardContextual"/>
            </w:rPr>
          </w:pPr>
          <w:hyperlink w:anchor="_Toc223104837" w:history="1">
            <w:r w:rsidRPr="000E582C">
              <w:rPr>
                <w:rStyle w:val="Hyperlink"/>
                <w:noProof/>
                <w:lang w:val="en-GB"/>
              </w:rPr>
              <w:t>1.3.4</w:t>
            </w:r>
            <w:r>
              <w:rPr>
                <w:rFonts w:asciiTheme="minorHAnsi" w:eastAsiaTheme="minorEastAsia" w:hAnsiTheme="minorHAnsi" w:cstheme="minorBidi"/>
                <w:noProof/>
                <w:color w:val="auto"/>
                <w:kern w:val="2"/>
                <w:sz w:val="24"/>
                <w:szCs w:val="24"/>
                <w14:ligatures w14:val="standardContextual"/>
              </w:rPr>
              <w:tab/>
            </w:r>
            <w:r w:rsidRPr="000E582C">
              <w:rPr>
                <w:rStyle w:val="Hyperlink"/>
                <w:noProof/>
                <w:lang w:val="en-GB"/>
              </w:rPr>
              <w:t>AML.03.04 Lending and Factoring</w:t>
            </w:r>
            <w:r>
              <w:rPr>
                <w:noProof/>
                <w:webHidden/>
              </w:rPr>
              <w:tab/>
            </w:r>
            <w:r>
              <w:rPr>
                <w:noProof/>
                <w:webHidden/>
              </w:rPr>
              <w:fldChar w:fldCharType="begin"/>
            </w:r>
            <w:r>
              <w:rPr>
                <w:noProof/>
                <w:webHidden/>
              </w:rPr>
              <w:instrText xml:space="preserve"> PAGEREF _Toc223104837 \h </w:instrText>
            </w:r>
            <w:r>
              <w:rPr>
                <w:noProof/>
                <w:webHidden/>
              </w:rPr>
            </w:r>
            <w:r>
              <w:rPr>
                <w:noProof/>
                <w:webHidden/>
              </w:rPr>
              <w:fldChar w:fldCharType="separate"/>
            </w:r>
            <w:r w:rsidR="00CB5C15">
              <w:rPr>
                <w:noProof/>
                <w:webHidden/>
              </w:rPr>
              <w:t>24</w:t>
            </w:r>
            <w:r>
              <w:rPr>
                <w:noProof/>
                <w:webHidden/>
              </w:rPr>
              <w:fldChar w:fldCharType="end"/>
            </w:r>
          </w:hyperlink>
        </w:p>
        <w:p w14:paraId="612A0C4E" w14:textId="388162D0" w:rsidR="00D67950" w:rsidRDefault="00D67950">
          <w:pPr>
            <w:pStyle w:val="TOC3"/>
            <w:rPr>
              <w:rFonts w:asciiTheme="minorHAnsi" w:eastAsiaTheme="minorEastAsia" w:hAnsiTheme="minorHAnsi" w:cstheme="minorBidi"/>
              <w:noProof/>
              <w:color w:val="auto"/>
              <w:kern w:val="2"/>
              <w:sz w:val="24"/>
              <w:szCs w:val="24"/>
              <w14:ligatures w14:val="standardContextual"/>
            </w:rPr>
          </w:pPr>
          <w:hyperlink w:anchor="_Toc223104838" w:history="1">
            <w:r w:rsidRPr="000E582C">
              <w:rPr>
                <w:rStyle w:val="Hyperlink"/>
                <w:noProof/>
                <w:lang w:val="en-GB"/>
              </w:rPr>
              <w:t>1.3.5</w:t>
            </w:r>
            <w:r>
              <w:rPr>
                <w:rFonts w:asciiTheme="minorHAnsi" w:eastAsiaTheme="minorEastAsia" w:hAnsiTheme="minorHAnsi" w:cstheme="minorBidi"/>
                <w:noProof/>
                <w:color w:val="auto"/>
                <w:kern w:val="2"/>
                <w:sz w:val="24"/>
                <w:szCs w:val="24"/>
                <w14:ligatures w14:val="standardContextual"/>
              </w:rPr>
              <w:tab/>
            </w:r>
            <w:r w:rsidRPr="000E582C">
              <w:rPr>
                <w:rStyle w:val="Hyperlink"/>
                <w:noProof/>
                <w:lang w:val="en-GB"/>
              </w:rPr>
              <w:t>AML.03.05 Life Insurance Contracts</w:t>
            </w:r>
            <w:r>
              <w:rPr>
                <w:noProof/>
                <w:webHidden/>
              </w:rPr>
              <w:tab/>
            </w:r>
            <w:r>
              <w:rPr>
                <w:noProof/>
                <w:webHidden/>
              </w:rPr>
              <w:fldChar w:fldCharType="begin"/>
            </w:r>
            <w:r>
              <w:rPr>
                <w:noProof/>
                <w:webHidden/>
              </w:rPr>
              <w:instrText xml:space="preserve"> PAGEREF _Toc223104838 \h </w:instrText>
            </w:r>
            <w:r>
              <w:rPr>
                <w:noProof/>
                <w:webHidden/>
              </w:rPr>
            </w:r>
            <w:r>
              <w:rPr>
                <w:noProof/>
                <w:webHidden/>
              </w:rPr>
              <w:fldChar w:fldCharType="separate"/>
            </w:r>
            <w:r w:rsidR="00CB5C15">
              <w:rPr>
                <w:noProof/>
                <w:webHidden/>
              </w:rPr>
              <w:t>27</w:t>
            </w:r>
            <w:r>
              <w:rPr>
                <w:noProof/>
                <w:webHidden/>
              </w:rPr>
              <w:fldChar w:fldCharType="end"/>
            </w:r>
          </w:hyperlink>
        </w:p>
        <w:p w14:paraId="252705DF" w14:textId="7FCE71DE" w:rsidR="00D67950" w:rsidRDefault="00D67950">
          <w:pPr>
            <w:pStyle w:val="TOC3"/>
            <w:rPr>
              <w:rFonts w:asciiTheme="minorHAnsi" w:eastAsiaTheme="minorEastAsia" w:hAnsiTheme="minorHAnsi" w:cstheme="minorBidi"/>
              <w:noProof/>
              <w:color w:val="auto"/>
              <w:kern w:val="2"/>
              <w:sz w:val="24"/>
              <w:szCs w:val="24"/>
              <w14:ligatures w14:val="standardContextual"/>
            </w:rPr>
          </w:pPr>
          <w:hyperlink w:anchor="_Toc223104839" w:history="1">
            <w:r w:rsidRPr="000E582C">
              <w:rPr>
                <w:rStyle w:val="Hyperlink"/>
                <w:noProof/>
                <w:lang w:val="en-GB"/>
              </w:rPr>
              <w:t>1.3.6</w:t>
            </w:r>
            <w:r>
              <w:rPr>
                <w:rFonts w:asciiTheme="minorHAnsi" w:eastAsiaTheme="minorEastAsia" w:hAnsiTheme="minorHAnsi" w:cstheme="minorBidi"/>
                <w:noProof/>
                <w:color w:val="auto"/>
                <w:kern w:val="2"/>
                <w:sz w:val="24"/>
                <w:szCs w:val="24"/>
                <w14:ligatures w14:val="standardContextual"/>
              </w:rPr>
              <w:tab/>
            </w:r>
            <w:r w:rsidRPr="000E582C">
              <w:rPr>
                <w:rStyle w:val="Hyperlink"/>
                <w:noProof/>
                <w:lang w:val="en-GB"/>
              </w:rPr>
              <w:t>AML.03.06 Currency Exchange (Involving cash)</w:t>
            </w:r>
            <w:r>
              <w:rPr>
                <w:noProof/>
                <w:webHidden/>
              </w:rPr>
              <w:tab/>
            </w:r>
            <w:r>
              <w:rPr>
                <w:noProof/>
                <w:webHidden/>
              </w:rPr>
              <w:fldChar w:fldCharType="begin"/>
            </w:r>
            <w:r>
              <w:rPr>
                <w:noProof/>
                <w:webHidden/>
              </w:rPr>
              <w:instrText xml:space="preserve"> PAGEREF _Toc223104839 \h </w:instrText>
            </w:r>
            <w:r>
              <w:rPr>
                <w:noProof/>
                <w:webHidden/>
              </w:rPr>
            </w:r>
            <w:r>
              <w:rPr>
                <w:noProof/>
                <w:webHidden/>
              </w:rPr>
              <w:fldChar w:fldCharType="separate"/>
            </w:r>
            <w:r w:rsidR="00CB5C15">
              <w:rPr>
                <w:noProof/>
                <w:webHidden/>
              </w:rPr>
              <w:t>28</w:t>
            </w:r>
            <w:r>
              <w:rPr>
                <w:noProof/>
                <w:webHidden/>
              </w:rPr>
              <w:fldChar w:fldCharType="end"/>
            </w:r>
          </w:hyperlink>
        </w:p>
        <w:p w14:paraId="65190750" w14:textId="6AAEE8E8" w:rsidR="00D67950" w:rsidRDefault="00D67950">
          <w:pPr>
            <w:pStyle w:val="TOC3"/>
            <w:rPr>
              <w:rFonts w:asciiTheme="minorHAnsi" w:eastAsiaTheme="minorEastAsia" w:hAnsiTheme="minorHAnsi" w:cstheme="minorBidi"/>
              <w:noProof/>
              <w:color w:val="auto"/>
              <w:kern w:val="2"/>
              <w:sz w:val="24"/>
              <w:szCs w:val="24"/>
              <w14:ligatures w14:val="standardContextual"/>
            </w:rPr>
          </w:pPr>
          <w:hyperlink w:anchor="_Toc223104840" w:history="1">
            <w:r w:rsidRPr="000E582C">
              <w:rPr>
                <w:rStyle w:val="Hyperlink"/>
                <w:noProof/>
                <w:lang w:val="en-GB"/>
              </w:rPr>
              <w:t>1.3.7</w:t>
            </w:r>
            <w:r>
              <w:rPr>
                <w:rFonts w:asciiTheme="minorHAnsi" w:eastAsiaTheme="minorEastAsia" w:hAnsiTheme="minorHAnsi" w:cstheme="minorBidi"/>
                <w:noProof/>
                <w:color w:val="auto"/>
                <w:kern w:val="2"/>
                <w:sz w:val="24"/>
                <w:szCs w:val="24"/>
                <w14:ligatures w14:val="standardContextual"/>
              </w:rPr>
              <w:tab/>
            </w:r>
            <w:r w:rsidRPr="000E582C">
              <w:rPr>
                <w:rStyle w:val="Hyperlink"/>
                <w:noProof/>
                <w:lang w:val="en-GB"/>
              </w:rPr>
              <w:t>AML.04.01 Investment Services and Activities</w:t>
            </w:r>
            <w:r>
              <w:rPr>
                <w:noProof/>
                <w:webHidden/>
              </w:rPr>
              <w:tab/>
            </w:r>
            <w:r>
              <w:rPr>
                <w:noProof/>
                <w:webHidden/>
              </w:rPr>
              <w:fldChar w:fldCharType="begin"/>
            </w:r>
            <w:r>
              <w:rPr>
                <w:noProof/>
                <w:webHidden/>
              </w:rPr>
              <w:instrText xml:space="preserve"> PAGEREF _Toc223104840 \h </w:instrText>
            </w:r>
            <w:r>
              <w:rPr>
                <w:noProof/>
                <w:webHidden/>
              </w:rPr>
            </w:r>
            <w:r>
              <w:rPr>
                <w:noProof/>
                <w:webHidden/>
              </w:rPr>
              <w:fldChar w:fldCharType="separate"/>
            </w:r>
            <w:r w:rsidR="00CB5C15">
              <w:rPr>
                <w:noProof/>
                <w:webHidden/>
              </w:rPr>
              <w:t>30</w:t>
            </w:r>
            <w:r>
              <w:rPr>
                <w:noProof/>
                <w:webHidden/>
              </w:rPr>
              <w:fldChar w:fldCharType="end"/>
            </w:r>
          </w:hyperlink>
        </w:p>
        <w:p w14:paraId="0C3A76F6" w14:textId="0B371060" w:rsidR="00D67950" w:rsidRDefault="00D67950">
          <w:pPr>
            <w:pStyle w:val="TOC3"/>
            <w:rPr>
              <w:rFonts w:asciiTheme="minorHAnsi" w:eastAsiaTheme="minorEastAsia" w:hAnsiTheme="minorHAnsi" w:cstheme="minorBidi"/>
              <w:noProof/>
              <w:color w:val="auto"/>
              <w:kern w:val="2"/>
              <w:sz w:val="24"/>
              <w:szCs w:val="24"/>
              <w14:ligatures w14:val="standardContextual"/>
            </w:rPr>
          </w:pPr>
          <w:hyperlink w:anchor="_Toc223104841" w:history="1">
            <w:r w:rsidRPr="000E582C">
              <w:rPr>
                <w:rStyle w:val="Hyperlink"/>
                <w:noProof/>
                <w:lang w:val="en-GB"/>
              </w:rPr>
              <w:t>Investment Services and Activities – Transmission of orders</w:t>
            </w:r>
            <w:r>
              <w:rPr>
                <w:noProof/>
                <w:webHidden/>
              </w:rPr>
              <w:tab/>
            </w:r>
            <w:r>
              <w:rPr>
                <w:noProof/>
                <w:webHidden/>
              </w:rPr>
              <w:fldChar w:fldCharType="begin"/>
            </w:r>
            <w:r>
              <w:rPr>
                <w:noProof/>
                <w:webHidden/>
              </w:rPr>
              <w:instrText xml:space="preserve"> PAGEREF _Toc223104841 \h </w:instrText>
            </w:r>
            <w:r>
              <w:rPr>
                <w:noProof/>
                <w:webHidden/>
              </w:rPr>
            </w:r>
            <w:r>
              <w:rPr>
                <w:noProof/>
                <w:webHidden/>
              </w:rPr>
              <w:fldChar w:fldCharType="separate"/>
            </w:r>
            <w:r w:rsidR="00CB5C15">
              <w:rPr>
                <w:noProof/>
                <w:webHidden/>
              </w:rPr>
              <w:t>30</w:t>
            </w:r>
            <w:r>
              <w:rPr>
                <w:noProof/>
                <w:webHidden/>
              </w:rPr>
              <w:fldChar w:fldCharType="end"/>
            </w:r>
          </w:hyperlink>
        </w:p>
        <w:p w14:paraId="39F26840" w14:textId="5DB9C272" w:rsidR="00D67950" w:rsidRDefault="00D67950">
          <w:pPr>
            <w:pStyle w:val="TOC3"/>
            <w:rPr>
              <w:rFonts w:asciiTheme="minorHAnsi" w:eastAsiaTheme="minorEastAsia" w:hAnsiTheme="minorHAnsi" w:cstheme="minorBidi"/>
              <w:noProof/>
              <w:color w:val="auto"/>
              <w:kern w:val="2"/>
              <w:sz w:val="24"/>
              <w:szCs w:val="24"/>
              <w14:ligatures w14:val="standardContextual"/>
            </w:rPr>
          </w:pPr>
          <w:hyperlink w:anchor="_Toc223104842" w:history="1">
            <w:r w:rsidRPr="000E582C">
              <w:rPr>
                <w:rStyle w:val="Hyperlink"/>
                <w:noProof/>
                <w:lang w:val="en-GB"/>
              </w:rPr>
              <w:t>Investment Services and Activities - Custody Account Keeping</w:t>
            </w:r>
            <w:r>
              <w:rPr>
                <w:noProof/>
                <w:webHidden/>
              </w:rPr>
              <w:tab/>
            </w:r>
            <w:r>
              <w:rPr>
                <w:noProof/>
                <w:webHidden/>
              </w:rPr>
              <w:fldChar w:fldCharType="begin"/>
            </w:r>
            <w:r>
              <w:rPr>
                <w:noProof/>
                <w:webHidden/>
              </w:rPr>
              <w:instrText xml:space="preserve"> PAGEREF _Toc223104842 \h </w:instrText>
            </w:r>
            <w:r>
              <w:rPr>
                <w:noProof/>
                <w:webHidden/>
              </w:rPr>
            </w:r>
            <w:r>
              <w:rPr>
                <w:noProof/>
                <w:webHidden/>
              </w:rPr>
              <w:fldChar w:fldCharType="separate"/>
            </w:r>
            <w:r w:rsidR="00CB5C15">
              <w:rPr>
                <w:noProof/>
                <w:webHidden/>
              </w:rPr>
              <w:t>31</w:t>
            </w:r>
            <w:r>
              <w:rPr>
                <w:noProof/>
                <w:webHidden/>
              </w:rPr>
              <w:fldChar w:fldCharType="end"/>
            </w:r>
          </w:hyperlink>
        </w:p>
        <w:p w14:paraId="23963186" w14:textId="5FBA51D4" w:rsidR="00D67950" w:rsidRDefault="00D67950">
          <w:pPr>
            <w:pStyle w:val="TOC3"/>
            <w:rPr>
              <w:rFonts w:asciiTheme="minorHAnsi" w:eastAsiaTheme="minorEastAsia" w:hAnsiTheme="minorHAnsi" w:cstheme="minorBidi"/>
              <w:noProof/>
              <w:color w:val="auto"/>
              <w:kern w:val="2"/>
              <w:sz w:val="24"/>
              <w:szCs w:val="24"/>
              <w14:ligatures w14:val="standardContextual"/>
            </w:rPr>
          </w:pPr>
          <w:hyperlink w:anchor="_Toc223104843" w:history="1">
            <w:r w:rsidRPr="000E582C">
              <w:rPr>
                <w:rStyle w:val="Hyperlink"/>
                <w:noProof/>
                <w:lang w:val="en-GB"/>
              </w:rPr>
              <w:t>Investment Services and Activities - Portfolio management</w:t>
            </w:r>
            <w:r>
              <w:rPr>
                <w:noProof/>
                <w:webHidden/>
              </w:rPr>
              <w:tab/>
            </w:r>
            <w:r>
              <w:rPr>
                <w:noProof/>
                <w:webHidden/>
              </w:rPr>
              <w:fldChar w:fldCharType="begin"/>
            </w:r>
            <w:r>
              <w:rPr>
                <w:noProof/>
                <w:webHidden/>
              </w:rPr>
              <w:instrText xml:space="preserve"> PAGEREF _Toc223104843 \h </w:instrText>
            </w:r>
            <w:r>
              <w:rPr>
                <w:noProof/>
                <w:webHidden/>
              </w:rPr>
            </w:r>
            <w:r>
              <w:rPr>
                <w:noProof/>
                <w:webHidden/>
              </w:rPr>
              <w:fldChar w:fldCharType="separate"/>
            </w:r>
            <w:r w:rsidR="00CB5C15">
              <w:rPr>
                <w:noProof/>
                <w:webHidden/>
              </w:rPr>
              <w:t>32</w:t>
            </w:r>
            <w:r>
              <w:rPr>
                <w:noProof/>
                <w:webHidden/>
              </w:rPr>
              <w:fldChar w:fldCharType="end"/>
            </w:r>
          </w:hyperlink>
        </w:p>
        <w:p w14:paraId="53F6A617" w14:textId="3FA005B9" w:rsidR="00D67950" w:rsidRDefault="00D67950">
          <w:pPr>
            <w:pStyle w:val="TOC3"/>
            <w:rPr>
              <w:rFonts w:asciiTheme="minorHAnsi" w:eastAsiaTheme="minorEastAsia" w:hAnsiTheme="minorHAnsi" w:cstheme="minorBidi"/>
              <w:noProof/>
              <w:color w:val="auto"/>
              <w:kern w:val="2"/>
              <w:sz w:val="24"/>
              <w:szCs w:val="24"/>
              <w14:ligatures w14:val="standardContextual"/>
            </w:rPr>
          </w:pPr>
          <w:hyperlink w:anchor="_Toc223104844" w:history="1">
            <w:r w:rsidRPr="000E582C">
              <w:rPr>
                <w:rStyle w:val="Hyperlink"/>
                <w:noProof/>
                <w:lang w:val="en-GB"/>
              </w:rPr>
              <w:t>1.3.8</w:t>
            </w:r>
            <w:r>
              <w:rPr>
                <w:rFonts w:asciiTheme="minorHAnsi" w:eastAsiaTheme="minorEastAsia" w:hAnsiTheme="minorHAnsi" w:cstheme="minorBidi"/>
                <w:noProof/>
                <w:color w:val="auto"/>
                <w:kern w:val="2"/>
                <w:sz w:val="24"/>
                <w:szCs w:val="24"/>
                <w14:ligatures w14:val="standardContextual"/>
              </w:rPr>
              <w:tab/>
            </w:r>
            <w:r w:rsidRPr="000E582C">
              <w:rPr>
                <w:rStyle w:val="Hyperlink"/>
                <w:noProof/>
                <w:lang w:val="en-GB"/>
              </w:rPr>
              <w:t>AML.04.02 Money Remittance</w:t>
            </w:r>
            <w:r>
              <w:rPr>
                <w:noProof/>
                <w:webHidden/>
              </w:rPr>
              <w:tab/>
            </w:r>
            <w:r>
              <w:rPr>
                <w:noProof/>
                <w:webHidden/>
              </w:rPr>
              <w:fldChar w:fldCharType="begin"/>
            </w:r>
            <w:r>
              <w:rPr>
                <w:noProof/>
                <w:webHidden/>
              </w:rPr>
              <w:instrText xml:space="preserve"> PAGEREF _Toc223104844 \h </w:instrText>
            </w:r>
            <w:r>
              <w:rPr>
                <w:noProof/>
                <w:webHidden/>
              </w:rPr>
            </w:r>
            <w:r>
              <w:rPr>
                <w:noProof/>
                <w:webHidden/>
              </w:rPr>
              <w:fldChar w:fldCharType="separate"/>
            </w:r>
            <w:r w:rsidR="00CB5C15">
              <w:rPr>
                <w:noProof/>
                <w:webHidden/>
              </w:rPr>
              <w:t>33</w:t>
            </w:r>
            <w:r>
              <w:rPr>
                <w:noProof/>
                <w:webHidden/>
              </w:rPr>
              <w:fldChar w:fldCharType="end"/>
            </w:r>
          </w:hyperlink>
        </w:p>
        <w:p w14:paraId="384E93FA" w14:textId="514F1967" w:rsidR="00D67950" w:rsidRDefault="00D67950">
          <w:pPr>
            <w:pStyle w:val="TOC3"/>
            <w:rPr>
              <w:rFonts w:asciiTheme="minorHAnsi" w:eastAsiaTheme="minorEastAsia" w:hAnsiTheme="minorHAnsi" w:cstheme="minorBidi"/>
              <w:noProof/>
              <w:color w:val="auto"/>
              <w:kern w:val="2"/>
              <w:sz w:val="24"/>
              <w:szCs w:val="24"/>
              <w14:ligatures w14:val="standardContextual"/>
            </w:rPr>
          </w:pPr>
          <w:hyperlink w:anchor="_Toc223104845" w:history="1">
            <w:r w:rsidRPr="000E582C">
              <w:rPr>
                <w:rStyle w:val="Hyperlink"/>
                <w:noProof/>
                <w:lang w:val="en-GB"/>
              </w:rPr>
              <w:t>1.3.9</w:t>
            </w:r>
            <w:r>
              <w:rPr>
                <w:rFonts w:asciiTheme="minorHAnsi" w:eastAsiaTheme="minorEastAsia" w:hAnsiTheme="minorHAnsi" w:cstheme="minorBidi"/>
                <w:noProof/>
                <w:color w:val="auto"/>
                <w:kern w:val="2"/>
                <w:sz w:val="24"/>
                <w:szCs w:val="24"/>
                <w14:ligatures w14:val="standardContextual"/>
              </w:rPr>
              <w:tab/>
            </w:r>
            <w:r w:rsidRPr="000E582C">
              <w:rPr>
                <w:rStyle w:val="Hyperlink"/>
                <w:noProof/>
                <w:lang w:val="en-GB"/>
              </w:rPr>
              <w:t>AML.04.03 Wealth Management</w:t>
            </w:r>
            <w:r>
              <w:rPr>
                <w:noProof/>
                <w:webHidden/>
              </w:rPr>
              <w:tab/>
            </w:r>
            <w:r>
              <w:rPr>
                <w:noProof/>
                <w:webHidden/>
              </w:rPr>
              <w:fldChar w:fldCharType="begin"/>
            </w:r>
            <w:r>
              <w:rPr>
                <w:noProof/>
                <w:webHidden/>
              </w:rPr>
              <w:instrText xml:space="preserve"> PAGEREF _Toc223104845 \h </w:instrText>
            </w:r>
            <w:r>
              <w:rPr>
                <w:noProof/>
                <w:webHidden/>
              </w:rPr>
            </w:r>
            <w:r>
              <w:rPr>
                <w:noProof/>
                <w:webHidden/>
              </w:rPr>
              <w:fldChar w:fldCharType="separate"/>
            </w:r>
            <w:r w:rsidR="00CB5C15">
              <w:rPr>
                <w:noProof/>
                <w:webHidden/>
              </w:rPr>
              <w:t>34</w:t>
            </w:r>
            <w:r>
              <w:rPr>
                <w:noProof/>
                <w:webHidden/>
              </w:rPr>
              <w:fldChar w:fldCharType="end"/>
            </w:r>
          </w:hyperlink>
        </w:p>
        <w:p w14:paraId="398FAC92" w14:textId="0B699427" w:rsidR="00D67950" w:rsidRDefault="00D67950">
          <w:pPr>
            <w:pStyle w:val="TOC3"/>
            <w:rPr>
              <w:rFonts w:asciiTheme="minorHAnsi" w:eastAsiaTheme="minorEastAsia" w:hAnsiTheme="minorHAnsi" w:cstheme="minorBidi"/>
              <w:noProof/>
              <w:color w:val="auto"/>
              <w:kern w:val="2"/>
              <w:sz w:val="24"/>
              <w:szCs w:val="24"/>
              <w14:ligatures w14:val="standardContextual"/>
            </w:rPr>
          </w:pPr>
          <w:hyperlink w:anchor="_Toc223104846" w:history="1">
            <w:r w:rsidRPr="000E582C">
              <w:rPr>
                <w:rStyle w:val="Hyperlink"/>
                <w:noProof/>
                <w:lang w:val="en-GB"/>
              </w:rPr>
              <w:t>1.3.10</w:t>
            </w:r>
            <w:r>
              <w:rPr>
                <w:rFonts w:asciiTheme="minorHAnsi" w:eastAsiaTheme="minorEastAsia" w:hAnsiTheme="minorHAnsi" w:cstheme="minorBidi"/>
                <w:noProof/>
                <w:color w:val="auto"/>
                <w:kern w:val="2"/>
                <w:sz w:val="24"/>
                <w:szCs w:val="24"/>
                <w14:ligatures w14:val="standardContextual"/>
              </w:rPr>
              <w:tab/>
            </w:r>
            <w:r w:rsidRPr="000E582C">
              <w:rPr>
                <w:rStyle w:val="Hyperlink"/>
                <w:noProof/>
                <w:lang w:val="en-GB"/>
              </w:rPr>
              <w:t>AML.04.04 Correspondent Services</w:t>
            </w:r>
            <w:r>
              <w:rPr>
                <w:noProof/>
                <w:webHidden/>
              </w:rPr>
              <w:tab/>
            </w:r>
            <w:r>
              <w:rPr>
                <w:noProof/>
                <w:webHidden/>
              </w:rPr>
              <w:fldChar w:fldCharType="begin"/>
            </w:r>
            <w:r>
              <w:rPr>
                <w:noProof/>
                <w:webHidden/>
              </w:rPr>
              <w:instrText xml:space="preserve"> PAGEREF _Toc223104846 \h </w:instrText>
            </w:r>
            <w:r>
              <w:rPr>
                <w:noProof/>
                <w:webHidden/>
              </w:rPr>
            </w:r>
            <w:r>
              <w:rPr>
                <w:noProof/>
                <w:webHidden/>
              </w:rPr>
              <w:fldChar w:fldCharType="separate"/>
            </w:r>
            <w:r w:rsidR="00CB5C15">
              <w:rPr>
                <w:noProof/>
                <w:webHidden/>
              </w:rPr>
              <w:t>35</w:t>
            </w:r>
            <w:r>
              <w:rPr>
                <w:noProof/>
                <w:webHidden/>
              </w:rPr>
              <w:fldChar w:fldCharType="end"/>
            </w:r>
          </w:hyperlink>
        </w:p>
        <w:p w14:paraId="57DC3335" w14:textId="0448CEA7" w:rsidR="00D67950" w:rsidRDefault="00D67950">
          <w:pPr>
            <w:pStyle w:val="TOC3"/>
            <w:rPr>
              <w:rFonts w:asciiTheme="minorHAnsi" w:eastAsiaTheme="minorEastAsia" w:hAnsiTheme="minorHAnsi" w:cstheme="minorBidi"/>
              <w:noProof/>
              <w:color w:val="auto"/>
              <w:kern w:val="2"/>
              <w:sz w:val="24"/>
              <w:szCs w:val="24"/>
              <w14:ligatures w14:val="standardContextual"/>
            </w:rPr>
          </w:pPr>
          <w:hyperlink w:anchor="_Toc223104847" w:history="1">
            <w:r w:rsidRPr="000E582C">
              <w:rPr>
                <w:rStyle w:val="Hyperlink"/>
                <w:noProof/>
                <w:lang w:val="en-GB"/>
              </w:rPr>
              <w:t>1.3.11</w:t>
            </w:r>
            <w:r>
              <w:rPr>
                <w:rFonts w:asciiTheme="minorHAnsi" w:eastAsiaTheme="minorEastAsia" w:hAnsiTheme="minorHAnsi" w:cstheme="minorBidi"/>
                <w:noProof/>
                <w:color w:val="auto"/>
                <w:kern w:val="2"/>
                <w:sz w:val="24"/>
                <w:szCs w:val="24"/>
                <w14:ligatures w14:val="standardContextual"/>
              </w:rPr>
              <w:tab/>
            </w:r>
            <w:r w:rsidRPr="000E582C">
              <w:rPr>
                <w:rStyle w:val="Hyperlink"/>
                <w:noProof/>
                <w:lang w:val="en-GB"/>
              </w:rPr>
              <w:t>AML.04.05 Trade Finance</w:t>
            </w:r>
            <w:r>
              <w:rPr>
                <w:noProof/>
                <w:webHidden/>
              </w:rPr>
              <w:tab/>
            </w:r>
            <w:r>
              <w:rPr>
                <w:noProof/>
                <w:webHidden/>
              </w:rPr>
              <w:fldChar w:fldCharType="begin"/>
            </w:r>
            <w:r>
              <w:rPr>
                <w:noProof/>
                <w:webHidden/>
              </w:rPr>
              <w:instrText xml:space="preserve"> PAGEREF _Toc223104847 \h </w:instrText>
            </w:r>
            <w:r>
              <w:rPr>
                <w:noProof/>
                <w:webHidden/>
              </w:rPr>
            </w:r>
            <w:r>
              <w:rPr>
                <w:noProof/>
                <w:webHidden/>
              </w:rPr>
              <w:fldChar w:fldCharType="separate"/>
            </w:r>
            <w:r w:rsidR="00CB5C15">
              <w:rPr>
                <w:noProof/>
                <w:webHidden/>
              </w:rPr>
              <w:t>36</w:t>
            </w:r>
            <w:r>
              <w:rPr>
                <w:noProof/>
                <w:webHidden/>
              </w:rPr>
              <w:fldChar w:fldCharType="end"/>
            </w:r>
          </w:hyperlink>
        </w:p>
        <w:p w14:paraId="35A54DBF" w14:textId="626E986B" w:rsidR="00D67950" w:rsidRDefault="00D67950">
          <w:pPr>
            <w:pStyle w:val="TOC3"/>
            <w:rPr>
              <w:rFonts w:asciiTheme="minorHAnsi" w:eastAsiaTheme="minorEastAsia" w:hAnsiTheme="minorHAnsi" w:cstheme="minorBidi"/>
              <w:noProof/>
              <w:color w:val="auto"/>
              <w:kern w:val="2"/>
              <w:sz w:val="24"/>
              <w:szCs w:val="24"/>
              <w14:ligatures w14:val="standardContextual"/>
            </w:rPr>
          </w:pPr>
          <w:hyperlink w:anchor="_Toc223104848" w:history="1">
            <w:r w:rsidRPr="000E582C">
              <w:rPr>
                <w:rStyle w:val="Hyperlink"/>
                <w:noProof/>
                <w:lang w:val="en-GB"/>
              </w:rPr>
              <w:t>1.3.12</w:t>
            </w:r>
            <w:r>
              <w:rPr>
                <w:rFonts w:asciiTheme="minorHAnsi" w:eastAsiaTheme="minorEastAsia" w:hAnsiTheme="minorHAnsi" w:cstheme="minorBidi"/>
                <w:noProof/>
                <w:color w:val="auto"/>
                <w:kern w:val="2"/>
                <w:sz w:val="24"/>
                <w:szCs w:val="24"/>
                <w14:ligatures w14:val="standardContextual"/>
              </w:rPr>
              <w:tab/>
            </w:r>
            <w:r w:rsidRPr="000E582C">
              <w:rPr>
                <w:rStyle w:val="Hyperlink"/>
                <w:noProof/>
                <w:lang w:val="en-GB"/>
              </w:rPr>
              <w:t>AML.04.06 E-Money</w:t>
            </w:r>
            <w:r>
              <w:rPr>
                <w:noProof/>
                <w:webHidden/>
              </w:rPr>
              <w:tab/>
            </w:r>
            <w:r>
              <w:rPr>
                <w:noProof/>
                <w:webHidden/>
              </w:rPr>
              <w:fldChar w:fldCharType="begin"/>
            </w:r>
            <w:r>
              <w:rPr>
                <w:noProof/>
                <w:webHidden/>
              </w:rPr>
              <w:instrText xml:space="preserve"> PAGEREF _Toc223104848 \h </w:instrText>
            </w:r>
            <w:r>
              <w:rPr>
                <w:noProof/>
                <w:webHidden/>
              </w:rPr>
            </w:r>
            <w:r>
              <w:rPr>
                <w:noProof/>
                <w:webHidden/>
              </w:rPr>
              <w:fldChar w:fldCharType="separate"/>
            </w:r>
            <w:r w:rsidR="00CB5C15">
              <w:rPr>
                <w:noProof/>
                <w:webHidden/>
              </w:rPr>
              <w:t>37</w:t>
            </w:r>
            <w:r>
              <w:rPr>
                <w:noProof/>
                <w:webHidden/>
              </w:rPr>
              <w:fldChar w:fldCharType="end"/>
            </w:r>
          </w:hyperlink>
        </w:p>
        <w:p w14:paraId="21A47BE5" w14:textId="19DFD482" w:rsidR="00D67950" w:rsidRDefault="00D67950">
          <w:pPr>
            <w:pStyle w:val="TOC3"/>
            <w:rPr>
              <w:rFonts w:asciiTheme="minorHAnsi" w:eastAsiaTheme="minorEastAsia" w:hAnsiTheme="minorHAnsi" w:cstheme="minorBidi"/>
              <w:noProof/>
              <w:color w:val="auto"/>
              <w:kern w:val="2"/>
              <w:sz w:val="24"/>
              <w:szCs w:val="24"/>
              <w14:ligatures w14:val="standardContextual"/>
            </w:rPr>
          </w:pPr>
          <w:hyperlink w:anchor="_Toc223104849" w:history="1">
            <w:r w:rsidRPr="000E582C">
              <w:rPr>
                <w:rStyle w:val="Hyperlink"/>
                <w:noProof/>
                <w:lang w:val="en-GB"/>
              </w:rPr>
              <w:t>1.3.13</w:t>
            </w:r>
            <w:r>
              <w:rPr>
                <w:rFonts w:asciiTheme="minorHAnsi" w:eastAsiaTheme="minorEastAsia" w:hAnsiTheme="minorHAnsi" w:cstheme="minorBidi"/>
                <w:noProof/>
                <w:color w:val="auto"/>
                <w:kern w:val="2"/>
                <w:sz w:val="24"/>
                <w:szCs w:val="24"/>
                <w14:ligatures w14:val="standardContextual"/>
              </w:rPr>
              <w:tab/>
            </w:r>
            <w:r w:rsidRPr="000E582C">
              <w:rPr>
                <w:rStyle w:val="Hyperlink"/>
                <w:noProof/>
                <w:lang w:val="en-GB"/>
              </w:rPr>
              <w:t>AML.04.07 TCSP Services</w:t>
            </w:r>
            <w:r>
              <w:rPr>
                <w:noProof/>
                <w:webHidden/>
              </w:rPr>
              <w:tab/>
            </w:r>
            <w:r>
              <w:rPr>
                <w:noProof/>
                <w:webHidden/>
              </w:rPr>
              <w:fldChar w:fldCharType="begin"/>
            </w:r>
            <w:r>
              <w:rPr>
                <w:noProof/>
                <w:webHidden/>
              </w:rPr>
              <w:instrText xml:space="preserve"> PAGEREF _Toc223104849 \h </w:instrText>
            </w:r>
            <w:r>
              <w:rPr>
                <w:noProof/>
                <w:webHidden/>
              </w:rPr>
            </w:r>
            <w:r>
              <w:rPr>
                <w:noProof/>
                <w:webHidden/>
              </w:rPr>
              <w:fldChar w:fldCharType="separate"/>
            </w:r>
            <w:r w:rsidR="00CB5C15">
              <w:rPr>
                <w:noProof/>
                <w:webHidden/>
              </w:rPr>
              <w:t>38</w:t>
            </w:r>
            <w:r>
              <w:rPr>
                <w:noProof/>
                <w:webHidden/>
              </w:rPr>
              <w:fldChar w:fldCharType="end"/>
            </w:r>
          </w:hyperlink>
        </w:p>
        <w:p w14:paraId="3E31BC0F" w14:textId="7D2104B1" w:rsidR="00D67950" w:rsidRDefault="00D67950">
          <w:pPr>
            <w:pStyle w:val="TOC3"/>
            <w:rPr>
              <w:rFonts w:asciiTheme="minorHAnsi" w:eastAsiaTheme="minorEastAsia" w:hAnsiTheme="minorHAnsi" w:cstheme="minorBidi"/>
              <w:noProof/>
              <w:color w:val="auto"/>
              <w:kern w:val="2"/>
              <w:sz w:val="24"/>
              <w:szCs w:val="24"/>
              <w14:ligatures w14:val="standardContextual"/>
            </w:rPr>
          </w:pPr>
          <w:hyperlink w:anchor="_Toc223104850" w:history="1">
            <w:r w:rsidRPr="000E582C">
              <w:rPr>
                <w:rStyle w:val="Hyperlink"/>
                <w:noProof/>
                <w:lang w:val="en-GB"/>
              </w:rPr>
              <w:t>1.3.14</w:t>
            </w:r>
            <w:r>
              <w:rPr>
                <w:rFonts w:asciiTheme="minorHAnsi" w:eastAsiaTheme="minorEastAsia" w:hAnsiTheme="minorHAnsi" w:cstheme="minorBidi"/>
                <w:noProof/>
                <w:color w:val="auto"/>
                <w:kern w:val="2"/>
                <w:sz w:val="24"/>
                <w:szCs w:val="24"/>
                <w14:ligatures w14:val="standardContextual"/>
              </w:rPr>
              <w:tab/>
            </w:r>
            <w:r w:rsidRPr="000E582C">
              <w:rPr>
                <w:rStyle w:val="Hyperlink"/>
                <w:noProof/>
                <w:lang w:val="en-GB"/>
              </w:rPr>
              <w:t>AML.04.08 Crypto FIAT Cards</w:t>
            </w:r>
            <w:r>
              <w:rPr>
                <w:noProof/>
                <w:webHidden/>
              </w:rPr>
              <w:tab/>
            </w:r>
            <w:r>
              <w:rPr>
                <w:noProof/>
                <w:webHidden/>
              </w:rPr>
              <w:fldChar w:fldCharType="begin"/>
            </w:r>
            <w:r>
              <w:rPr>
                <w:noProof/>
                <w:webHidden/>
              </w:rPr>
              <w:instrText xml:space="preserve"> PAGEREF _Toc223104850 \h </w:instrText>
            </w:r>
            <w:r>
              <w:rPr>
                <w:noProof/>
                <w:webHidden/>
              </w:rPr>
            </w:r>
            <w:r>
              <w:rPr>
                <w:noProof/>
                <w:webHidden/>
              </w:rPr>
              <w:fldChar w:fldCharType="separate"/>
            </w:r>
            <w:r w:rsidR="00CB5C15">
              <w:rPr>
                <w:noProof/>
                <w:webHidden/>
              </w:rPr>
              <w:t>39</w:t>
            </w:r>
            <w:r>
              <w:rPr>
                <w:noProof/>
                <w:webHidden/>
              </w:rPr>
              <w:fldChar w:fldCharType="end"/>
            </w:r>
          </w:hyperlink>
        </w:p>
        <w:p w14:paraId="15086A50" w14:textId="702C0506" w:rsidR="00D67950" w:rsidRDefault="00D67950">
          <w:pPr>
            <w:pStyle w:val="TOC3"/>
            <w:rPr>
              <w:rFonts w:asciiTheme="minorHAnsi" w:eastAsiaTheme="minorEastAsia" w:hAnsiTheme="minorHAnsi" w:cstheme="minorBidi"/>
              <w:noProof/>
              <w:color w:val="auto"/>
              <w:kern w:val="2"/>
              <w:sz w:val="24"/>
              <w:szCs w:val="24"/>
              <w14:ligatures w14:val="standardContextual"/>
            </w:rPr>
          </w:pPr>
          <w:hyperlink w:anchor="_Toc223104851" w:history="1">
            <w:r w:rsidRPr="000E582C">
              <w:rPr>
                <w:rStyle w:val="Hyperlink"/>
                <w:noProof/>
                <w:lang w:val="en-GB"/>
              </w:rPr>
              <w:t>1.3.15</w:t>
            </w:r>
            <w:r>
              <w:rPr>
                <w:rFonts w:asciiTheme="minorHAnsi" w:eastAsiaTheme="minorEastAsia" w:hAnsiTheme="minorHAnsi" w:cstheme="minorBidi"/>
                <w:noProof/>
                <w:color w:val="auto"/>
                <w:kern w:val="2"/>
                <w:sz w:val="24"/>
                <w:szCs w:val="24"/>
                <w14:ligatures w14:val="standardContextual"/>
              </w:rPr>
              <w:tab/>
            </w:r>
            <w:r w:rsidRPr="000E582C">
              <w:rPr>
                <w:rStyle w:val="Hyperlink"/>
                <w:noProof/>
                <w:lang w:val="en-GB"/>
              </w:rPr>
              <w:t>AML.04.09 Providing Custody and Administration of Crypto-Assets on Behalf of Clients</w:t>
            </w:r>
            <w:r>
              <w:rPr>
                <w:noProof/>
                <w:webHidden/>
              </w:rPr>
              <w:tab/>
            </w:r>
            <w:r>
              <w:rPr>
                <w:noProof/>
                <w:webHidden/>
              </w:rPr>
              <w:fldChar w:fldCharType="begin"/>
            </w:r>
            <w:r>
              <w:rPr>
                <w:noProof/>
                <w:webHidden/>
              </w:rPr>
              <w:instrText xml:space="preserve"> PAGEREF _Toc223104851 \h </w:instrText>
            </w:r>
            <w:r>
              <w:rPr>
                <w:noProof/>
                <w:webHidden/>
              </w:rPr>
            </w:r>
            <w:r>
              <w:rPr>
                <w:noProof/>
                <w:webHidden/>
              </w:rPr>
              <w:fldChar w:fldCharType="separate"/>
            </w:r>
            <w:r w:rsidR="00CB5C15">
              <w:rPr>
                <w:noProof/>
                <w:webHidden/>
              </w:rPr>
              <w:t>39</w:t>
            </w:r>
            <w:r>
              <w:rPr>
                <w:noProof/>
                <w:webHidden/>
              </w:rPr>
              <w:fldChar w:fldCharType="end"/>
            </w:r>
          </w:hyperlink>
        </w:p>
        <w:p w14:paraId="7EE330E3" w14:textId="49961E7D" w:rsidR="00D67950" w:rsidRDefault="00D67950">
          <w:pPr>
            <w:pStyle w:val="TOC3"/>
            <w:rPr>
              <w:rFonts w:asciiTheme="minorHAnsi" w:eastAsiaTheme="minorEastAsia" w:hAnsiTheme="minorHAnsi" w:cstheme="minorBidi"/>
              <w:noProof/>
              <w:color w:val="auto"/>
              <w:kern w:val="2"/>
              <w:sz w:val="24"/>
              <w:szCs w:val="24"/>
              <w14:ligatures w14:val="standardContextual"/>
            </w:rPr>
          </w:pPr>
          <w:hyperlink w:anchor="_Toc223104852" w:history="1">
            <w:r w:rsidRPr="000E582C">
              <w:rPr>
                <w:rStyle w:val="Hyperlink"/>
                <w:noProof/>
                <w:lang w:val="en-GB"/>
              </w:rPr>
              <w:t>1.3.16</w:t>
            </w:r>
            <w:r>
              <w:rPr>
                <w:rFonts w:asciiTheme="minorHAnsi" w:eastAsiaTheme="minorEastAsia" w:hAnsiTheme="minorHAnsi" w:cstheme="minorBidi"/>
                <w:noProof/>
                <w:color w:val="auto"/>
                <w:kern w:val="2"/>
                <w:sz w:val="24"/>
                <w:szCs w:val="24"/>
                <w14:ligatures w14:val="standardContextual"/>
              </w:rPr>
              <w:tab/>
            </w:r>
            <w:r w:rsidRPr="000E582C">
              <w:rPr>
                <w:rStyle w:val="Hyperlink"/>
                <w:noProof/>
                <w:lang w:val="en-GB"/>
              </w:rPr>
              <w:t>AML.04.10 Crypto Services</w:t>
            </w:r>
            <w:r>
              <w:rPr>
                <w:noProof/>
                <w:webHidden/>
              </w:rPr>
              <w:tab/>
            </w:r>
            <w:r>
              <w:rPr>
                <w:noProof/>
                <w:webHidden/>
              </w:rPr>
              <w:fldChar w:fldCharType="begin"/>
            </w:r>
            <w:r>
              <w:rPr>
                <w:noProof/>
                <w:webHidden/>
              </w:rPr>
              <w:instrText xml:space="preserve"> PAGEREF _Toc223104852 \h </w:instrText>
            </w:r>
            <w:r>
              <w:rPr>
                <w:noProof/>
                <w:webHidden/>
              </w:rPr>
            </w:r>
            <w:r>
              <w:rPr>
                <w:noProof/>
                <w:webHidden/>
              </w:rPr>
              <w:fldChar w:fldCharType="separate"/>
            </w:r>
            <w:r w:rsidR="00CB5C15">
              <w:rPr>
                <w:noProof/>
                <w:webHidden/>
              </w:rPr>
              <w:t>40</w:t>
            </w:r>
            <w:r>
              <w:rPr>
                <w:noProof/>
                <w:webHidden/>
              </w:rPr>
              <w:fldChar w:fldCharType="end"/>
            </w:r>
          </w:hyperlink>
        </w:p>
        <w:p w14:paraId="6CD76CA6" w14:textId="25BC14E0" w:rsidR="00D67950" w:rsidRDefault="00D67950">
          <w:pPr>
            <w:pStyle w:val="TOC3"/>
            <w:rPr>
              <w:rFonts w:asciiTheme="minorHAnsi" w:eastAsiaTheme="minorEastAsia" w:hAnsiTheme="minorHAnsi" w:cstheme="minorBidi"/>
              <w:noProof/>
              <w:color w:val="auto"/>
              <w:kern w:val="2"/>
              <w:sz w:val="24"/>
              <w:szCs w:val="24"/>
              <w14:ligatures w14:val="standardContextual"/>
            </w:rPr>
          </w:pPr>
          <w:hyperlink w:anchor="_Toc223104853" w:history="1">
            <w:r w:rsidRPr="000E582C">
              <w:rPr>
                <w:rStyle w:val="Hyperlink"/>
                <w:noProof/>
                <w:lang w:val="en-GB"/>
              </w:rPr>
              <w:t>Exchange funds for crypto-assets</w:t>
            </w:r>
            <w:r>
              <w:rPr>
                <w:noProof/>
                <w:webHidden/>
              </w:rPr>
              <w:tab/>
            </w:r>
            <w:r>
              <w:rPr>
                <w:noProof/>
                <w:webHidden/>
              </w:rPr>
              <w:fldChar w:fldCharType="begin"/>
            </w:r>
            <w:r>
              <w:rPr>
                <w:noProof/>
                <w:webHidden/>
              </w:rPr>
              <w:instrText xml:space="preserve"> PAGEREF _Toc223104853 \h </w:instrText>
            </w:r>
            <w:r>
              <w:rPr>
                <w:noProof/>
                <w:webHidden/>
              </w:rPr>
            </w:r>
            <w:r>
              <w:rPr>
                <w:noProof/>
                <w:webHidden/>
              </w:rPr>
              <w:fldChar w:fldCharType="separate"/>
            </w:r>
            <w:r w:rsidR="00CB5C15">
              <w:rPr>
                <w:noProof/>
                <w:webHidden/>
              </w:rPr>
              <w:t>40</w:t>
            </w:r>
            <w:r>
              <w:rPr>
                <w:noProof/>
                <w:webHidden/>
              </w:rPr>
              <w:fldChar w:fldCharType="end"/>
            </w:r>
          </w:hyperlink>
        </w:p>
        <w:p w14:paraId="1F7003A2" w14:textId="458E8ACD" w:rsidR="00D67950" w:rsidRDefault="00D67950">
          <w:pPr>
            <w:pStyle w:val="TOC3"/>
            <w:rPr>
              <w:rFonts w:asciiTheme="minorHAnsi" w:eastAsiaTheme="minorEastAsia" w:hAnsiTheme="minorHAnsi" w:cstheme="minorBidi"/>
              <w:noProof/>
              <w:color w:val="auto"/>
              <w:kern w:val="2"/>
              <w:sz w:val="24"/>
              <w:szCs w:val="24"/>
              <w14:ligatures w14:val="standardContextual"/>
            </w:rPr>
          </w:pPr>
          <w:hyperlink w:anchor="_Toc223104854" w:history="1">
            <w:r w:rsidRPr="000E582C">
              <w:rPr>
                <w:rStyle w:val="Hyperlink"/>
                <w:noProof/>
                <w:lang w:val="en-GB"/>
              </w:rPr>
              <w:t>Exchange crypto-assets for funds</w:t>
            </w:r>
            <w:r>
              <w:rPr>
                <w:noProof/>
                <w:webHidden/>
              </w:rPr>
              <w:tab/>
            </w:r>
            <w:r>
              <w:rPr>
                <w:noProof/>
                <w:webHidden/>
              </w:rPr>
              <w:fldChar w:fldCharType="begin"/>
            </w:r>
            <w:r>
              <w:rPr>
                <w:noProof/>
                <w:webHidden/>
              </w:rPr>
              <w:instrText xml:space="preserve"> PAGEREF _Toc223104854 \h </w:instrText>
            </w:r>
            <w:r>
              <w:rPr>
                <w:noProof/>
                <w:webHidden/>
              </w:rPr>
            </w:r>
            <w:r>
              <w:rPr>
                <w:noProof/>
                <w:webHidden/>
              </w:rPr>
              <w:fldChar w:fldCharType="separate"/>
            </w:r>
            <w:r w:rsidR="00CB5C15">
              <w:rPr>
                <w:noProof/>
                <w:webHidden/>
              </w:rPr>
              <w:t>40</w:t>
            </w:r>
            <w:r>
              <w:rPr>
                <w:noProof/>
                <w:webHidden/>
              </w:rPr>
              <w:fldChar w:fldCharType="end"/>
            </w:r>
          </w:hyperlink>
        </w:p>
        <w:p w14:paraId="274823E9" w14:textId="3EFDE2E7" w:rsidR="00D67950" w:rsidRDefault="00D67950">
          <w:pPr>
            <w:pStyle w:val="TOC3"/>
            <w:rPr>
              <w:rFonts w:asciiTheme="minorHAnsi" w:eastAsiaTheme="minorEastAsia" w:hAnsiTheme="minorHAnsi" w:cstheme="minorBidi"/>
              <w:noProof/>
              <w:color w:val="auto"/>
              <w:kern w:val="2"/>
              <w:sz w:val="24"/>
              <w:szCs w:val="24"/>
              <w14:ligatures w14:val="standardContextual"/>
            </w:rPr>
          </w:pPr>
          <w:hyperlink w:anchor="_Toc223104855" w:history="1">
            <w:r w:rsidRPr="000E582C">
              <w:rPr>
                <w:rStyle w:val="Hyperlink"/>
                <w:noProof/>
                <w:lang w:val="en-GB"/>
              </w:rPr>
              <w:t>Exchange of crypto-assets for other crypto-assets</w:t>
            </w:r>
            <w:r>
              <w:rPr>
                <w:noProof/>
                <w:webHidden/>
              </w:rPr>
              <w:tab/>
            </w:r>
            <w:r>
              <w:rPr>
                <w:noProof/>
                <w:webHidden/>
              </w:rPr>
              <w:fldChar w:fldCharType="begin"/>
            </w:r>
            <w:r>
              <w:rPr>
                <w:noProof/>
                <w:webHidden/>
              </w:rPr>
              <w:instrText xml:space="preserve"> PAGEREF _Toc223104855 \h </w:instrText>
            </w:r>
            <w:r>
              <w:rPr>
                <w:noProof/>
                <w:webHidden/>
              </w:rPr>
            </w:r>
            <w:r>
              <w:rPr>
                <w:noProof/>
                <w:webHidden/>
              </w:rPr>
              <w:fldChar w:fldCharType="separate"/>
            </w:r>
            <w:r w:rsidR="00CB5C15">
              <w:rPr>
                <w:noProof/>
                <w:webHidden/>
              </w:rPr>
              <w:t>41</w:t>
            </w:r>
            <w:r>
              <w:rPr>
                <w:noProof/>
                <w:webHidden/>
              </w:rPr>
              <w:fldChar w:fldCharType="end"/>
            </w:r>
          </w:hyperlink>
        </w:p>
        <w:p w14:paraId="1596751E" w14:textId="06E717D2" w:rsidR="00D67950" w:rsidRDefault="00D67950">
          <w:pPr>
            <w:pStyle w:val="TOC3"/>
            <w:rPr>
              <w:rFonts w:asciiTheme="minorHAnsi" w:eastAsiaTheme="minorEastAsia" w:hAnsiTheme="minorHAnsi" w:cstheme="minorBidi"/>
              <w:noProof/>
              <w:color w:val="auto"/>
              <w:kern w:val="2"/>
              <w:sz w:val="24"/>
              <w:szCs w:val="24"/>
              <w14:ligatures w14:val="standardContextual"/>
            </w:rPr>
          </w:pPr>
          <w:hyperlink w:anchor="_Toc223104856" w:history="1">
            <w:r w:rsidRPr="000E582C">
              <w:rPr>
                <w:rStyle w:val="Hyperlink"/>
                <w:noProof/>
                <w:lang w:val="en-GB"/>
              </w:rPr>
              <w:t>Transfer services for crypto-assets on behalf of clients</w:t>
            </w:r>
            <w:r>
              <w:rPr>
                <w:noProof/>
                <w:webHidden/>
              </w:rPr>
              <w:tab/>
            </w:r>
            <w:r>
              <w:rPr>
                <w:noProof/>
                <w:webHidden/>
              </w:rPr>
              <w:fldChar w:fldCharType="begin"/>
            </w:r>
            <w:r>
              <w:rPr>
                <w:noProof/>
                <w:webHidden/>
              </w:rPr>
              <w:instrText xml:space="preserve"> PAGEREF _Toc223104856 \h </w:instrText>
            </w:r>
            <w:r>
              <w:rPr>
                <w:noProof/>
                <w:webHidden/>
              </w:rPr>
            </w:r>
            <w:r>
              <w:rPr>
                <w:noProof/>
                <w:webHidden/>
              </w:rPr>
              <w:fldChar w:fldCharType="separate"/>
            </w:r>
            <w:r w:rsidR="00CB5C15">
              <w:rPr>
                <w:noProof/>
                <w:webHidden/>
              </w:rPr>
              <w:t>42</w:t>
            </w:r>
            <w:r>
              <w:rPr>
                <w:noProof/>
                <w:webHidden/>
              </w:rPr>
              <w:fldChar w:fldCharType="end"/>
            </w:r>
          </w:hyperlink>
        </w:p>
        <w:p w14:paraId="4817C0B6" w14:textId="39A1F7C3" w:rsidR="00D67950" w:rsidRDefault="00D67950">
          <w:pPr>
            <w:pStyle w:val="TOC3"/>
            <w:rPr>
              <w:rFonts w:asciiTheme="minorHAnsi" w:eastAsiaTheme="minorEastAsia" w:hAnsiTheme="minorHAnsi" w:cstheme="minorBidi"/>
              <w:noProof/>
              <w:color w:val="auto"/>
              <w:kern w:val="2"/>
              <w:sz w:val="24"/>
              <w:szCs w:val="24"/>
              <w14:ligatures w14:val="standardContextual"/>
            </w:rPr>
          </w:pPr>
          <w:hyperlink w:anchor="_Toc223104857" w:history="1">
            <w:r w:rsidRPr="000E582C">
              <w:rPr>
                <w:rStyle w:val="Hyperlink"/>
                <w:noProof/>
                <w:lang w:val="en-GB"/>
              </w:rPr>
              <w:t>1.3.17</w:t>
            </w:r>
            <w:r>
              <w:rPr>
                <w:rFonts w:asciiTheme="minorHAnsi" w:eastAsiaTheme="minorEastAsia" w:hAnsiTheme="minorHAnsi" w:cstheme="minorBidi"/>
                <w:noProof/>
                <w:color w:val="auto"/>
                <w:kern w:val="2"/>
                <w:sz w:val="24"/>
                <w:szCs w:val="24"/>
                <w14:ligatures w14:val="standardContextual"/>
              </w:rPr>
              <w:tab/>
            </w:r>
            <w:r w:rsidRPr="000E582C">
              <w:rPr>
                <w:rStyle w:val="Hyperlink"/>
                <w:noProof/>
                <w:lang w:val="en-GB"/>
              </w:rPr>
              <w:t>AML.04.11 Management of UCITS and AIFs</w:t>
            </w:r>
            <w:r>
              <w:rPr>
                <w:noProof/>
                <w:webHidden/>
              </w:rPr>
              <w:tab/>
            </w:r>
            <w:r>
              <w:rPr>
                <w:noProof/>
                <w:webHidden/>
              </w:rPr>
              <w:fldChar w:fldCharType="begin"/>
            </w:r>
            <w:r>
              <w:rPr>
                <w:noProof/>
                <w:webHidden/>
              </w:rPr>
              <w:instrText xml:space="preserve"> PAGEREF _Toc223104857 \h </w:instrText>
            </w:r>
            <w:r>
              <w:rPr>
                <w:noProof/>
                <w:webHidden/>
              </w:rPr>
            </w:r>
            <w:r>
              <w:rPr>
                <w:noProof/>
                <w:webHidden/>
              </w:rPr>
              <w:fldChar w:fldCharType="separate"/>
            </w:r>
            <w:r w:rsidR="00CB5C15">
              <w:rPr>
                <w:noProof/>
                <w:webHidden/>
              </w:rPr>
              <w:t>42</w:t>
            </w:r>
            <w:r>
              <w:rPr>
                <w:noProof/>
                <w:webHidden/>
              </w:rPr>
              <w:fldChar w:fldCharType="end"/>
            </w:r>
          </w:hyperlink>
        </w:p>
        <w:p w14:paraId="5248E487" w14:textId="55173894" w:rsidR="00D67950" w:rsidRDefault="00D67950">
          <w:pPr>
            <w:pStyle w:val="TOC3"/>
            <w:rPr>
              <w:rFonts w:asciiTheme="minorHAnsi" w:eastAsiaTheme="minorEastAsia" w:hAnsiTheme="minorHAnsi" w:cstheme="minorBidi"/>
              <w:noProof/>
              <w:color w:val="auto"/>
              <w:kern w:val="2"/>
              <w:sz w:val="24"/>
              <w:szCs w:val="24"/>
              <w14:ligatures w14:val="standardContextual"/>
            </w:rPr>
          </w:pPr>
          <w:hyperlink w:anchor="_Toc223104858" w:history="1">
            <w:r w:rsidRPr="000E582C">
              <w:rPr>
                <w:rStyle w:val="Hyperlink"/>
                <w:noProof/>
                <w:lang w:val="en-GB"/>
              </w:rPr>
              <w:t>Management of UCITS</w:t>
            </w:r>
            <w:r>
              <w:rPr>
                <w:noProof/>
                <w:webHidden/>
              </w:rPr>
              <w:tab/>
            </w:r>
            <w:r>
              <w:rPr>
                <w:noProof/>
                <w:webHidden/>
              </w:rPr>
              <w:fldChar w:fldCharType="begin"/>
            </w:r>
            <w:r>
              <w:rPr>
                <w:noProof/>
                <w:webHidden/>
              </w:rPr>
              <w:instrText xml:space="preserve"> PAGEREF _Toc223104858 \h </w:instrText>
            </w:r>
            <w:r>
              <w:rPr>
                <w:noProof/>
                <w:webHidden/>
              </w:rPr>
            </w:r>
            <w:r>
              <w:rPr>
                <w:noProof/>
                <w:webHidden/>
              </w:rPr>
              <w:fldChar w:fldCharType="separate"/>
            </w:r>
            <w:r w:rsidR="00CB5C15">
              <w:rPr>
                <w:noProof/>
                <w:webHidden/>
              </w:rPr>
              <w:t>42</w:t>
            </w:r>
            <w:r>
              <w:rPr>
                <w:noProof/>
                <w:webHidden/>
              </w:rPr>
              <w:fldChar w:fldCharType="end"/>
            </w:r>
          </w:hyperlink>
        </w:p>
        <w:p w14:paraId="5173E3C9" w14:textId="68D6084F" w:rsidR="00D67950" w:rsidRDefault="00D67950">
          <w:pPr>
            <w:pStyle w:val="TOC3"/>
            <w:rPr>
              <w:rFonts w:asciiTheme="minorHAnsi" w:eastAsiaTheme="minorEastAsia" w:hAnsiTheme="minorHAnsi" w:cstheme="minorBidi"/>
              <w:noProof/>
              <w:color w:val="auto"/>
              <w:kern w:val="2"/>
              <w:sz w:val="24"/>
              <w:szCs w:val="24"/>
              <w14:ligatures w14:val="standardContextual"/>
            </w:rPr>
          </w:pPr>
          <w:hyperlink w:anchor="_Toc223104859" w:history="1">
            <w:r w:rsidRPr="000E582C">
              <w:rPr>
                <w:rStyle w:val="Hyperlink"/>
                <w:noProof/>
                <w:lang w:val="en-GB"/>
              </w:rPr>
              <w:t>Management of AIFs</w:t>
            </w:r>
            <w:r>
              <w:rPr>
                <w:noProof/>
                <w:webHidden/>
              </w:rPr>
              <w:tab/>
            </w:r>
            <w:r>
              <w:rPr>
                <w:noProof/>
                <w:webHidden/>
              </w:rPr>
              <w:fldChar w:fldCharType="begin"/>
            </w:r>
            <w:r>
              <w:rPr>
                <w:noProof/>
                <w:webHidden/>
              </w:rPr>
              <w:instrText xml:space="preserve"> PAGEREF _Toc223104859 \h </w:instrText>
            </w:r>
            <w:r>
              <w:rPr>
                <w:noProof/>
                <w:webHidden/>
              </w:rPr>
            </w:r>
            <w:r>
              <w:rPr>
                <w:noProof/>
                <w:webHidden/>
              </w:rPr>
              <w:fldChar w:fldCharType="separate"/>
            </w:r>
            <w:r w:rsidR="00CB5C15">
              <w:rPr>
                <w:noProof/>
                <w:webHidden/>
              </w:rPr>
              <w:t>43</w:t>
            </w:r>
            <w:r>
              <w:rPr>
                <w:noProof/>
                <w:webHidden/>
              </w:rPr>
              <w:fldChar w:fldCharType="end"/>
            </w:r>
          </w:hyperlink>
        </w:p>
        <w:p w14:paraId="65F68091" w14:textId="6E2FBE1F" w:rsidR="00D67950" w:rsidRDefault="00D67950">
          <w:pPr>
            <w:pStyle w:val="TOC3"/>
            <w:rPr>
              <w:rFonts w:asciiTheme="minorHAnsi" w:eastAsiaTheme="minorEastAsia" w:hAnsiTheme="minorHAnsi" w:cstheme="minorBidi"/>
              <w:noProof/>
              <w:color w:val="auto"/>
              <w:kern w:val="2"/>
              <w:sz w:val="24"/>
              <w:szCs w:val="24"/>
              <w14:ligatures w14:val="standardContextual"/>
            </w:rPr>
          </w:pPr>
          <w:hyperlink w:anchor="_Toc223104860" w:history="1">
            <w:r w:rsidRPr="000E582C">
              <w:rPr>
                <w:rStyle w:val="Hyperlink"/>
                <w:noProof/>
                <w:lang w:val="en-GB"/>
              </w:rPr>
              <w:t>1.3.18</w:t>
            </w:r>
            <w:r>
              <w:rPr>
                <w:rFonts w:asciiTheme="minorHAnsi" w:eastAsiaTheme="minorEastAsia" w:hAnsiTheme="minorHAnsi" w:cstheme="minorBidi"/>
                <w:noProof/>
                <w:color w:val="auto"/>
                <w:kern w:val="2"/>
                <w:sz w:val="24"/>
                <w:szCs w:val="24"/>
                <w14:ligatures w14:val="standardContextual"/>
              </w:rPr>
              <w:tab/>
            </w:r>
            <w:r w:rsidRPr="000E582C">
              <w:rPr>
                <w:rStyle w:val="Hyperlink"/>
                <w:noProof/>
                <w:lang w:val="en-GB"/>
              </w:rPr>
              <w:t>AML.04.12 Safe Custody Services</w:t>
            </w:r>
            <w:r>
              <w:rPr>
                <w:noProof/>
                <w:webHidden/>
              </w:rPr>
              <w:tab/>
            </w:r>
            <w:r>
              <w:rPr>
                <w:noProof/>
                <w:webHidden/>
              </w:rPr>
              <w:fldChar w:fldCharType="begin"/>
            </w:r>
            <w:r>
              <w:rPr>
                <w:noProof/>
                <w:webHidden/>
              </w:rPr>
              <w:instrText xml:space="preserve"> PAGEREF _Toc223104860 \h </w:instrText>
            </w:r>
            <w:r>
              <w:rPr>
                <w:noProof/>
                <w:webHidden/>
              </w:rPr>
            </w:r>
            <w:r>
              <w:rPr>
                <w:noProof/>
                <w:webHidden/>
              </w:rPr>
              <w:fldChar w:fldCharType="separate"/>
            </w:r>
            <w:r w:rsidR="00CB5C15">
              <w:rPr>
                <w:noProof/>
                <w:webHidden/>
              </w:rPr>
              <w:t>44</w:t>
            </w:r>
            <w:r>
              <w:rPr>
                <w:noProof/>
                <w:webHidden/>
              </w:rPr>
              <w:fldChar w:fldCharType="end"/>
            </w:r>
          </w:hyperlink>
        </w:p>
        <w:p w14:paraId="3CAF1FC1" w14:textId="143AC0CF" w:rsidR="00D67950" w:rsidRDefault="00D67950">
          <w:pPr>
            <w:pStyle w:val="TOC3"/>
            <w:rPr>
              <w:rFonts w:asciiTheme="minorHAnsi" w:eastAsiaTheme="minorEastAsia" w:hAnsiTheme="minorHAnsi" w:cstheme="minorBidi"/>
              <w:noProof/>
              <w:color w:val="auto"/>
              <w:kern w:val="2"/>
              <w:sz w:val="24"/>
              <w:szCs w:val="24"/>
              <w14:ligatures w14:val="standardContextual"/>
            </w:rPr>
          </w:pPr>
          <w:hyperlink w:anchor="_Toc223104861" w:history="1">
            <w:r w:rsidRPr="000E582C">
              <w:rPr>
                <w:rStyle w:val="Hyperlink"/>
                <w:noProof/>
                <w:lang w:val="en-GB"/>
              </w:rPr>
              <w:t>1.3.19</w:t>
            </w:r>
            <w:r>
              <w:rPr>
                <w:rFonts w:asciiTheme="minorHAnsi" w:eastAsiaTheme="minorEastAsia" w:hAnsiTheme="minorHAnsi" w:cstheme="minorBidi"/>
                <w:noProof/>
                <w:color w:val="auto"/>
                <w:kern w:val="2"/>
                <w:sz w:val="24"/>
                <w:szCs w:val="24"/>
                <w14:ligatures w14:val="standardContextual"/>
              </w:rPr>
              <w:tab/>
            </w:r>
            <w:r w:rsidRPr="000E582C">
              <w:rPr>
                <w:rStyle w:val="Hyperlink"/>
                <w:noProof/>
                <w:lang w:val="en-GB"/>
              </w:rPr>
              <w:t>AML.04.13 Crowdfunding</w:t>
            </w:r>
            <w:r>
              <w:rPr>
                <w:noProof/>
                <w:webHidden/>
              </w:rPr>
              <w:tab/>
            </w:r>
            <w:r>
              <w:rPr>
                <w:noProof/>
                <w:webHidden/>
              </w:rPr>
              <w:fldChar w:fldCharType="begin"/>
            </w:r>
            <w:r>
              <w:rPr>
                <w:noProof/>
                <w:webHidden/>
              </w:rPr>
              <w:instrText xml:space="preserve"> PAGEREF _Toc223104861 \h </w:instrText>
            </w:r>
            <w:r>
              <w:rPr>
                <w:noProof/>
                <w:webHidden/>
              </w:rPr>
            </w:r>
            <w:r>
              <w:rPr>
                <w:noProof/>
                <w:webHidden/>
              </w:rPr>
              <w:fldChar w:fldCharType="separate"/>
            </w:r>
            <w:r w:rsidR="00CB5C15">
              <w:rPr>
                <w:noProof/>
                <w:webHidden/>
              </w:rPr>
              <w:t>45</w:t>
            </w:r>
            <w:r>
              <w:rPr>
                <w:noProof/>
                <w:webHidden/>
              </w:rPr>
              <w:fldChar w:fldCharType="end"/>
            </w:r>
          </w:hyperlink>
        </w:p>
        <w:p w14:paraId="25620A3A" w14:textId="787E7EEC" w:rsidR="00D67950" w:rsidRDefault="00D67950">
          <w:pPr>
            <w:pStyle w:val="TOC3"/>
            <w:rPr>
              <w:rFonts w:asciiTheme="minorHAnsi" w:eastAsiaTheme="minorEastAsia" w:hAnsiTheme="minorHAnsi" w:cstheme="minorBidi"/>
              <w:noProof/>
              <w:color w:val="auto"/>
              <w:kern w:val="2"/>
              <w:sz w:val="24"/>
              <w:szCs w:val="24"/>
              <w14:ligatures w14:val="standardContextual"/>
            </w:rPr>
          </w:pPr>
          <w:hyperlink w:anchor="_Toc223104862" w:history="1">
            <w:r w:rsidRPr="000E582C">
              <w:rPr>
                <w:rStyle w:val="Hyperlink"/>
                <w:noProof/>
                <w:lang w:val="en-GB"/>
              </w:rPr>
              <w:t>1.3.20</w:t>
            </w:r>
            <w:r>
              <w:rPr>
                <w:rFonts w:asciiTheme="minorHAnsi" w:eastAsiaTheme="minorEastAsia" w:hAnsiTheme="minorHAnsi" w:cstheme="minorBidi"/>
                <w:noProof/>
                <w:color w:val="auto"/>
                <w:kern w:val="2"/>
                <w:sz w:val="24"/>
                <w:szCs w:val="24"/>
                <w14:ligatures w14:val="standardContextual"/>
              </w:rPr>
              <w:tab/>
            </w:r>
            <w:r w:rsidRPr="000E582C">
              <w:rPr>
                <w:rStyle w:val="Hyperlink"/>
                <w:noProof/>
                <w:lang w:val="en-GB"/>
              </w:rPr>
              <w:t>AML.04.14 Cash Transactions</w:t>
            </w:r>
            <w:r>
              <w:rPr>
                <w:noProof/>
                <w:webHidden/>
              </w:rPr>
              <w:tab/>
            </w:r>
            <w:r>
              <w:rPr>
                <w:noProof/>
                <w:webHidden/>
              </w:rPr>
              <w:fldChar w:fldCharType="begin"/>
            </w:r>
            <w:r>
              <w:rPr>
                <w:noProof/>
                <w:webHidden/>
              </w:rPr>
              <w:instrText xml:space="preserve"> PAGEREF _Toc223104862 \h </w:instrText>
            </w:r>
            <w:r>
              <w:rPr>
                <w:noProof/>
                <w:webHidden/>
              </w:rPr>
            </w:r>
            <w:r>
              <w:rPr>
                <w:noProof/>
                <w:webHidden/>
              </w:rPr>
              <w:fldChar w:fldCharType="separate"/>
            </w:r>
            <w:r w:rsidR="00CB5C15">
              <w:rPr>
                <w:noProof/>
                <w:webHidden/>
              </w:rPr>
              <w:t>46</w:t>
            </w:r>
            <w:r>
              <w:rPr>
                <w:noProof/>
                <w:webHidden/>
              </w:rPr>
              <w:fldChar w:fldCharType="end"/>
            </w:r>
          </w:hyperlink>
        </w:p>
        <w:p w14:paraId="3D2F281D" w14:textId="29BC61CD" w:rsidR="00D67950" w:rsidRDefault="00D67950">
          <w:pPr>
            <w:pStyle w:val="TOC2"/>
            <w:rPr>
              <w:rFonts w:asciiTheme="minorHAnsi" w:eastAsiaTheme="minorEastAsia" w:hAnsiTheme="minorHAnsi" w:cstheme="minorBidi"/>
              <w:color w:val="auto"/>
              <w:kern w:val="2"/>
              <w:sz w:val="24"/>
              <w:szCs w:val="24"/>
              <w14:ligatures w14:val="standardContextual"/>
            </w:rPr>
          </w:pPr>
          <w:hyperlink w:anchor="_Toc223104863" w:history="1">
            <w:r w:rsidRPr="000E582C">
              <w:rPr>
                <w:rStyle w:val="Hyperlink"/>
                <w:lang w:val="en-IE"/>
              </w:rPr>
              <w:t>1.4</w:t>
            </w:r>
            <w:r>
              <w:rPr>
                <w:rFonts w:asciiTheme="minorHAnsi" w:eastAsiaTheme="minorEastAsia" w:hAnsiTheme="minorHAnsi" w:cstheme="minorBidi"/>
                <w:color w:val="auto"/>
                <w:kern w:val="2"/>
                <w:sz w:val="24"/>
                <w:szCs w:val="24"/>
                <w14:ligatures w14:val="standardContextual"/>
              </w:rPr>
              <w:tab/>
            </w:r>
            <w:r w:rsidRPr="000E582C">
              <w:rPr>
                <w:rStyle w:val="Hyperlink"/>
                <w:lang w:val="en-IE"/>
              </w:rPr>
              <w:t>AML.05.01 Geographies</w:t>
            </w:r>
            <w:r>
              <w:rPr>
                <w:webHidden/>
              </w:rPr>
              <w:tab/>
            </w:r>
            <w:r>
              <w:rPr>
                <w:webHidden/>
              </w:rPr>
              <w:fldChar w:fldCharType="begin"/>
            </w:r>
            <w:r>
              <w:rPr>
                <w:webHidden/>
              </w:rPr>
              <w:instrText xml:space="preserve"> PAGEREF _Toc223104863 \h </w:instrText>
            </w:r>
            <w:r>
              <w:rPr>
                <w:webHidden/>
              </w:rPr>
            </w:r>
            <w:r>
              <w:rPr>
                <w:webHidden/>
              </w:rPr>
              <w:fldChar w:fldCharType="separate"/>
            </w:r>
            <w:r w:rsidR="00CB5C15">
              <w:rPr>
                <w:webHidden/>
              </w:rPr>
              <w:t>47</w:t>
            </w:r>
            <w:r>
              <w:rPr>
                <w:webHidden/>
              </w:rPr>
              <w:fldChar w:fldCharType="end"/>
            </w:r>
          </w:hyperlink>
        </w:p>
        <w:p w14:paraId="5522C098" w14:textId="26D0BC3F" w:rsidR="00D67950" w:rsidRDefault="00D67950">
          <w:pPr>
            <w:pStyle w:val="TOC2"/>
            <w:rPr>
              <w:rFonts w:asciiTheme="minorHAnsi" w:eastAsiaTheme="minorEastAsia" w:hAnsiTheme="minorHAnsi" w:cstheme="minorBidi"/>
              <w:color w:val="auto"/>
              <w:kern w:val="2"/>
              <w:sz w:val="24"/>
              <w:szCs w:val="24"/>
              <w14:ligatures w14:val="standardContextual"/>
            </w:rPr>
          </w:pPr>
          <w:hyperlink w:anchor="_Toc223104864" w:history="1">
            <w:r w:rsidRPr="000E582C">
              <w:rPr>
                <w:rStyle w:val="Hyperlink"/>
                <w:lang w:val="en-IE"/>
              </w:rPr>
              <w:t>1.5</w:t>
            </w:r>
            <w:r>
              <w:rPr>
                <w:rFonts w:asciiTheme="minorHAnsi" w:eastAsiaTheme="minorEastAsia" w:hAnsiTheme="minorHAnsi" w:cstheme="minorBidi"/>
                <w:color w:val="auto"/>
                <w:kern w:val="2"/>
                <w:sz w:val="24"/>
                <w:szCs w:val="24"/>
                <w14:ligatures w14:val="standardContextual"/>
              </w:rPr>
              <w:tab/>
            </w:r>
            <w:r w:rsidRPr="000E582C">
              <w:rPr>
                <w:rStyle w:val="Hyperlink"/>
                <w:lang w:val="en-IE"/>
              </w:rPr>
              <w:t>AML.06.01 Distribution Channels</w:t>
            </w:r>
            <w:r>
              <w:rPr>
                <w:webHidden/>
              </w:rPr>
              <w:tab/>
            </w:r>
            <w:r>
              <w:rPr>
                <w:webHidden/>
              </w:rPr>
              <w:fldChar w:fldCharType="begin"/>
            </w:r>
            <w:r>
              <w:rPr>
                <w:webHidden/>
              </w:rPr>
              <w:instrText xml:space="preserve"> PAGEREF _Toc223104864 \h </w:instrText>
            </w:r>
            <w:r>
              <w:rPr>
                <w:webHidden/>
              </w:rPr>
            </w:r>
            <w:r>
              <w:rPr>
                <w:webHidden/>
              </w:rPr>
              <w:fldChar w:fldCharType="separate"/>
            </w:r>
            <w:r w:rsidR="00CB5C15">
              <w:rPr>
                <w:webHidden/>
              </w:rPr>
              <w:t>51</w:t>
            </w:r>
            <w:r>
              <w:rPr>
                <w:webHidden/>
              </w:rPr>
              <w:fldChar w:fldCharType="end"/>
            </w:r>
          </w:hyperlink>
        </w:p>
        <w:p w14:paraId="31435BD0" w14:textId="19FB8E99" w:rsidR="00D67950" w:rsidRDefault="00D67950">
          <w:pPr>
            <w:pStyle w:val="TOC2"/>
            <w:rPr>
              <w:rFonts w:asciiTheme="minorHAnsi" w:eastAsiaTheme="minorEastAsia" w:hAnsiTheme="minorHAnsi" w:cstheme="minorBidi"/>
              <w:color w:val="auto"/>
              <w:kern w:val="2"/>
              <w:sz w:val="24"/>
              <w:szCs w:val="24"/>
              <w14:ligatures w14:val="standardContextual"/>
            </w:rPr>
          </w:pPr>
          <w:hyperlink w:anchor="_Toc223104865" w:history="1">
            <w:r w:rsidRPr="000E582C">
              <w:rPr>
                <w:rStyle w:val="Hyperlink"/>
              </w:rPr>
              <w:t>Section B – AML/CFT Controls data points</w:t>
            </w:r>
            <w:r>
              <w:rPr>
                <w:webHidden/>
              </w:rPr>
              <w:tab/>
            </w:r>
            <w:r>
              <w:rPr>
                <w:webHidden/>
              </w:rPr>
              <w:fldChar w:fldCharType="begin"/>
            </w:r>
            <w:r>
              <w:rPr>
                <w:webHidden/>
              </w:rPr>
              <w:instrText xml:space="preserve"> PAGEREF _Toc223104865 \h </w:instrText>
            </w:r>
            <w:r>
              <w:rPr>
                <w:webHidden/>
              </w:rPr>
            </w:r>
            <w:r>
              <w:rPr>
                <w:webHidden/>
              </w:rPr>
              <w:fldChar w:fldCharType="separate"/>
            </w:r>
            <w:r w:rsidR="00CB5C15">
              <w:rPr>
                <w:webHidden/>
              </w:rPr>
              <w:t>53</w:t>
            </w:r>
            <w:r>
              <w:rPr>
                <w:webHidden/>
              </w:rPr>
              <w:fldChar w:fldCharType="end"/>
            </w:r>
          </w:hyperlink>
        </w:p>
        <w:p w14:paraId="0026172E" w14:textId="53D70E3F" w:rsidR="00D67950" w:rsidRDefault="00D67950">
          <w:pPr>
            <w:pStyle w:val="TOC2"/>
            <w:rPr>
              <w:rFonts w:asciiTheme="minorHAnsi" w:eastAsiaTheme="minorEastAsia" w:hAnsiTheme="minorHAnsi" w:cstheme="minorBidi"/>
              <w:color w:val="auto"/>
              <w:kern w:val="2"/>
              <w:sz w:val="24"/>
              <w:szCs w:val="24"/>
              <w14:ligatures w14:val="standardContextual"/>
            </w:rPr>
          </w:pPr>
          <w:hyperlink w:anchor="_Toc223104866" w:history="1">
            <w:r w:rsidRPr="000E582C">
              <w:rPr>
                <w:rStyle w:val="Hyperlink"/>
                <w:lang w:val="en-IE"/>
              </w:rPr>
              <w:t>1.6</w:t>
            </w:r>
            <w:r>
              <w:rPr>
                <w:rFonts w:asciiTheme="minorHAnsi" w:eastAsiaTheme="minorEastAsia" w:hAnsiTheme="minorHAnsi" w:cstheme="minorBidi"/>
                <w:color w:val="auto"/>
                <w:kern w:val="2"/>
                <w:sz w:val="24"/>
                <w:szCs w:val="24"/>
                <w14:ligatures w14:val="standardContextual"/>
              </w:rPr>
              <w:tab/>
            </w:r>
            <w:r w:rsidRPr="000E582C">
              <w:rPr>
                <w:rStyle w:val="Hyperlink"/>
                <w:lang w:val="en-IE"/>
              </w:rPr>
              <w:t>AML.07.01 Governance/Culture and Compliance</w:t>
            </w:r>
            <w:r>
              <w:rPr>
                <w:webHidden/>
              </w:rPr>
              <w:tab/>
            </w:r>
            <w:r>
              <w:rPr>
                <w:webHidden/>
              </w:rPr>
              <w:fldChar w:fldCharType="begin"/>
            </w:r>
            <w:r>
              <w:rPr>
                <w:webHidden/>
              </w:rPr>
              <w:instrText xml:space="preserve"> PAGEREF _Toc223104866 \h </w:instrText>
            </w:r>
            <w:r>
              <w:rPr>
                <w:webHidden/>
              </w:rPr>
            </w:r>
            <w:r>
              <w:rPr>
                <w:webHidden/>
              </w:rPr>
              <w:fldChar w:fldCharType="separate"/>
            </w:r>
            <w:r w:rsidR="00CB5C15">
              <w:rPr>
                <w:webHidden/>
              </w:rPr>
              <w:t>53</w:t>
            </w:r>
            <w:r>
              <w:rPr>
                <w:webHidden/>
              </w:rPr>
              <w:fldChar w:fldCharType="end"/>
            </w:r>
          </w:hyperlink>
        </w:p>
        <w:p w14:paraId="5053E04E" w14:textId="4D6D65BB" w:rsidR="00D67950" w:rsidRDefault="00D67950">
          <w:pPr>
            <w:pStyle w:val="TOC2"/>
            <w:rPr>
              <w:rFonts w:asciiTheme="minorHAnsi" w:eastAsiaTheme="minorEastAsia" w:hAnsiTheme="minorHAnsi" w:cstheme="minorBidi"/>
              <w:color w:val="auto"/>
              <w:kern w:val="2"/>
              <w:sz w:val="24"/>
              <w:szCs w:val="24"/>
              <w14:ligatures w14:val="standardContextual"/>
            </w:rPr>
          </w:pPr>
          <w:hyperlink w:anchor="_Toc223104867" w:history="1">
            <w:r w:rsidRPr="000E582C">
              <w:rPr>
                <w:rStyle w:val="Hyperlink"/>
                <w:lang w:val="en-IE"/>
              </w:rPr>
              <w:t>1.7</w:t>
            </w:r>
            <w:r>
              <w:rPr>
                <w:rFonts w:asciiTheme="minorHAnsi" w:eastAsiaTheme="minorEastAsia" w:hAnsiTheme="minorHAnsi" w:cstheme="minorBidi"/>
                <w:color w:val="auto"/>
                <w:kern w:val="2"/>
                <w:sz w:val="24"/>
                <w:szCs w:val="24"/>
                <w14:ligatures w14:val="standardContextual"/>
              </w:rPr>
              <w:tab/>
            </w:r>
            <w:r w:rsidRPr="000E582C">
              <w:rPr>
                <w:rStyle w:val="Hyperlink"/>
                <w:lang w:val="en-IE"/>
              </w:rPr>
              <w:t>AML.07.02 Internal compliance reporting - outsourcing and audit</w:t>
            </w:r>
            <w:r>
              <w:rPr>
                <w:webHidden/>
              </w:rPr>
              <w:tab/>
            </w:r>
            <w:r>
              <w:rPr>
                <w:webHidden/>
              </w:rPr>
              <w:fldChar w:fldCharType="begin"/>
            </w:r>
            <w:r>
              <w:rPr>
                <w:webHidden/>
              </w:rPr>
              <w:instrText xml:space="preserve"> PAGEREF _Toc223104867 \h </w:instrText>
            </w:r>
            <w:r>
              <w:rPr>
                <w:webHidden/>
              </w:rPr>
            </w:r>
            <w:r>
              <w:rPr>
                <w:webHidden/>
              </w:rPr>
              <w:fldChar w:fldCharType="separate"/>
            </w:r>
            <w:r w:rsidR="00CB5C15">
              <w:rPr>
                <w:webHidden/>
              </w:rPr>
              <w:t>55</w:t>
            </w:r>
            <w:r>
              <w:rPr>
                <w:webHidden/>
              </w:rPr>
              <w:fldChar w:fldCharType="end"/>
            </w:r>
          </w:hyperlink>
        </w:p>
        <w:p w14:paraId="3CD0EAB4" w14:textId="760B3126" w:rsidR="00D67950" w:rsidRDefault="00D67950">
          <w:pPr>
            <w:pStyle w:val="TOC2"/>
            <w:rPr>
              <w:rFonts w:asciiTheme="minorHAnsi" w:eastAsiaTheme="minorEastAsia" w:hAnsiTheme="minorHAnsi" w:cstheme="minorBidi"/>
              <w:color w:val="auto"/>
              <w:kern w:val="2"/>
              <w:sz w:val="24"/>
              <w:szCs w:val="24"/>
              <w14:ligatures w14:val="standardContextual"/>
            </w:rPr>
          </w:pPr>
          <w:hyperlink w:anchor="_Toc223104868" w:history="1">
            <w:r w:rsidRPr="000E582C">
              <w:rPr>
                <w:rStyle w:val="Hyperlink"/>
                <w:lang w:val="en-IE"/>
              </w:rPr>
              <w:t>1.8</w:t>
            </w:r>
            <w:r>
              <w:rPr>
                <w:rFonts w:asciiTheme="minorHAnsi" w:eastAsiaTheme="minorEastAsia" w:hAnsiTheme="minorHAnsi" w:cstheme="minorBidi"/>
                <w:color w:val="auto"/>
                <w:kern w:val="2"/>
                <w:sz w:val="24"/>
                <w:szCs w:val="24"/>
                <w14:ligatures w14:val="standardContextual"/>
              </w:rPr>
              <w:tab/>
            </w:r>
            <w:r w:rsidRPr="000E582C">
              <w:rPr>
                <w:rStyle w:val="Hyperlink"/>
                <w:lang w:val="en-IE"/>
              </w:rPr>
              <w:t>AML.07.03 Risk Assessment</w:t>
            </w:r>
            <w:r>
              <w:rPr>
                <w:webHidden/>
              </w:rPr>
              <w:tab/>
            </w:r>
            <w:r>
              <w:rPr>
                <w:webHidden/>
              </w:rPr>
              <w:fldChar w:fldCharType="begin"/>
            </w:r>
            <w:r>
              <w:rPr>
                <w:webHidden/>
              </w:rPr>
              <w:instrText xml:space="preserve"> PAGEREF _Toc223104868 \h </w:instrText>
            </w:r>
            <w:r>
              <w:rPr>
                <w:webHidden/>
              </w:rPr>
            </w:r>
            <w:r>
              <w:rPr>
                <w:webHidden/>
              </w:rPr>
              <w:fldChar w:fldCharType="separate"/>
            </w:r>
            <w:r w:rsidR="00CB5C15">
              <w:rPr>
                <w:webHidden/>
              </w:rPr>
              <w:t>59</w:t>
            </w:r>
            <w:r>
              <w:rPr>
                <w:webHidden/>
              </w:rPr>
              <w:fldChar w:fldCharType="end"/>
            </w:r>
          </w:hyperlink>
        </w:p>
        <w:p w14:paraId="35C8BF80" w14:textId="348B6BE5" w:rsidR="00D67950" w:rsidRDefault="00D67950">
          <w:pPr>
            <w:pStyle w:val="TOC2"/>
            <w:rPr>
              <w:rFonts w:asciiTheme="minorHAnsi" w:eastAsiaTheme="minorEastAsia" w:hAnsiTheme="minorHAnsi" w:cstheme="minorBidi"/>
              <w:color w:val="auto"/>
              <w:kern w:val="2"/>
              <w:sz w:val="24"/>
              <w:szCs w:val="24"/>
              <w14:ligatures w14:val="standardContextual"/>
            </w:rPr>
          </w:pPr>
          <w:hyperlink w:anchor="_Toc223104869" w:history="1">
            <w:r w:rsidRPr="000E582C">
              <w:rPr>
                <w:rStyle w:val="Hyperlink"/>
                <w:lang w:val="en-IE"/>
              </w:rPr>
              <w:t>1.9</w:t>
            </w:r>
            <w:r>
              <w:rPr>
                <w:rFonts w:asciiTheme="minorHAnsi" w:eastAsiaTheme="minorEastAsia" w:hAnsiTheme="minorHAnsi" w:cstheme="minorBidi"/>
                <w:color w:val="auto"/>
                <w:kern w:val="2"/>
                <w:sz w:val="24"/>
                <w:szCs w:val="24"/>
                <w14:ligatures w14:val="standardContextual"/>
              </w:rPr>
              <w:tab/>
            </w:r>
            <w:r w:rsidRPr="000E582C">
              <w:rPr>
                <w:rStyle w:val="Hyperlink"/>
                <w:lang w:val="en-IE"/>
              </w:rPr>
              <w:t>AML.07.04 Customer Due Diligence and Monitoring</w:t>
            </w:r>
            <w:r>
              <w:rPr>
                <w:webHidden/>
              </w:rPr>
              <w:tab/>
            </w:r>
            <w:r>
              <w:rPr>
                <w:webHidden/>
              </w:rPr>
              <w:fldChar w:fldCharType="begin"/>
            </w:r>
            <w:r>
              <w:rPr>
                <w:webHidden/>
              </w:rPr>
              <w:instrText xml:space="preserve"> PAGEREF _Toc223104869 \h </w:instrText>
            </w:r>
            <w:r>
              <w:rPr>
                <w:webHidden/>
              </w:rPr>
            </w:r>
            <w:r>
              <w:rPr>
                <w:webHidden/>
              </w:rPr>
              <w:fldChar w:fldCharType="separate"/>
            </w:r>
            <w:r w:rsidR="00CB5C15">
              <w:rPr>
                <w:webHidden/>
              </w:rPr>
              <w:t>60</w:t>
            </w:r>
            <w:r>
              <w:rPr>
                <w:webHidden/>
              </w:rPr>
              <w:fldChar w:fldCharType="end"/>
            </w:r>
          </w:hyperlink>
        </w:p>
        <w:p w14:paraId="71676F9B" w14:textId="7C9BEE05" w:rsidR="00D67950" w:rsidRDefault="00D67950">
          <w:pPr>
            <w:pStyle w:val="TOC2"/>
            <w:rPr>
              <w:rFonts w:asciiTheme="minorHAnsi" w:eastAsiaTheme="minorEastAsia" w:hAnsiTheme="minorHAnsi" w:cstheme="minorBidi"/>
              <w:color w:val="auto"/>
              <w:kern w:val="2"/>
              <w:sz w:val="24"/>
              <w:szCs w:val="24"/>
              <w14:ligatures w14:val="standardContextual"/>
            </w:rPr>
          </w:pPr>
          <w:hyperlink w:anchor="_Toc223104870" w:history="1">
            <w:r w:rsidRPr="000E582C">
              <w:rPr>
                <w:rStyle w:val="Hyperlink"/>
                <w:lang w:val="en-IE"/>
              </w:rPr>
              <w:t>1.10</w:t>
            </w:r>
            <w:r>
              <w:rPr>
                <w:rFonts w:asciiTheme="minorHAnsi" w:eastAsiaTheme="minorEastAsia" w:hAnsiTheme="minorHAnsi" w:cstheme="minorBidi"/>
                <w:color w:val="auto"/>
                <w:kern w:val="2"/>
                <w:sz w:val="24"/>
                <w:szCs w:val="24"/>
                <w14:ligatures w14:val="standardContextual"/>
              </w:rPr>
              <w:tab/>
            </w:r>
            <w:r w:rsidRPr="000E582C">
              <w:rPr>
                <w:rStyle w:val="Hyperlink"/>
                <w:lang w:val="en-IE"/>
              </w:rPr>
              <w:t>AML.07.05 Transaction Monitoring and Suspicious Activity Reporting</w:t>
            </w:r>
            <w:r>
              <w:rPr>
                <w:webHidden/>
              </w:rPr>
              <w:tab/>
            </w:r>
            <w:r>
              <w:rPr>
                <w:webHidden/>
              </w:rPr>
              <w:fldChar w:fldCharType="begin"/>
            </w:r>
            <w:r>
              <w:rPr>
                <w:webHidden/>
              </w:rPr>
              <w:instrText xml:space="preserve"> PAGEREF _Toc223104870 \h </w:instrText>
            </w:r>
            <w:r>
              <w:rPr>
                <w:webHidden/>
              </w:rPr>
            </w:r>
            <w:r>
              <w:rPr>
                <w:webHidden/>
              </w:rPr>
              <w:fldChar w:fldCharType="separate"/>
            </w:r>
            <w:r w:rsidR="00CB5C15">
              <w:rPr>
                <w:webHidden/>
              </w:rPr>
              <w:t>62</w:t>
            </w:r>
            <w:r>
              <w:rPr>
                <w:webHidden/>
              </w:rPr>
              <w:fldChar w:fldCharType="end"/>
            </w:r>
          </w:hyperlink>
        </w:p>
        <w:p w14:paraId="283192E8" w14:textId="7F431FE9" w:rsidR="00D67950" w:rsidRDefault="00D67950">
          <w:pPr>
            <w:pStyle w:val="TOC2"/>
            <w:rPr>
              <w:rFonts w:asciiTheme="minorHAnsi" w:eastAsiaTheme="minorEastAsia" w:hAnsiTheme="minorHAnsi" w:cstheme="minorBidi"/>
              <w:color w:val="auto"/>
              <w:kern w:val="2"/>
              <w:sz w:val="24"/>
              <w:szCs w:val="24"/>
              <w14:ligatures w14:val="standardContextual"/>
            </w:rPr>
          </w:pPr>
          <w:hyperlink w:anchor="_Toc223104871" w:history="1">
            <w:r w:rsidRPr="000E582C">
              <w:rPr>
                <w:rStyle w:val="Hyperlink"/>
                <w:lang w:val="en-IE"/>
              </w:rPr>
              <w:t>1.11</w:t>
            </w:r>
            <w:r>
              <w:rPr>
                <w:rFonts w:asciiTheme="minorHAnsi" w:eastAsiaTheme="minorEastAsia" w:hAnsiTheme="minorHAnsi" w:cstheme="minorBidi"/>
                <w:color w:val="auto"/>
                <w:kern w:val="2"/>
                <w:sz w:val="24"/>
                <w:szCs w:val="24"/>
                <w14:ligatures w14:val="standardContextual"/>
              </w:rPr>
              <w:tab/>
            </w:r>
            <w:r w:rsidRPr="000E582C">
              <w:rPr>
                <w:rStyle w:val="Hyperlink"/>
                <w:lang w:val="en-IE"/>
              </w:rPr>
              <w:t>AML.07.06 Targeted Financial Sanctions and Compliance with Fund Transfers Regulation</w:t>
            </w:r>
            <w:r>
              <w:rPr>
                <w:webHidden/>
              </w:rPr>
              <w:tab/>
            </w:r>
            <w:r>
              <w:rPr>
                <w:webHidden/>
              </w:rPr>
              <w:fldChar w:fldCharType="begin"/>
            </w:r>
            <w:r>
              <w:rPr>
                <w:webHidden/>
              </w:rPr>
              <w:instrText xml:space="preserve"> PAGEREF _Toc223104871 \h </w:instrText>
            </w:r>
            <w:r>
              <w:rPr>
                <w:webHidden/>
              </w:rPr>
            </w:r>
            <w:r>
              <w:rPr>
                <w:webHidden/>
              </w:rPr>
              <w:fldChar w:fldCharType="separate"/>
            </w:r>
            <w:r w:rsidR="00CB5C15">
              <w:rPr>
                <w:webHidden/>
              </w:rPr>
              <w:t>65</w:t>
            </w:r>
            <w:r>
              <w:rPr>
                <w:webHidden/>
              </w:rPr>
              <w:fldChar w:fldCharType="end"/>
            </w:r>
          </w:hyperlink>
        </w:p>
        <w:p w14:paraId="10DDA307" w14:textId="30C86819" w:rsidR="00D67950" w:rsidRDefault="00D67950">
          <w:pPr>
            <w:pStyle w:val="TOC2"/>
            <w:rPr>
              <w:rFonts w:asciiTheme="minorHAnsi" w:eastAsiaTheme="minorEastAsia" w:hAnsiTheme="minorHAnsi" w:cstheme="minorBidi"/>
              <w:color w:val="auto"/>
              <w:kern w:val="2"/>
              <w:sz w:val="24"/>
              <w:szCs w:val="24"/>
              <w14:ligatures w14:val="standardContextual"/>
            </w:rPr>
          </w:pPr>
          <w:hyperlink w:anchor="_Toc223104872" w:history="1">
            <w:r w:rsidRPr="000E582C">
              <w:rPr>
                <w:rStyle w:val="Hyperlink"/>
                <w:lang w:val="en-IE"/>
              </w:rPr>
              <w:t>1.12</w:t>
            </w:r>
            <w:r>
              <w:rPr>
                <w:rFonts w:asciiTheme="minorHAnsi" w:eastAsiaTheme="minorEastAsia" w:hAnsiTheme="minorHAnsi" w:cstheme="minorBidi"/>
                <w:color w:val="auto"/>
                <w:kern w:val="2"/>
                <w:sz w:val="24"/>
                <w:szCs w:val="24"/>
                <w14:ligatures w14:val="standardContextual"/>
              </w:rPr>
              <w:tab/>
            </w:r>
            <w:r w:rsidRPr="000E582C">
              <w:rPr>
                <w:rStyle w:val="Hyperlink"/>
                <w:lang w:val="en-IE"/>
              </w:rPr>
              <w:t>AML.07.07 Group-wide AML/CFT Framework</w:t>
            </w:r>
            <w:r>
              <w:rPr>
                <w:webHidden/>
              </w:rPr>
              <w:tab/>
            </w:r>
            <w:r>
              <w:rPr>
                <w:webHidden/>
              </w:rPr>
              <w:fldChar w:fldCharType="begin"/>
            </w:r>
            <w:r>
              <w:rPr>
                <w:webHidden/>
              </w:rPr>
              <w:instrText xml:space="preserve"> PAGEREF _Toc223104872 \h </w:instrText>
            </w:r>
            <w:r>
              <w:rPr>
                <w:webHidden/>
              </w:rPr>
            </w:r>
            <w:r>
              <w:rPr>
                <w:webHidden/>
              </w:rPr>
              <w:fldChar w:fldCharType="separate"/>
            </w:r>
            <w:r w:rsidR="00CB5C15">
              <w:rPr>
                <w:webHidden/>
              </w:rPr>
              <w:t>67</w:t>
            </w:r>
            <w:r>
              <w:rPr>
                <w:webHidden/>
              </w:rPr>
              <w:fldChar w:fldCharType="end"/>
            </w:r>
          </w:hyperlink>
        </w:p>
        <w:p w14:paraId="21C407BB" w14:textId="3EEC464C" w:rsidR="00D67950" w:rsidRDefault="00D67950">
          <w:pPr>
            <w:pStyle w:val="TOC1"/>
            <w:rPr>
              <w:rFonts w:asciiTheme="minorHAnsi" w:eastAsiaTheme="minorEastAsia" w:hAnsiTheme="minorHAnsi" w:cstheme="minorBidi"/>
              <w:b w:val="0"/>
              <w:color w:val="auto"/>
              <w:kern w:val="2"/>
              <w:sz w:val="24"/>
              <w:szCs w:val="24"/>
              <w14:ligatures w14:val="standardContextual"/>
            </w:rPr>
          </w:pPr>
          <w:hyperlink w:anchor="_Toc223104873" w:history="1">
            <w:r w:rsidRPr="000E582C">
              <w:rPr>
                <w:rStyle w:val="Hyperlink"/>
                <w:lang w:val="en-GB"/>
              </w:rPr>
              <w:t>Annex 1 Reference table data points / labels</w:t>
            </w:r>
            <w:r>
              <w:rPr>
                <w:webHidden/>
              </w:rPr>
              <w:tab/>
            </w:r>
            <w:r>
              <w:rPr>
                <w:webHidden/>
              </w:rPr>
              <w:fldChar w:fldCharType="begin"/>
            </w:r>
            <w:r>
              <w:rPr>
                <w:webHidden/>
              </w:rPr>
              <w:instrText xml:space="preserve"> PAGEREF _Toc223104873 \h </w:instrText>
            </w:r>
            <w:r>
              <w:rPr>
                <w:webHidden/>
              </w:rPr>
            </w:r>
            <w:r>
              <w:rPr>
                <w:webHidden/>
              </w:rPr>
              <w:fldChar w:fldCharType="separate"/>
            </w:r>
            <w:r w:rsidR="00CB5C15">
              <w:rPr>
                <w:webHidden/>
              </w:rPr>
              <w:t>70</w:t>
            </w:r>
            <w:r>
              <w:rPr>
                <w:webHidden/>
              </w:rPr>
              <w:fldChar w:fldCharType="end"/>
            </w:r>
          </w:hyperlink>
        </w:p>
        <w:p w14:paraId="78694FA5" w14:textId="1D2E0C53" w:rsidR="00D67950" w:rsidRDefault="00D67950">
          <w:pPr>
            <w:pStyle w:val="TOC1"/>
            <w:rPr>
              <w:rFonts w:asciiTheme="minorHAnsi" w:eastAsiaTheme="minorEastAsia" w:hAnsiTheme="minorHAnsi" w:cstheme="minorBidi"/>
              <w:b w:val="0"/>
              <w:color w:val="auto"/>
              <w:kern w:val="2"/>
              <w:sz w:val="24"/>
              <w:szCs w:val="24"/>
              <w14:ligatures w14:val="standardContextual"/>
            </w:rPr>
          </w:pPr>
          <w:hyperlink w:anchor="_Toc223104874" w:history="1">
            <w:r w:rsidRPr="000E582C">
              <w:rPr>
                <w:rStyle w:val="Hyperlink"/>
                <w:rFonts w:ascii="Aptos" w:eastAsia="Aptos" w:hAnsi="Aptos" w:cs="Aptos"/>
                <w:bCs/>
                <w:lang w:val="en-GB"/>
              </w:rPr>
              <w:t>Annex 2 Definitions</w:t>
            </w:r>
            <w:r>
              <w:rPr>
                <w:webHidden/>
              </w:rPr>
              <w:tab/>
            </w:r>
            <w:r>
              <w:rPr>
                <w:webHidden/>
              </w:rPr>
              <w:fldChar w:fldCharType="begin"/>
            </w:r>
            <w:r>
              <w:rPr>
                <w:webHidden/>
              </w:rPr>
              <w:instrText xml:space="preserve"> PAGEREF _Toc223104874 \h </w:instrText>
            </w:r>
            <w:r>
              <w:rPr>
                <w:webHidden/>
              </w:rPr>
            </w:r>
            <w:r>
              <w:rPr>
                <w:webHidden/>
              </w:rPr>
              <w:fldChar w:fldCharType="separate"/>
            </w:r>
            <w:r w:rsidR="00CB5C15">
              <w:rPr>
                <w:webHidden/>
              </w:rPr>
              <w:t>89</w:t>
            </w:r>
            <w:r>
              <w:rPr>
                <w:webHidden/>
              </w:rPr>
              <w:fldChar w:fldCharType="end"/>
            </w:r>
          </w:hyperlink>
        </w:p>
        <w:p w14:paraId="5DC4B1A4" w14:textId="3C9FF5D7" w:rsidR="0056452B" w:rsidRPr="008B7A29" w:rsidRDefault="00A172C1" w:rsidP="0056452B">
          <w:pPr>
            <w:rPr>
              <w:rFonts w:asciiTheme="minorHAnsi" w:hAnsiTheme="minorHAnsi"/>
              <w:bCs/>
              <w:noProof/>
            </w:rPr>
          </w:pPr>
          <w:r w:rsidRPr="008B7A29">
            <w:rPr>
              <w:rFonts w:asciiTheme="minorHAnsi" w:hAnsiTheme="minorHAnsi"/>
              <w:b/>
              <w:noProof/>
            </w:rPr>
            <w:fldChar w:fldCharType="end"/>
          </w:r>
        </w:p>
      </w:sdtContent>
    </w:sdt>
    <w:p w14:paraId="5DDFD085" w14:textId="77777777" w:rsidR="00FF427C" w:rsidRPr="008B7A29" w:rsidRDefault="00FF427C">
      <w:pPr>
        <w:spacing w:before="0" w:after="0" w:line="240" w:lineRule="auto"/>
        <w:rPr>
          <w:rFonts w:asciiTheme="minorHAnsi" w:hAnsiTheme="minorHAnsi"/>
        </w:rPr>
      </w:pPr>
      <w:r w:rsidRPr="008B7A29">
        <w:rPr>
          <w:rFonts w:asciiTheme="minorHAnsi" w:hAnsiTheme="minorHAnsi"/>
        </w:rPr>
        <w:br w:type="page"/>
      </w:r>
    </w:p>
    <w:p w14:paraId="554A7230" w14:textId="6812EB15" w:rsidR="00A801D7" w:rsidRPr="008B7A29" w:rsidRDefault="00A801D7" w:rsidP="00A801D7">
      <w:pPr>
        <w:pStyle w:val="Heading1"/>
        <w:jc w:val="both"/>
        <w:rPr>
          <w:rFonts w:asciiTheme="minorHAnsi" w:hAnsiTheme="minorHAnsi"/>
          <w:lang w:val="en-GB"/>
        </w:rPr>
      </w:pPr>
      <w:bookmarkStart w:id="0" w:name="_Toc221355960"/>
      <w:bookmarkStart w:id="1" w:name="_Toc223104815"/>
      <w:r w:rsidRPr="008B7A29">
        <w:rPr>
          <w:rFonts w:asciiTheme="minorHAnsi" w:hAnsiTheme="minorHAnsi"/>
          <w:lang w:val="en-GB"/>
        </w:rPr>
        <w:t>Interpret</w:t>
      </w:r>
      <w:r w:rsidR="00785B7F">
        <w:rPr>
          <w:rFonts w:asciiTheme="minorHAnsi" w:hAnsiTheme="minorHAnsi"/>
          <w:lang w:val="en-GB"/>
        </w:rPr>
        <w:t>at</w:t>
      </w:r>
      <w:r w:rsidRPr="008B7A29">
        <w:rPr>
          <w:rFonts w:asciiTheme="minorHAnsi" w:hAnsiTheme="minorHAnsi"/>
          <w:lang w:val="en-GB"/>
        </w:rPr>
        <w:t xml:space="preserve">ive note </w:t>
      </w:r>
      <w:r w:rsidR="00D67950">
        <w:rPr>
          <w:rFonts w:asciiTheme="minorHAnsi" w:hAnsiTheme="minorHAnsi"/>
          <w:lang w:val="en-GB"/>
        </w:rPr>
        <w:t>on</w:t>
      </w:r>
      <w:r w:rsidRPr="008B7A29">
        <w:rPr>
          <w:rFonts w:asciiTheme="minorHAnsi" w:hAnsiTheme="minorHAnsi"/>
          <w:lang w:val="en-GB"/>
        </w:rPr>
        <w:t xml:space="preserve"> the data points listed in Annex 1 to the Draft RTSs</w:t>
      </w:r>
      <w:bookmarkEnd w:id="0"/>
      <w:bookmarkEnd w:id="1"/>
    </w:p>
    <w:p w14:paraId="75E3E512" w14:textId="57C076BC" w:rsidR="001B32AE" w:rsidRPr="008B7A29" w:rsidRDefault="00F23125" w:rsidP="00F23125">
      <w:pPr>
        <w:pStyle w:val="Heading2"/>
        <w:rPr>
          <w:rFonts w:asciiTheme="minorHAnsi" w:hAnsiTheme="minorHAnsi"/>
          <w:lang w:val="en-GB"/>
        </w:rPr>
      </w:pPr>
      <w:bookmarkStart w:id="2" w:name="_Toc223018871"/>
      <w:bookmarkStart w:id="3" w:name="_Toc223021669"/>
      <w:bookmarkStart w:id="4" w:name="_Toc223086517"/>
      <w:bookmarkStart w:id="5" w:name="_Toc223086611"/>
      <w:bookmarkStart w:id="6" w:name="_Toc223086705"/>
      <w:bookmarkStart w:id="7" w:name="_Toc223086799"/>
      <w:bookmarkStart w:id="8" w:name="_Toc221355961"/>
      <w:bookmarkStart w:id="9" w:name="_Toc223104816"/>
      <w:bookmarkEnd w:id="2"/>
      <w:bookmarkEnd w:id="3"/>
      <w:bookmarkEnd w:id="4"/>
      <w:bookmarkEnd w:id="5"/>
      <w:bookmarkEnd w:id="6"/>
      <w:bookmarkEnd w:id="7"/>
      <w:r w:rsidRPr="008B7A29">
        <w:rPr>
          <w:rFonts w:asciiTheme="minorHAnsi" w:hAnsiTheme="minorHAnsi"/>
          <w:lang w:val="en-GB"/>
        </w:rPr>
        <w:t>General instructions</w:t>
      </w:r>
      <w:bookmarkEnd w:id="8"/>
      <w:bookmarkEnd w:id="9"/>
    </w:p>
    <w:p w14:paraId="39CAE7F3" w14:textId="77777777" w:rsidR="00882A55" w:rsidRPr="00882A55" w:rsidRDefault="00882A55" w:rsidP="00F6146D">
      <w:pPr>
        <w:pStyle w:val="Heading3"/>
        <w:jc w:val="both"/>
        <w:rPr>
          <w:lang w:val="en-IE"/>
        </w:rPr>
      </w:pPr>
      <w:bookmarkStart w:id="10" w:name="_Toc223104817"/>
      <w:r w:rsidRPr="00882A55">
        <w:rPr>
          <w:lang w:val="en-IE"/>
        </w:rPr>
        <w:t>Purpose and status of this interpretative note</w:t>
      </w:r>
      <w:bookmarkEnd w:id="10"/>
    </w:p>
    <w:p w14:paraId="38312E5E" w14:textId="414AE2B0" w:rsidR="00882A55" w:rsidRPr="00882A55" w:rsidRDefault="00882A55" w:rsidP="00882A55">
      <w:pPr>
        <w:jc w:val="both"/>
        <w:rPr>
          <w:rFonts w:asciiTheme="minorHAnsi" w:hAnsiTheme="minorHAnsi"/>
          <w:lang w:val="en-IE"/>
        </w:rPr>
      </w:pPr>
      <w:r w:rsidRPr="00882A55">
        <w:rPr>
          <w:rFonts w:asciiTheme="minorHAnsi" w:hAnsiTheme="minorHAnsi"/>
          <w:lang w:val="en-IE"/>
        </w:rPr>
        <w:t xml:space="preserve">This </w:t>
      </w:r>
      <w:r w:rsidR="00DA141D">
        <w:rPr>
          <w:rFonts w:asciiTheme="minorHAnsi" w:hAnsiTheme="minorHAnsi"/>
          <w:lang w:val="en-IE"/>
        </w:rPr>
        <w:t>I</w:t>
      </w:r>
      <w:r w:rsidRPr="00882A55">
        <w:rPr>
          <w:rFonts w:asciiTheme="minorHAnsi" w:hAnsiTheme="minorHAnsi"/>
          <w:lang w:val="en-IE"/>
        </w:rPr>
        <w:t xml:space="preserve">nterpretative </w:t>
      </w:r>
      <w:r w:rsidR="00DA141D">
        <w:rPr>
          <w:rFonts w:asciiTheme="minorHAnsi" w:hAnsiTheme="minorHAnsi"/>
          <w:lang w:val="en-IE"/>
        </w:rPr>
        <w:t>N</w:t>
      </w:r>
      <w:r w:rsidRPr="00882A55">
        <w:rPr>
          <w:rFonts w:asciiTheme="minorHAnsi" w:hAnsiTheme="minorHAnsi"/>
          <w:lang w:val="en-IE"/>
        </w:rPr>
        <w:t xml:space="preserve">ote provides a structured and operational representation of the reporting obligations for the testing and calibration exercise particularly arising from </w:t>
      </w:r>
      <w:r w:rsidR="002F12E7">
        <w:rPr>
          <w:rFonts w:asciiTheme="minorHAnsi" w:hAnsiTheme="minorHAnsi"/>
          <w:lang w:val="en-IE"/>
        </w:rPr>
        <w:t>the</w:t>
      </w:r>
      <w:r w:rsidR="004E08F8">
        <w:rPr>
          <w:rFonts w:asciiTheme="minorHAnsi" w:hAnsiTheme="minorHAnsi"/>
          <w:lang w:val="en-IE"/>
        </w:rPr>
        <w:t xml:space="preserve"> draft</w:t>
      </w:r>
      <w:r w:rsidR="002F12E7">
        <w:rPr>
          <w:rFonts w:asciiTheme="minorHAnsi" w:hAnsiTheme="minorHAnsi"/>
          <w:lang w:val="en-IE"/>
        </w:rPr>
        <w:t xml:space="preserve"> </w:t>
      </w:r>
      <w:r>
        <w:rPr>
          <w:rFonts w:asciiTheme="minorHAnsi" w:hAnsiTheme="minorHAnsi"/>
          <w:lang w:val="en-IE"/>
        </w:rPr>
        <w:t xml:space="preserve">RTS </w:t>
      </w:r>
      <w:r w:rsidR="004E08F8">
        <w:rPr>
          <w:rFonts w:asciiTheme="minorHAnsi" w:hAnsiTheme="minorHAnsi"/>
          <w:lang w:val="en-IE"/>
        </w:rPr>
        <w:t>under</w:t>
      </w:r>
      <w:r w:rsidR="0094180B">
        <w:rPr>
          <w:rFonts w:asciiTheme="minorHAnsi" w:hAnsiTheme="minorHAnsi"/>
          <w:lang w:val="en-IE"/>
        </w:rPr>
        <w:t xml:space="preserve"> </w:t>
      </w:r>
      <w:r w:rsidR="00DD06B3">
        <w:rPr>
          <w:rFonts w:asciiTheme="minorHAnsi" w:hAnsiTheme="minorHAnsi"/>
          <w:lang w:val="en-IE"/>
        </w:rPr>
        <w:t>A</w:t>
      </w:r>
      <w:r w:rsidR="0094180B">
        <w:rPr>
          <w:rFonts w:asciiTheme="minorHAnsi" w:hAnsiTheme="minorHAnsi"/>
          <w:lang w:val="en-IE"/>
        </w:rPr>
        <w:t xml:space="preserve">rticle 12(7) </w:t>
      </w:r>
      <w:r w:rsidR="00B53CFA">
        <w:rPr>
          <w:rFonts w:asciiTheme="minorHAnsi" w:hAnsiTheme="minorHAnsi"/>
          <w:lang w:val="en-IE"/>
        </w:rPr>
        <w:t xml:space="preserve">of </w:t>
      </w:r>
      <w:r w:rsidR="00B53CFA" w:rsidRPr="00B53CFA">
        <w:rPr>
          <w:rFonts w:asciiTheme="minorHAnsi" w:hAnsiTheme="minorHAnsi"/>
          <w:lang w:val="en-IE"/>
        </w:rPr>
        <w:t xml:space="preserve">Regulation (EU) 2024/1620 </w:t>
      </w:r>
      <w:r w:rsidR="00B53CFA">
        <w:rPr>
          <w:rFonts w:asciiTheme="minorHAnsi" w:hAnsiTheme="minorHAnsi"/>
          <w:lang w:val="en-IE"/>
        </w:rPr>
        <w:t>(</w:t>
      </w:r>
      <w:r w:rsidR="0094180B">
        <w:rPr>
          <w:rFonts w:asciiTheme="minorHAnsi" w:hAnsiTheme="minorHAnsi"/>
          <w:lang w:val="en-IE"/>
        </w:rPr>
        <w:t>AMLAR</w:t>
      </w:r>
      <w:r w:rsidR="00B53CFA">
        <w:rPr>
          <w:rFonts w:asciiTheme="minorHAnsi" w:hAnsiTheme="minorHAnsi"/>
          <w:lang w:val="en-IE"/>
        </w:rPr>
        <w:t>)</w:t>
      </w:r>
      <w:r w:rsidR="0094180B">
        <w:rPr>
          <w:rFonts w:asciiTheme="minorHAnsi" w:hAnsiTheme="minorHAnsi"/>
          <w:lang w:val="en-IE"/>
        </w:rPr>
        <w:t xml:space="preserve"> and </w:t>
      </w:r>
      <w:r w:rsidR="002F12E7">
        <w:rPr>
          <w:rFonts w:asciiTheme="minorHAnsi" w:hAnsiTheme="minorHAnsi"/>
          <w:lang w:val="en-IE"/>
        </w:rPr>
        <w:t>the</w:t>
      </w:r>
      <w:r w:rsidR="004E08F8">
        <w:rPr>
          <w:rFonts w:asciiTheme="minorHAnsi" w:hAnsiTheme="minorHAnsi"/>
          <w:lang w:val="en-IE"/>
        </w:rPr>
        <w:t xml:space="preserve"> draft</w:t>
      </w:r>
      <w:r w:rsidR="002F12E7">
        <w:rPr>
          <w:rFonts w:asciiTheme="minorHAnsi" w:hAnsiTheme="minorHAnsi"/>
          <w:lang w:val="en-IE"/>
        </w:rPr>
        <w:t xml:space="preserve"> </w:t>
      </w:r>
      <w:r w:rsidR="0094180B">
        <w:rPr>
          <w:rFonts w:asciiTheme="minorHAnsi" w:hAnsiTheme="minorHAnsi"/>
          <w:lang w:val="en-IE"/>
        </w:rPr>
        <w:t xml:space="preserve">RTS </w:t>
      </w:r>
      <w:r w:rsidR="004E08F8">
        <w:rPr>
          <w:rFonts w:asciiTheme="minorHAnsi" w:hAnsiTheme="minorHAnsi"/>
          <w:lang w:val="en-IE"/>
        </w:rPr>
        <w:t>under</w:t>
      </w:r>
      <w:r w:rsidR="0094180B">
        <w:rPr>
          <w:rFonts w:asciiTheme="minorHAnsi" w:hAnsiTheme="minorHAnsi"/>
          <w:lang w:val="en-IE"/>
        </w:rPr>
        <w:t xml:space="preserve"> </w:t>
      </w:r>
      <w:r w:rsidR="00B53CFA">
        <w:rPr>
          <w:rFonts w:asciiTheme="minorHAnsi" w:hAnsiTheme="minorHAnsi"/>
          <w:lang w:val="en-IE"/>
        </w:rPr>
        <w:t>A</w:t>
      </w:r>
      <w:r w:rsidR="0094180B">
        <w:rPr>
          <w:rFonts w:asciiTheme="minorHAnsi" w:hAnsiTheme="minorHAnsi"/>
          <w:lang w:val="en-IE"/>
        </w:rPr>
        <w:t xml:space="preserve">rticle 40(2) </w:t>
      </w:r>
      <w:r w:rsidR="005B6AAF">
        <w:rPr>
          <w:rFonts w:asciiTheme="minorHAnsi" w:hAnsiTheme="minorHAnsi"/>
          <w:lang w:val="en-IE"/>
        </w:rPr>
        <w:t>of</w:t>
      </w:r>
      <w:r w:rsidR="0094180B">
        <w:rPr>
          <w:rFonts w:asciiTheme="minorHAnsi" w:hAnsiTheme="minorHAnsi"/>
          <w:lang w:val="en-IE"/>
        </w:rPr>
        <w:t xml:space="preserve"> </w:t>
      </w:r>
      <w:r w:rsidR="005B6AAF" w:rsidRPr="005B6AAF">
        <w:rPr>
          <w:rFonts w:asciiTheme="minorHAnsi" w:hAnsiTheme="minorHAnsi"/>
          <w:lang w:val="en-IE"/>
        </w:rPr>
        <w:t xml:space="preserve">Directive (EU) 2024/1640 </w:t>
      </w:r>
      <w:r w:rsidR="005B6AAF">
        <w:rPr>
          <w:rFonts w:asciiTheme="minorHAnsi" w:hAnsiTheme="minorHAnsi"/>
          <w:lang w:val="en-IE"/>
        </w:rPr>
        <w:t>(</w:t>
      </w:r>
      <w:r w:rsidR="0094180B">
        <w:rPr>
          <w:rFonts w:asciiTheme="minorHAnsi" w:hAnsiTheme="minorHAnsi"/>
          <w:lang w:val="en-IE"/>
        </w:rPr>
        <w:t>AMLD</w:t>
      </w:r>
      <w:r w:rsidR="00887391">
        <w:rPr>
          <w:rFonts w:asciiTheme="minorHAnsi" w:hAnsiTheme="minorHAnsi"/>
          <w:lang w:val="en-IE"/>
        </w:rPr>
        <w:t xml:space="preserve"> VI</w:t>
      </w:r>
      <w:r w:rsidR="005B6AAF">
        <w:rPr>
          <w:rFonts w:asciiTheme="minorHAnsi" w:hAnsiTheme="minorHAnsi"/>
          <w:lang w:val="en-IE"/>
        </w:rPr>
        <w:t>)</w:t>
      </w:r>
      <w:r w:rsidRPr="00882A55">
        <w:rPr>
          <w:rFonts w:asciiTheme="minorHAnsi" w:hAnsiTheme="minorHAnsi"/>
          <w:lang w:val="en-IE"/>
        </w:rPr>
        <w:t>.</w:t>
      </w:r>
    </w:p>
    <w:p w14:paraId="51CCA4DD" w14:textId="683F0C22" w:rsidR="00882A55" w:rsidRPr="00882A55" w:rsidRDefault="00882A55" w:rsidP="00882A55">
      <w:pPr>
        <w:jc w:val="both"/>
        <w:rPr>
          <w:rFonts w:asciiTheme="minorHAnsi" w:hAnsiTheme="minorHAnsi"/>
          <w:lang w:val="en-IE"/>
        </w:rPr>
      </w:pPr>
      <w:r w:rsidRPr="00882A55">
        <w:rPr>
          <w:rFonts w:asciiTheme="minorHAnsi" w:hAnsiTheme="minorHAnsi"/>
          <w:lang w:val="en-IE"/>
        </w:rPr>
        <w:t xml:space="preserve">It translates the legal requirements into reporting templates, datapoint </w:t>
      </w:r>
      <w:r w:rsidR="007F1D14">
        <w:rPr>
          <w:rFonts w:asciiTheme="minorHAnsi" w:hAnsiTheme="minorHAnsi"/>
          <w:lang w:val="en-IE"/>
        </w:rPr>
        <w:t>descriptions</w:t>
      </w:r>
      <w:r w:rsidRPr="00882A55">
        <w:rPr>
          <w:rFonts w:asciiTheme="minorHAnsi" w:hAnsiTheme="minorHAnsi"/>
          <w:lang w:val="en-IE"/>
        </w:rPr>
        <w:t xml:space="preserve"> and practical instructions</w:t>
      </w:r>
      <w:r w:rsidR="009163A1">
        <w:rPr>
          <w:rFonts w:asciiTheme="minorHAnsi" w:hAnsiTheme="minorHAnsi"/>
          <w:lang w:val="en-IE"/>
        </w:rPr>
        <w:t>, with a view</w:t>
      </w:r>
      <w:r w:rsidRPr="00882A55">
        <w:rPr>
          <w:rFonts w:asciiTheme="minorHAnsi" w:hAnsiTheme="minorHAnsi"/>
          <w:lang w:val="en-IE"/>
        </w:rPr>
        <w:t xml:space="preserve"> to </w:t>
      </w:r>
      <w:r w:rsidR="009163A1">
        <w:rPr>
          <w:rFonts w:asciiTheme="minorHAnsi" w:hAnsiTheme="minorHAnsi"/>
          <w:lang w:val="en-IE"/>
        </w:rPr>
        <w:t>supporting</w:t>
      </w:r>
      <w:r w:rsidRPr="00882A55">
        <w:rPr>
          <w:rFonts w:asciiTheme="minorHAnsi" w:hAnsiTheme="minorHAnsi"/>
          <w:lang w:val="en-IE"/>
        </w:rPr>
        <w:t xml:space="preserve"> correct and consistent implementation by </w:t>
      </w:r>
      <w:r w:rsidR="0005305C">
        <w:rPr>
          <w:rFonts w:asciiTheme="minorHAnsi" w:hAnsiTheme="minorHAnsi"/>
          <w:lang w:val="en-IE"/>
        </w:rPr>
        <w:t xml:space="preserve">reporting </w:t>
      </w:r>
      <w:r w:rsidRPr="00882A55">
        <w:rPr>
          <w:rFonts w:asciiTheme="minorHAnsi" w:hAnsiTheme="minorHAnsi"/>
          <w:lang w:val="en-IE"/>
        </w:rPr>
        <w:t xml:space="preserve">obliged entities and national </w:t>
      </w:r>
      <w:r w:rsidR="0005305C">
        <w:rPr>
          <w:rFonts w:asciiTheme="minorHAnsi" w:hAnsiTheme="minorHAnsi"/>
          <w:lang w:val="en-IE"/>
        </w:rPr>
        <w:t>financial supervisors</w:t>
      </w:r>
      <w:r w:rsidRPr="00882A55">
        <w:rPr>
          <w:rFonts w:asciiTheme="minorHAnsi" w:hAnsiTheme="minorHAnsi"/>
          <w:lang w:val="en-IE"/>
        </w:rPr>
        <w:t>.</w:t>
      </w:r>
    </w:p>
    <w:p w14:paraId="32DD8E86" w14:textId="5F1AA561" w:rsidR="00882A55" w:rsidRPr="00882A55" w:rsidRDefault="00882A55" w:rsidP="00882A55">
      <w:pPr>
        <w:jc w:val="both"/>
        <w:rPr>
          <w:rFonts w:asciiTheme="minorHAnsi" w:hAnsiTheme="minorHAnsi"/>
          <w:lang w:val="en-IE"/>
        </w:rPr>
      </w:pPr>
      <w:r w:rsidRPr="00882A55">
        <w:rPr>
          <w:rFonts w:asciiTheme="minorHAnsi" w:hAnsiTheme="minorHAnsi"/>
          <w:lang w:val="en-IE"/>
        </w:rPr>
        <w:t xml:space="preserve">The </w:t>
      </w:r>
      <w:r w:rsidR="007A3F64">
        <w:rPr>
          <w:rFonts w:asciiTheme="minorHAnsi" w:hAnsiTheme="minorHAnsi"/>
          <w:lang w:val="en-IE"/>
        </w:rPr>
        <w:t>N</w:t>
      </w:r>
      <w:r w:rsidR="00083C4C">
        <w:rPr>
          <w:rFonts w:asciiTheme="minorHAnsi" w:hAnsiTheme="minorHAnsi"/>
          <w:lang w:val="en-IE"/>
        </w:rPr>
        <w:t>ote</w:t>
      </w:r>
      <w:r w:rsidRPr="00882A55">
        <w:rPr>
          <w:rFonts w:asciiTheme="minorHAnsi" w:hAnsiTheme="minorHAnsi"/>
          <w:lang w:val="en-IE"/>
        </w:rPr>
        <w:t xml:space="preserve"> is published by AMLA with the purpose of:</w:t>
      </w:r>
    </w:p>
    <w:p w14:paraId="78B17528" w14:textId="77777777" w:rsidR="00882A55" w:rsidRPr="00AC7DD9" w:rsidRDefault="00882A55" w:rsidP="00F6146D">
      <w:pPr>
        <w:pStyle w:val="ListNumber1noindent"/>
        <w:numPr>
          <w:ilvl w:val="0"/>
          <w:numId w:val="91"/>
        </w:numPr>
        <w:jc w:val="both"/>
        <w:rPr>
          <w:rFonts w:asciiTheme="minorHAnsi" w:hAnsiTheme="minorHAnsi"/>
          <w:lang w:val="en-IE"/>
        </w:rPr>
      </w:pPr>
      <w:r w:rsidRPr="00AC7DD9">
        <w:rPr>
          <w:rFonts w:asciiTheme="minorHAnsi" w:hAnsiTheme="minorHAnsi"/>
          <w:lang w:val="en-IE"/>
        </w:rPr>
        <w:t>facilitating the reporting process,</w:t>
      </w:r>
    </w:p>
    <w:p w14:paraId="4AE86E80" w14:textId="060BADA3" w:rsidR="00882A55" w:rsidRPr="00AC7DD9" w:rsidRDefault="00882A55" w:rsidP="00F6146D">
      <w:pPr>
        <w:pStyle w:val="ListNumber1noindent"/>
        <w:numPr>
          <w:ilvl w:val="0"/>
          <w:numId w:val="91"/>
        </w:numPr>
        <w:jc w:val="both"/>
        <w:rPr>
          <w:rFonts w:asciiTheme="minorHAnsi" w:hAnsiTheme="minorHAnsi"/>
          <w:lang w:val="en-IE"/>
        </w:rPr>
      </w:pPr>
      <w:r w:rsidRPr="00AC7DD9">
        <w:rPr>
          <w:rFonts w:asciiTheme="minorHAnsi" w:hAnsiTheme="minorHAnsi"/>
          <w:lang w:val="en-IE"/>
        </w:rPr>
        <w:t>promoting data standardisation and harmonisation,</w:t>
      </w:r>
      <w:r w:rsidR="00C32909" w:rsidRPr="00AC7DD9">
        <w:rPr>
          <w:rFonts w:asciiTheme="minorHAnsi" w:hAnsiTheme="minorHAnsi"/>
          <w:lang w:val="en-IE"/>
        </w:rPr>
        <w:t xml:space="preserve"> and</w:t>
      </w:r>
    </w:p>
    <w:p w14:paraId="51E3FECA" w14:textId="0EA3EE95" w:rsidR="00882A55" w:rsidRPr="00AC7DD9" w:rsidRDefault="00882A55" w:rsidP="00F6146D">
      <w:pPr>
        <w:pStyle w:val="ListNumber1noindent"/>
        <w:numPr>
          <w:ilvl w:val="0"/>
          <w:numId w:val="91"/>
        </w:numPr>
        <w:jc w:val="both"/>
        <w:rPr>
          <w:rFonts w:asciiTheme="minorHAnsi" w:hAnsiTheme="minorHAnsi"/>
          <w:lang w:val="en-IE"/>
        </w:rPr>
      </w:pPr>
      <w:r w:rsidRPr="00AC7DD9">
        <w:rPr>
          <w:rFonts w:asciiTheme="minorHAnsi" w:hAnsiTheme="minorHAnsi"/>
          <w:lang w:val="en-IE"/>
        </w:rPr>
        <w:t>enhancing data quality and comparability</w:t>
      </w:r>
      <w:r w:rsidR="006B2988">
        <w:rPr>
          <w:rFonts w:asciiTheme="minorHAnsi" w:hAnsiTheme="minorHAnsi"/>
          <w:lang w:val="en-IE"/>
        </w:rPr>
        <w:t>.</w:t>
      </w:r>
    </w:p>
    <w:p w14:paraId="1C2259E8" w14:textId="0B26999F" w:rsidR="00F0030F" w:rsidRDefault="0077020B" w:rsidP="003C3829">
      <w:pPr>
        <w:jc w:val="both"/>
        <w:rPr>
          <w:rFonts w:asciiTheme="minorHAnsi" w:hAnsiTheme="minorHAnsi"/>
        </w:rPr>
      </w:pPr>
      <w:r w:rsidRPr="00AC7DD9">
        <w:rPr>
          <w:rFonts w:asciiTheme="minorHAnsi" w:hAnsiTheme="minorHAnsi"/>
        </w:rPr>
        <w:t xml:space="preserve">The clarifications </w:t>
      </w:r>
      <w:r w:rsidR="004A2051">
        <w:rPr>
          <w:rFonts w:asciiTheme="minorHAnsi" w:hAnsiTheme="minorHAnsi"/>
        </w:rPr>
        <w:t xml:space="preserve">set out in this Note </w:t>
      </w:r>
      <w:r w:rsidRPr="00AC7DD9">
        <w:rPr>
          <w:rFonts w:asciiTheme="minorHAnsi" w:hAnsiTheme="minorHAnsi"/>
        </w:rPr>
        <w:t xml:space="preserve">are technical in nature and are </w:t>
      </w:r>
      <w:r w:rsidR="009466FD">
        <w:rPr>
          <w:rFonts w:asciiTheme="minorHAnsi" w:hAnsiTheme="minorHAnsi"/>
        </w:rPr>
        <w:t>provided solely</w:t>
      </w:r>
      <w:r w:rsidRPr="00AC7DD9">
        <w:rPr>
          <w:rFonts w:asciiTheme="minorHAnsi" w:hAnsiTheme="minorHAnsi"/>
        </w:rPr>
        <w:t xml:space="preserve"> for facilitating the reporting </w:t>
      </w:r>
      <w:r w:rsidR="003C5FBA">
        <w:rPr>
          <w:rFonts w:asciiTheme="minorHAnsi" w:hAnsiTheme="minorHAnsi"/>
        </w:rPr>
        <w:t>of the datapoints required under</w:t>
      </w:r>
      <w:r w:rsidRPr="00AC7DD9">
        <w:rPr>
          <w:rFonts w:asciiTheme="minorHAnsi" w:hAnsiTheme="minorHAnsi"/>
        </w:rPr>
        <w:t xml:space="preserve"> the </w:t>
      </w:r>
      <w:r w:rsidR="003C5FBA">
        <w:rPr>
          <w:rFonts w:asciiTheme="minorHAnsi" w:hAnsiTheme="minorHAnsi"/>
        </w:rPr>
        <w:t xml:space="preserve">relevant </w:t>
      </w:r>
      <w:r w:rsidR="00385C1F">
        <w:rPr>
          <w:rFonts w:asciiTheme="minorHAnsi" w:hAnsiTheme="minorHAnsi"/>
        </w:rPr>
        <w:t xml:space="preserve">draft </w:t>
      </w:r>
      <w:r w:rsidR="00083C4C">
        <w:rPr>
          <w:rFonts w:asciiTheme="minorHAnsi" w:hAnsiTheme="minorHAnsi"/>
        </w:rPr>
        <w:t>RTS</w:t>
      </w:r>
      <w:r w:rsidRPr="00AC7DD9">
        <w:rPr>
          <w:rFonts w:asciiTheme="minorHAnsi" w:hAnsiTheme="minorHAnsi"/>
        </w:rPr>
        <w:t>.</w:t>
      </w:r>
      <w:r w:rsidRPr="00EF3574">
        <w:rPr>
          <w:rFonts w:asciiTheme="minorHAnsi" w:hAnsiTheme="minorHAnsi"/>
        </w:rPr>
        <w:t xml:space="preserve"> </w:t>
      </w:r>
      <w:r w:rsidR="00525174">
        <w:rPr>
          <w:rFonts w:asciiTheme="minorHAnsi" w:hAnsiTheme="minorHAnsi"/>
        </w:rPr>
        <w:t>Reporting o</w:t>
      </w:r>
      <w:r w:rsidR="00EF3574" w:rsidRPr="00EF3574">
        <w:rPr>
          <w:rFonts w:asciiTheme="minorHAnsi" w:hAnsiTheme="minorHAnsi"/>
        </w:rPr>
        <w:t xml:space="preserve">bliged entities </w:t>
      </w:r>
      <w:r w:rsidR="00FF726E">
        <w:rPr>
          <w:rFonts w:asciiTheme="minorHAnsi" w:hAnsiTheme="minorHAnsi"/>
        </w:rPr>
        <w:t>are expected</w:t>
      </w:r>
      <w:r w:rsidR="00EF3574" w:rsidRPr="00EF3574">
        <w:rPr>
          <w:rFonts w:asciiTheme="minorHAnsi" w:hAnsiTheme="minorHAnsi"/>
        </w:rPr>
        <w:t xml:space="preserve"> to adhere to th</w:t>
      </w:r>
      <w:r w:rsidR="00F12F71">
        <w:rPr>
          <w:rFonts w:asciiTheme="minorHAnsi" w:hAnsiTheme="minorHAnsi"/>
        </w:rPr>
        <w:t>ese</w:t>
      </w:r>
      <w:r w:rsidR="00EF3574" w:rsidRPr="00EF3574">
        <w:rPr>
          <w:rFonts w:asciiTheme="minorHAnsi" w:hAnsiTheme="minorHAnsi"/>
        </w:rPr>
        <w:t xml:space="preserve"> explanation</w:t>
      </w:r>
      <w:r w:rsidR="00F12F71">
        <w:rPr>
          <w:rFonts w:asciiTheme="minorHAnsi" w:hAnsiTheme="minorHAnsi"/>
        </w:rPr>
        <w:t>s</w:t>
      </w:r>
      <w:r w:rsidR="00EF3574" w:rsidRPr="00EF3574">
        <w:rPr>
          <w:rFonts w:asciiTheme="minorHAnsi" w:hAnsiTheme="minorHAnsi"/>
        </w:rPr>
        <w:t xml:space="preserve"> to ensure </w:t>
      </w:r>
      <w:r w:rsidR="185D8B2D" w:rsidRPr="0673A07B">
        <w:rPr>
          <w:rFonts w:asciiTheme="minorHAnsi" w:hAnsiTheme="minorHAnsi"/>
        </w:rPr>
        <w:t>consistency</w:t>
      </w:r>
      <w:r w:rsidR="00EF3574" w:rsidRPr="00EF3574" w:rsidDel="00FF726E">
        <w:rPr>
          <w:rFonts w:asciiTheme="minorHAnsi" w:hAnsiTheme="minorHAnsi"/>
        </w:rPr>
        <w:t xml:space="preserve"> of the</w:t>
      </w:r>
      <w:r w:rsidR="00EF3574" w:rsidRPr="00EF3574">
        <w:rPr>
          <w:rFonts w:asciiTheme="minorHAnsi" w:hAnsiTheme="minorHAnsi"/>
        </w:rPr>
        <w:t xml:space="preserve"> dataset</w:t>
      </w:r>
      <w:r w:rsidR="00EF3574">
        <w:rPr>
          <w:rFonts w:asciiTheme="minorHAnsi" w:hAnsiTheme="minorHAnsi"/>
        </w:rPr>
        <w:t>.</w:t>
      </w:r>
      <w:r w:rsidR="000C29D5">
        <w:rPr>
          <w:rFonts w:asciiTheme="minorHAnsi" w:hAnsiTheme="minorHAnsi"/>
        </w:rPr>
        <w:t xml:space="preserve"> </w:t>
      </w:r>
    </w:p>
    <w:p w14:paraId="270690CC" w14:textId="58FBA381" w:rsidR="00F0030F" w:rsidRDefault="00A5436A" w:rsidP="003C3829">
      <w:pPr>
        <w:jc w:val="both"/>
        <w:rPr>
          <w:rFonts w:asciiTheme="minorHAnsi" w:hAnsiTheme="minorHAnsi"/>
        </w:rPr>
      </w:pPr>
      <w:r w:rsidRPr="00A5436A">
        <w:rPr>
          <w:rFonts w:asciiTheme="minorHAnsi" w:hAnsiTheme="minorHAnsi"/>
        </w:rPr>
        <w:t>This Note does not create, amend or supersede any legally binding requirement and does not provide legal assurance. In the event of any inconsistency, the applicable Union legal acts (including Regulations and delegated/implementing acts, such as RTS/ITS) shall prevail. Public Q&amp;As issued by the competent EU institutions may also be relevant for interpretative purposes.</w:t>
      </w:r>
    </w:p>
    <w:p w14:paraId="3E6F02F6" w14:textId="5176D662" w:rsidR="00FF2DD1" w:rsidRDefault="00A5436A" w:rsidP="00213334">
      <w:pPr>
        <w:jc w:val="both"/>
        <w:rPr>
          <w:rFonts w:asciiTheme="minorHAnsi" w:hAnsiTheme="minorHAnsi"/>
          <w:lang w:val="en-IE"/>
        </w:rPr>
      </w:pPr>
      <w:r w:rsidRPr="00B75B33">
        <w:rPr>
          <w:rFonts w:asciiTheme="minorHAnsi" w:hAnsiTheme="minorHAnsi"/>
          <w:lang w:val="en-IE"/>
        </w:rPr>
        <w:t xml:space="preserve">This Note </w:t>
      </w:r>
      <w:r w:rsidR="001F6FF7" w:rsidRPr="00B75B33">
        <w:rPr>
          <w:rFonts w:asciiTheme="minorHAnsi" w:hAnsiTheme="minorHAnsi"/>
          <w:lang w:val="en-IE"/>
        </w:rPr>
        <w:t>refers</w:t>
      </w:r>
      <w:r w:rsidRPr="00B75B33">
        <w:rPr>
          <w:rFonts w:asciiTheme="minorHAnsi" w:hAnsiTheme="minorHAnsi"/>
          <w:lang w:val="en-IE"/>
        </w:rPr>
        <w:t xml:space="preserve">, where relevant, to </w:t>
      </w:r>
      <w:r w:rsidR="001F6FF7" w:rsidRPr="00B75B33">
        <w:rPr>
          <w:rFonts w:asciiTheme="minorHAnsi" w:hAnsiTheme="minorHAnsi"/>
          <w:lang w:val="en-IE"/>
        </w:rPr>
        <w:t xml:space="preserve">the </w:t>
      </w:r>
      <w:r w:rsidRPr="00B75B33">
        <w:rPr>
          <w:rFonts w:asciiTheme="minorHAnsi" w:hAnsiTheme="minorHAnsi"/>
          <w:lang w:val="en-IE"/>
        </w:rPr>
        <w:t xml:space="preserve">definitions </w:t>
      </w:r>
      <w:r w:rsidR="001F6FF7" w:rsidRPr="00B75B33">
        <w:rPr>
          <w:rFonts w:asciiTheme="minorHAnsi" w:hAnsiTheme="minorHAnsi"/>
          <w:lang w:val="en-IE"/>
        </w:rPr>
        <w:t>set out</w:t>
      </w:r>
      <w:r w:rsidRPr="00B75B33">
        <w:rPr>
          <w:rFonts w:asciiTheme="minorHAnsi" w:hAnsiTheme="minorHAnsi"/>
          <w:lang w:val="en-IE"/>
        </w:rPr>
        <w:t xml:space="preserve"> in </w:t>
      </w:r>
      <w:r w:rsidR="001F6FF7" w:rsidRPr="00B75B33">
        <w:rPr>
          <w:rFonts w:asciiTheme="minorHAnsi" w:hAnsiTheme="minorHAnsi"/>
          <w:lang w:val="en-IE"/>
        </w:rPr>
        <w:t xml:space="preserve">the </w:t>
      </w:r>
      <w:r w:rsidR="00E97AFD">
        <w:rPr>
          <w:rFonts w:asciiTheme="minorHAnsi" w:hAnsiTheme="minorHAnsi"/>
          <w:lang w:val="en-IE"/>
        </w:rPr>
        <w:t xml:space="preserve">Regulation </w:t>
      </w:r>
      <w:r w:rsidR="00F71242">
        <w:rPr>
          <w:rFonts w:asciiTheme="minorHAnsi" w:hAnsiTheme="minorHAnsi"/>
          <w:lang w:val="en-IE"/>
        </w:rPr>
        <w:t>(EU) 2024/</w:t>
      </w:r>
      <w:r w:rsidR="00861576">
        <w:rPr>
          <w:rFonts w:asciiTheme="minorHAnsi" w:hAnsiTheme="minorHAnsi"/>
          <w:lang w:val="en-IE"/>
        </w:rPr>
        <w:t>1624 (</w:t>
      </w:r>
      <w:r w:rsidRPr="00B75B33">
        <w:rPr>
          <w:rFonts w:asciiTheme="minorHAnsi" w:hAnsiTheme="minorHAnsi"/>
          <w:lang w:val="en-IE"/>
        </w:rPr>
        <w:t>AMLR</w:t>
      </w:r>
      <w:r w:rsidR="00861576">
        <w:rPr>
          <w:rFonts w:asciiTheme="minorHAnsi" w:hAnsiTheme="minorHAnsi"/>
          <w:lang w:val="en-IE"/>
        </w:rPr>
        <w:t>)</w:t>
      </w:r>
      <w:r w:rsidRPr="00B75B33">
        <w:rPr>
          <w:rFonts w:asciiTheme="minorHAnsi" w:hAnsiTheme="minorHAnsi"/>
          <w:lang w:val="en-IE"/>
        </w:rPr>
        <w:t xml:space="preserve"> to support consistent reporting. Where AMLR definitions were not yet applicable during the reference year, or where they conflict with the </w:t>
      </w:r>
      <w:r w:rsidR="001F6FF7" w:rsidRPr="00B75B33">
        <w:rPr>
          <w:rFonts w:asciiTheme="minorHAnsi" w:hAnsiTheme="minorHAnsi"/>
          <w:lang w:val="en-IE"/>
        </w:rPr>
        <w:t xml:space="preserve">legislation in force for </w:t>
      </w:r>
      <w:r w:rsidRPr="00B75B33">
        <w:rPr>
          <w:rFonts w:asciiTheme="minorHAnsi" w:hAnsiTheme="minorHAnsi"/>
          <w:lang w:val="en-IE"/>
        </w:rPr>
        <w:t xml:space="preserve">that </w:t>
      </w:r>
      <w:r w:rsidR="001F6FF7" w:rsidRPr="00B75B33">
        <w:rPr>
          <w:rFonts w:asciiTheme="minorHAnsi" w:hAnsiTheme="minorHAnsi"/>
          <w:lang w:val="en-IE"/>
        </w:rPr>
        <w:t xml:space="preserve">period, </w:t>
      </w:r>
      <w:r w:rsidRPr="00B75B33">
        <w:rPr>
          <w:rFonts w:asciiTheme="minorHAnsi" w:hAnsiTheme="minorHAnsi"/>
          <w:lang w:val="en-IE"/>
        </w:rPr>
        <w:t xml:space="preserve">obliged entities should </w:t>
      </w:r>
      <w:r w:rsidR="001F6FF7" w:rsidRPr="00B75B33">
        <w:rPr>
          <w:rFonts w:asciiTheme="minorHAnsi" w:hAnsiTheme="minorHAnsi"/>
          <w:lang w:val="en-IE"/>
        </w:rPr>
        <w:t xml:space="preserve">instead </w:t>
      </w:r>
      <w:r w:rsidRPr="00B75B33">
        <w:rPr>
          <w:rFonts w:asciiTheme="minorHAnsi" w:hAnsiTheme="minorHAnsi"/>
          <w:lang w:val="en-IE"/>
        </w:rPr>
        <w:t xml:space="preserve">apply the definitions and requirements </w:t>
      </w:r>
      <w:r w:rsidR="001F6FF7" w:rsidRPr="00B75B33">
        <w:rPr>
          <w:rFonts w:asciiTheme="minorHAnsi" w:hAnsiTheme="minorHAnsi"/>
          <w:lang w:val="en-IE"/>
        </w:rPr>
        <w:t xml:space="preserve">of </w:t>
      </w:r>
      <w:r w:rsidR="00C61CB2" w:rsidRPr="00C61CB2">
        <w:rPr>
          <w:rFonts w:asciiTheme="minorHAnsi" w:hAnsiTheme="minorHAnsi"/>
          <w:lang w:val="en-IE"/>
        </w:rPr>
        <w:t>Directive (</w:t>
      </w:r>
      <w:r w:rsidR="00C61CB2">
        <w:rPr>
          <w:rFonts w:asciiTheme="minorHAnsi" w:hAnsiTheme="minorHAnsi"/>
          <w:lang w:val="en-IE"/>
        </w:rPr>
        <w:t>EU</w:t>
      </w:r>
      <w:r w:rsidR="00C61CB2" w:rsidRPr="00C61CB2">
        <w:rPr>
          <w:rFonts w:asciiTheme="minorHAnsi" w:hAnsiTheme="minorHAnsi"/>
          <w:lang w:val="en-IE"/>
        </w:rPr>
        <w:t>) 2015/849</w:t>
      </w:r>
      <w:r w:rsidR="00C61CB2">
        <w:rPr>
          <w:rFonts w:asciiTheme="minorHAnsi" w:hAnsiTheme="minorHAnsi"/>
          <w:lang w:val="en-IE"/>
        </w:rPr>
        <w:t xml:space="preserve"> (</w:t>
      </w:r>
      <w:r w:rsidR="007B0CE7">
        <w:rPr>
          <w:rFonts w:asciiTheme="minorHAnsi" w:hAnsiTheme="minorHAnsi"/>
          <w:lang w:val="en-IE"/>
        </w:rPr>
        <w:t>AMLD</w:t>
      </w:r>
      <w:r w:rsidR="00C61CB2">
        <w:rPr>
          <w:rFonts w:asciiTheme="minorHAnsi" w:hAnsiTheme="minorHAnsi"/>
          <w:lang w:val="en-IE"/>
        </w:rPr>
        <w:t xml:space="preserve"> IV/V)</w:t>
      </w:r>
      <w:r w:rsidRPr="00E67C41">
        <w:rPr>
          <w:rFonts w:asciiTheme="minorHAnsi" w:hAnsiTheme="minorHAnsi"/>
          <w:lang w:val="en-IE"/>
        </w:rPr>
        <w:t xml:space="preserve"> </w:t>
      </w:r>
      <w:r w:rsidR="00E06ABB" w:rsidRPr="00E67C41">
        <w:rPr>
          <w:rFonts w:asciiTheme="minorHAnsi" w:hAnsiTheme="minorHAnsi"/>
          <w:lang w:val="en-IE"/>
        </w:rPr>
        <w:t xml:space="preserve">as transposed </w:t>
      </w:r>
      <w:r w:rsidR="001F6FF7" w:rsidRPr="00E67C41">
        <w:rPr>
          <w:rFonts w:asciiTheme="minorHAnsi" w:hAnsiTheme="minorHAnsi"/>
          <w:lang w:val="en-IE"/>
        </w:rPr>
        <w:t>into</w:t>
      </w:r>
      <w:r w:rsidR="00E06ABB" w:rsidRPr="00E67C41">
        <w:rPr>
          <w:rFonts w:asciiTheme="minorHAnsi" w:hAnsiTheme="minorHAnsi"/>
          <w:lang w:val="en-IE"/>
        </w:rPr>
        <w:t xml:space="preserve"> their national law</w:t>
      </w:r>
      <w:r w:rsidRPr="00E67C41">
        <w:rPr>
          <w:rFonts w:asciiTheme="minorHAnsi" w:hAnsiTheme="minorHAnsi"/>
          <w:lang w:val="en-IE"/>
        </w:rPr>
        <w:t xml:space="preserve"> </w:t>
      </w:r>
      <w:r w:rsidR="001F6FF7" w:rsidRPr="00E67C41">
        <w:rPr>
          <w:rFonts w:asciiTheme="minorHAnsi" w:hAnsiTheme="minorHAnsi"/>
          <w:lang w:val="en-IE"/>
        </w:rPr>
        <w:t xml:space="preserve">for the relevant reference </w:t>
      </w:r>
      <w:r w:rsidR="0016157E" w:rsidRPr="00E67C41">
        <w:rPr>
          <w:rFonts w:asciiTheme="minorHAnsi" w:hAnsiTheme="minorHAnsi"/>
          <w:lang w:val="en-IE"/>
        </w:rPr>
        <w:t>year</w:t>
      </w:r>
      <w:r w:rsidR="00F94974" w:rsidRPr="00E67C41">
        <w:rPr>
          <w:rFonts w:asciiTheme="minorHAnsi" w:hAnsiTheme="minorHAnsi"/>
          <w:lang w:val="en-IE"/>
        </w:rPr>
        <w:t>.</w:t>
      </w:r>
      <w:bookmarkStart w:id="11" w:name="_Toc222403872"/>
      <w:bookmarkEnd w:id="11"/>
    </w:p>
    <w:p w14:paraId="7127FED4" w14:textId="62E0212E" w:rsidR="005F1A10" w:rsidRPr="003A5162" w:rsidRDefault="005F1A10" w:rsidP="00E67C41">
      <w:pPr>
        <w:pStyle w:val="Heading3"/>
        <w:rPr>
          <w:rFonts w:eastAsia="Cambria"/>
          <w:lang w:val="en-IE"/>
        </w:rPr>
      </w:pPr>
      <w:bookmarkStart w:id="12" w:name="_Toc223104818"/>
      <w:r w:rsidRPr="003A5162">
        <w:rPr>
          <w:rFonts w:eastAsia="Cambria"/>
          <w:lang w:val="en-IE"/>
        </w:rPr>
        <w:t>Scope of the note and future updates</w:t>
      </w:r>
      <w:bookmarkEnd w:id="12"/>
    </w:p>
    <w:p w14:paraId="266804A0" w14:textId="183F6DDB" w:rsidR="005F1A10" w:rsidRPr="00FE716B" w:rsidRDefault="005F1A10" w:rsidP="005F1A10">
      <w:pPr>
        <w:jc w:val="both"/>
        <w:rPr>
          <w:rFonts w:asciiTheme="minorHAnsi" w:hAnsiTheme="minorHAnsi"/>
          <w:color w:val="auto"/>
          <w:lang w:val="en-IE"/>
        </w:rPr>
      </w:pPr>
      <w:r w:rsidRPr="005F1A10">
        <w:rPr>
          <w:rFonts w:asciiTheme="minorHAnsi" w:hAnsiTheme="minorHAnsi"/>
          <w:lang w:val="en-IE"/>
        </w:rPr>
        <w:t xml:space="preserve">This </w:t>
      </w:r>
      <w:r w:rsidR="00A30D0C">
        <w:rPr>
          <w:rFonts w:asciiTheme="minorHAnsi" w:hAnsiTheme="minorHAnsi"/>
          <w:lang w:val="en-IE"/>
        </w:rPr>
        <w:t>I</w:t>
      </w:r>
      <w:r w:rsidRPr="005F1A10">
        <w:rPr>
          <w:rFonts w:asciiTheme="minorHAnsi" w:hAnsiTheme="minorHAnsi"/>
          <w:lang w:val="en-IE"/>
        </w:rPr>
        <w:t xml:space="preserve">nterpretative </w:t>
      </w:r>
      <w:r w:rsidR="00A30D0C">
        <w:rPr>
          <w:rFonts w:asciiTheme="minorHAnsi" w:hAnsiTheme="minorHAnsi"/>
          <w:lang w:val="en-IE"/>
        </w:rPr>
        <w:t>N</w:t>
      </w:r>
      <w:r w:rsidRPr="005F1A10">
        <w:rPr>
          <w:rFonts w:asciiTheme="minorHAnsi" w:hAnsiTheme="minorHAnsi"/>
          <w:lang w:val="en-IE"/>
        </w:rPr>
        <w:t xml:space="preserve">ote supports only </w:t>
      </w:r>
      <w:r w:rsidRPr="00FE716B">
        <w:rPr>
          <w:rFonts w:asciiTheme="minorHAnsi" w:hAnsiTheme="minorHAnsi"/>
          <w:color w:val="auto"/>
          <w:lang w:val="en-IE"/>
        </w:rPr>
        <w:t>the</w:t>
      </w:r>
      <w:r w:rsidR="00FC0B5B" w:rsidRPr="00FE716B">
        <w:rPr>
          <w:rFonts w:asciiTheme="minorHAnsi" w:hAnsiTheme="minorHAnsi"/>
          <w:color w:val="auto"/>
          <w:lang w:val="en-IE"/>
        </w:rPr>
        <w:t xml:space="preserve"> </w:t>
      </w:r>
      <w:hyperlink r:id="rId11" w:history="1">
        <w:r w:rsidR="00FC0B5B" w:rsidRPr="00FE716B">
          <w:rPr>
            <w:rStyle w:val="Hyperlink"/>
            <w:color w:val="auto"/>
            <w:u w:val="none"/>
            <w:lang w:val="en-IE"/>
          </w:rPr>
          <w:t>data collection</w:t>
        </w:r>
        <w:r w:rsidRPr="00FE716B">
          <w:rPr>
            <w:rStyle w:val="Hyperlink"/>
            <w:color w:val="auto"/>
            <w:u w:val="none"/>
            <w:lang w:val="en-IE"/>
          </w:rPr>
          <w:t xml:space="preserve"> </w:t>
        </w:r>
        <w:r w:rsidRPr="00FE716B">
          <w:rPr>
            <w:rStyle w:val="Hyperlink"/>
            <w:color w:val="auto"/>
            <w:u w:val="none"/>
          </w:rPr>
          <w:t>exercise to be conducted from March 2026 until April 2026</w:t>
        </w:r>
        <w:r w:rsidR="00255072" w:rsidRPr="00FE716B">
          <w:rPr>
            <w:rStyle w:val="Hyperlink"/>
            <w:color w:val="auto"/>
            <w:u w:val="none"/>
            <w:lang w:val="en-IE"/>
          </w:rPr>
          <w:t xml:space="preserve"> for the purpose of calibrating the risk assessment methodologies under </w:t>
        </w:r>
        <w:r w:rsidR="005B657A">
          <w:rPr>
            <w:rStyle w:val="Hyperlink"/>
            <w:color w:val="auto"/>
            <w:u w:val="none"/>
            <w:lang w:val="en-IE"/>
          </w:rPr>
          <w:t>A</w:t>
        </w:r>
        <w:r w:rsidR="00255072" w:rsidRPr="00FE716B">
          <w:rPr>
            <w:rStyle w:val="Hyperlink"/>
            <w:color w:val="auto"/>
            <w:u w:val="none"/>
            <w:lang w:val="en-IE"/>
          </w:rPr>
          <w:t>rt</w:t>
        </w:r>
        <w:r w:rsidR="005B657A">
          <w:rPr>
            <w:rStyle w:val="Hyperlink"/>
            <w:color w:val="auto"/>
            <w:u w:val="none"/>
            <w:lang w:val="en-IE"/>
          </w:rPr>
          <w:t>icle</w:t>
        </w:r>
        <w:r w:rsidR="00255072" w:rsidRPr="00FE716B">
          <w:rPr>
            <w:rStyle w:val="Hyperlink"/>
            <w:color w:val="auto"/>
            <w:u w:val="none"/>
            <w:lang w:val="en-IE"/>
          </w:rPr>
          <w:t xml:space="preserve"> 12(7) AMLAR and </w:t>
        </w:r>
        <w:r w:rsidR="005B657A">
          <w:rPr>
            <w:rStyle w:val="Hyperlink"/>
            <w:color w:val="auto"/>
            <w:u w:val="none"/>
            <w:lang w:val="en-IE"/>
          </w:rPr>
          <w:t>Article</w:t>
        </w:r>
        <w:r w:rsidR="00255072" w:rsidRPr="00FE716B">
          <w:rPr>
            <w:rStyle w:val="Hyperlink"/>
            <w:color w:val="auto"/>
            <w:u w:val="none"/>
            <w:lang w:val="en-IE"/>
          </w:rPr>
          <w:t xml:space="preserve"> 40(2) AMLD</w:t>
        </w:r>
      </w:hyperlink>
      <w:r w:rsidR="00887391">
        <w:t xml:space="preserve"> VI</w:t>
      </w:r>
      <w:r w:rsidR="00047EE0" w:rsidRPr="00FE716B">
        <w:rPr>
          <w:rFonts w:asciiTheme="minorHAnsi" w:hAnsiTheme="minorHAnsi"/>
          <w:color w:val="auto"/>
          <w:lang w:val="en-IE"/>
        </w:rPr>
        <w:t>.</w:t>
      </w:r>
    </w:p>
    <w:p w14:paraId="7F864078" w14:textId="3A17C85A" w:rsidR="005F1A10" w:rsidRPr="005F1A10" w:rsidRDefault="005F1A10" w:rsidP="005F1A10">
      <w:pPr>
        <w:jc w:val="both"/>
        <w:rPr>
          <w:rFonts w:asciiTheme="minorHAnsi" w:hAnsiTheme="minorHAnsi"/>
          <w:lang w:val="en-IE"/>
        </w:rPr>
      </w:pPr>
      <w:r w:rsidRPr="005F1A10">
        <w:rPr>
          <w:rFonts w:asciiTheme="minorHAnsi" w:hAnsiTheme="minorHAnsi"/>
          <w:lang w:val="en-IE"/>
        </w:rPr>
        <w:t xml:space="preserve">An updated package will be issued for the </w:t>
      </w:r>
      <w:r w:rsidRPr="00275980">
        <w:rPr>
          <w:rFonts w:asciiTheme="minorHAnsi" w:hAnsiTheme="minorHAnsi"/>
          <w:lang w:val="en-IE"/>
        </w:rPr>
        <w:t>2027 reporting cycle and real selection exercise</w:t>
      </w:r>
      <w:r w:rsidRPr="005F1A10">
        <w:rPr>
          <w:rFonts w:asciiTheme="minorHAnsi" w:hAnsiTheme="minorHAnsi"/>
          <w:lang w:val="en-IE"/>
        </w:rPr>
        <w:t xml:space="preserve">, </w:t>
      </w:r>
      <w:r w:rsidR="003E108F" w:rsidRPr="00275980">
        <w:rPr>
          <w:rFonts w:asciiTheme="minorHAnsi" w:hAnsiTheme="minorHAnsi"/>
          <w:lang w:val="en-IE"/>
        </w:rPr>
        <w:t>and the general 2028 reporting cycle</w:t>
      </w:r>
      <w:r w:rsidR="003E108F">
        <w:rPr>
          <w:rFonts w:asciiTheme="minorHAnsi" w:hAnsiTheme="minorHAnsi"/>
          <w:lang w:val="en-IE"/>
        </w:rPr>
        <w:t xml:space="preserve"> </w:t>
      </w:r>
      <w:r w:rsidRPr="005F1A10">
        <w:rPr>
          <w:rFonts w:asciiTheme="minorHAnsi" w:hAnsiTheme="minorHAnsi"/>
          <w:lang w:val="en-IE"/>
        </w:rPr>
        <w:t>incorporating:</w:t>
      </w:r>
    </w:p>
    <w:p w14:paraId="5C642D55" w14:textId="77777777" w:rsidR="005F1A10" w:rsidRPr="00F54901" w:rsidRDefault="005F1A10" w:rsidP="00F54901">
      <w:pPr>
        <w:pStyle w:val="ListNumber1noindent"/>
        <w:numPr>
          <w:ilvl w:val="0"/>
          <w:numId w:val="99"/>
        </w:numPr>
        <w:rPr>
          <w:rFonts w:asciiTheme="minorHAnsi" w:hAnsiTheme="minorHAnsi"/>
          <w:lang w:val="en-IE"/>
        </w:rPr>
      </w:pPr>
      <w:r w:rsidRPr="00F54901">
        <w:rPr>
          <w:rFonts w:asciiTheme="minorHAnsi" w:hAnsiTheme="minorHAnsi"/>
          <w:lang w:val="en-IE"/>
        </w:rPr>
        <w:t>insights gained from the testing and calibration period,</w:t>
      </w:r>
    </w:p>
    <w:p w14:paraId="0A2C0BE5" w14:textId="77777777" w:rsidR="005F1A10" w:rsidRPr="00F54901" w:rsidRDefault="005F1A10" w:rsidP="00F54901">
      <w:pPr>
        <w:pStyle w:val="ListNumber1noindent"/>
        <w:numPr>
          <w:ilvl w:val="0"/>
          <w:numId w:val="99"/>
        </w:numPr>
        <w:rPr>
          <w:rFonts w:asciiTheme="minorHAnsi" w:hAnsiTheme="minorHAnsi"/>
          <w:lang w:val="en-IE"/>
        </w:rPr>
      </w:pPr>
      <w:r w:rsidRPr="00F54901">
        <w:rPr>
          <w:rFonts w:asciiTheme="minorHAnsi" w:hAnsiTheme="minorHAnsi"/>
          <w:lang w:val="en-IE"/>
        </w:rPr>
        <w:t>technical improvements identified during implementation, and</w:t>
      </w:r>
    </w:p>
    <w:p w14:paraId="56D106E3" w14:textId="69FAC7A9" w:rsidR="005F1A10" w:rsidRDefault="005F1A10" w:rsidP="00C17007">
      <w:pPr>
        <w:pStyle w:val="ListNumber1noindent"/>
        <w:numPr>
          <w:ilvl w:val="0"/>
          <w:numId w:val="99"/>
        </w:numPr>
        <w:rPr>
          <w:rFonts w:asciiTheme="minorHAnsi" w:hAnsiTheme="minorHAnsi"/>
          <w:lang w:val="en-IE"/>
        </w:rPr>
      </w:pPr>
      <w:r w:rsidRPr="00F54901">
        <w:rPr>
          <w:rFonts w:asciiTheme="minorHAnsi" w:hAnsiTheme="minorHAnsi"/>
          <w:lang w:val="en-IE"/>
        </w:rPr>
        <w:t xml:space="preserve">the final exchange and submission format to AMLA (tentatively </w:t>
      </w:r>
      <w:r w:rsidRPr="00501D67">
        <w:rPr>
          <w:rFonts w:asciiTheme="minorHAnsi" w:hAnsiTheme="minorHAnsi"/>
          <w:lang w:val="en-IE"/>
        </w:rPr>
        <w:t>CSV</w:t>
      </w:r>
      <w:r w:rsidR="00BF5F2F" w:rsidRPr="00501D67">
        <w:rPr>
          <w:rFonts w:asciiTheme="minorHAnsi" w:hAnsiTheme="minorHAnsi"/>
          <w:lang w:val="en-IE"/>
        </w:rPr>
        <w:t xml:space="preserve"> OIM </w:t>
      </w:r>
      <w:r w:rsidRPr="00501D67">
        <w:rPr>
          <w:rFonts w:asciiTheme="minorHAnsi" w:hAnsiTheme="minorHAnsi"/>
          <w:lang w:val="en-IE"/>
        </w:rPr>
        <w:t>XBRL-based</w:t>
      </w:r>
      <w:r w:rsidRPr="00F54901">
        <w:rPr>
          <w:rFonts w:asciiTheme="minorHAnsi" w:hAnsiTheme="minorHAnsi"/>
          <w:lang w:val="en-IE"/>
        </w:rPr>
        <w:t>).</w:t>
      </w:r>
    </w:p>
    <w:p w14:paraId="2C02233C" w14:textId="4C8606E6" w:rsidR="005F1A10" w:rsidRPr="005F1A10" w:rsidRDefault="005F05D1" w:rsidP="00F54901">
      <w:pPr>
        <w:pStyle w:val="Heading3"/>
        <w:rPr>
          <w:lang w:val="en-IE"/>
        </w:rPr>
      </w:pPr>
      <w:bookmarkStart w:id="13" w:name="_Toc223018875"/>
      <w:bookmarkStart w:id="14" w:name="_Toc223021673"/>
      <w:bookmarkStart w:id="15" w:name="_Toc223086709"/>
      <w:bookmarkStart w:id="16" w:name="_Toc223086803"/>
      <w:bookmarkStart w:id="17" w:name="_Toc223104819"/>
      <w:bookmarkEnd w:id="13"/>
      <w:bookmarkEnd w:id="14"/>
      <w:bookmarkEnd w:id="15"/>
      <w:bookmarkEnd w:id="16"/>
      <w:r>
        <w:rPr>
          <w:lang w:val="en-IE"/>
        </w:rPr>
        <w:t xml:space="preserve">Introduction to </w:t>
      </w:r>
      <w:r w:rsidR="005A38B3">
        <w:rPr>
          <w:lang w:val="en-IE"/>
        </w:rPr>
        <w:t>reporting t</w:t>
      </w:r>
      <w:r w:rsidRPr="005F1A10">
        <w:rPr>
          <w:lang w:val="en-IE"/>
        </w:rPr>
        <w:t>emplates</w:t>
      </w:r>
      <w:r w:rsidR="005F1A10" w:rsidRPr="005F1A10">
        <w:rPr>
          <w:lang w:val="en-IE"/>
        </w:rPr>
        <w:t>, instructions and harmonised reporting</w:t>
      </w:r>
      <w:bookmarkEnd w:id="17"/>
    </w:p>
    <w:p w14:paraId="690E766F" w14:textId="11E1E7ED" w:rsidR="005F1A10" w:rsidRPr="005F1A10" w:rsidRDefault="005F1A10" w:rsidP="005F1A10">
      <w:pPr>
        <w:jc w:val="both"/>
        <w:rPr>
          <w:rFonts w:asciiTheme="minorHAnsi" w:hAnsiTheme="minorHAnsi"/>
          <w:lang w:val="en-IE"/>
        </w:rPr>
      </w:pPr>
      <w:r w:rsidRPr="005F1A10">
        <w:rPr>
          <w:rFonts w:asciiTheme="minorHAnsi" w:hAnsiTheme="minorHAnsi"/>
          <w:lang w:val="en-IE"/>
        </w:rPr>
        <w:t xml:space="preserve">The datapoints included in this document are structured using a methodical approach consistent with the reporting practices of other EU authorities </w:t>
      </w:r>
      <w:r w:rsidR="00801903">
        <w:rPr>
          <w:rFonts w:asciiTheme="minorHAnsi" w:hAnsiTheme="minorHAnsi"/>
          <w:lang w:val="en-IE"/>
        </w:rPr>
        <w:t xml:space="preserve">such </w:t>
      </w:r>
      <w:r w:rsidRPr="005F1A10">
        <w:rPr>
          <w:rFonts w:asciiTheme="minorHAnsi" w:hAnsiTheme="minorHAnsi"/>
          <w:lang w:val="en-IE"/>
        </w:rPr>
        <w:t xml:space="preserve">as EBA, ECB, EIOPA, ESMA, SRB and others. Where helpful, the </w:t>
      </w:r>
      <w:r w:rsidR="00E913CE">
        <w:rPr>
          <w:rFonts w:asciiTheme="minorHAnsi" w:hAnsiTheme="minorHAnsi"/>
          <w:lang w:val="en-IE"/>
        </w:rPr>
        <w:t>I</w:t>
      </w:r>
      <w:r w:rsidRPr="005F1A10">
        <w:rPr>
          <w:rFonts w:asciiTheme="minorHAnsi" w:hAnsiTheme="minorHAnsi"/>
          <w:lang w:val="en-IE"/>
        </w:rPr>
        <w:t xml:space="preserve">nterpretative </w:t>
      </w:r>
      <w:r w:rsidR="00E913CE">
        <w:rPr>
          <w:rFonts w:asciiTheme="minorHAnsi" w:hAnsiTheme="minorHAnsi"/>
          <w:lang w:val="en-IE"/>
        </w:rPr>
        <w:t>N</w:t>
      </w:r>
      <w:r w:rsidRPr="005F1A10">
        <w:rPr>
          <w:rFonts w:asciiTheme="minorHAnsi" w:hAnsiTheme="minorHAnsi"/>
          <w:lang w:val="en-IE"/>
        </w:rPr>
        <w:t>ote includes:</w:t>
      </w:r>
    </w:p>
    <w:p w14:paraId="39829843" w14:textId="509D3965" w:rsidR="00E41E75" w:rsidRPr="00F54901" w:rsidRDefault="00E41E75" w:rsidP="006B557D">
      <w:pPr>
        <w:pStyle w:val="ListNumber1noindent"/>
        <w:numPr>
          <w:ilvl w:val="0"/>
          <w:numId w:val="93"/>
        </w:numPr>
        <w:jc w:val="both"/>
        <w:rPr>
          <w:rFonts w:asciiTheme="minorHAnsi" w:hAnsiTheme="minorHAnsi"/>
        </w:rPr>
      </w:pPr>
      <w:r w:rsidRPr="00F54901">
        <w:rPr>
          <w:rFonts w:asciiTheme="minorHAnsi" w:hAnsiTheme="minorHAnsi"/>
        </w:rPr>
        <w:t>explanations on concepts</w:t>
      </w:r>
      <w:r w:rsidR="00D72A8E">
        <w:rPr>
          <w:rFonts w:asciiTheme="minorHAnsi" w:hAnsiTheme="minorHAnsi"/>
        </w:rPr>
        <w:t>,</w:t>
      </w:r>
      <w:r w:rsidRPr="00F54901">
        <w:rPr>
          <w:rFonts w:asciiTheme="minorHAnsi" w:hAnsiTheme="minorHAnsi"/>
        </w:rPr>
        <w:t xml:space="preserve"> </w:t>
      </w:r>
    </w:p>
    <w:p w14:paraId="6218234C" w14:textId="2D153E26" w:rsidR="00E41E75" w:rsidRPr="00F54901" w:rsidRDefault="00E41E75" w:rsidP="006B557D">
      <w:pPr>
        <w:pStyle w:val="ListNumber1noindent"/>
        <w:numPr>
          <w:ilvl w:val="0"/>
          <w:numId w:val="93"/>
        </w:numPr>
        <w:jc w:val="both"/>
        <w:rPr>
          <w:rFonts w:asciiTheme="minorHAnsi" w:hAnsiTheme="minorHAnsi"/>
        </w:rPr>
      </w:pPr>
      <w:r w:rsidRPr="00F54901">
        <w:rPr>
          <w:rFonts w:asciiTheme="minorHAnsi" w:hAnsiTheme="minorHAnsi"/>
        </w:rPr>
        <w:t>legal references,</w:t>
      </w:r>
    </w:p>
    <w:p w14:paraId="149DC4C1" w14:textId="043FD3DB" w:rsidR="00074123" w:rsidRPr="00F54901" w:rsidRDefault="00E41E75" w:rsidP="006B557D">
      <w:pPr>
        <w:pStyle w:val="ListNumber1noindent"/>
        <w:numPr>
          <w:ilvl w:val="0"/>
          <w:numId w:val="93"/>
        </w:numPr>
        <w:jc w:val="both"/>
        <w:rPr>
          <w:rFonts w:asciiTheme="minorHAnsi" w:hAnsiTheme="minorHAnsi"/>
        </w:rPr>
      </w:pPr>
      <w:r w:rsidRPr="00F54901">
        <w:rPr>
          <w:rFonts w:asciiTheme="minorHAnsi" w:hAnsiTheme="minorHAnsi"/>
        </w:rPr>
        <w:t>cross references to the implementation format.</w:t>
      </w:r>
    </w:p>
    <w:p w14:paraId="30F0297C" w14:textId="02659E18" w:rsidR="001454BD" w:rsidRPr="00F54901" w:rsidRDefault="0093248E" w:rsidP="006B557D">
      <w:pPr>
        <w:jc w:val="both"/>
        <w:rPr>
          <w:rFonts w:asciiTheme="minorHAnsi" w:hAnsiTheme="minorHAnsi"/>
        </w:rPr>
      </w:pPr>
      <w:r>
        <w:rPr>
          <w:rFonts w:asciiTheme="minorHAnsi" w:hAnsiTheme="minorHAnsi"/>
        </w:rPr>
        <w:t>This</w:t>
      </w:r>
      <w:r w:rsidRPr="00F54901">
        <w:rPr>
          <w:rFonts w:asciiTheme="minorHAnsi" w:hAnsiTheme="minorHAnsi"/>
        </w:rPr>
        <w:t xml:space="preserve"> </w:t>
      </w:r>
      <w:r w:rsidR="001454BD" w:rsidRPr="00F54901">
        <w:rPr>
          <w:rFonts w:asciiTheme="minorHAnsi" w:hAnsiTheme="minorHAnsi"/>
        </w:rPr>
        <w:t>is in line with the approach followed by the EBA for communicating reporting templates, instructions and IT solutions</w:t>
      </w:r>
      <w:r w:rsidR="00514AFB">
        <w:rPr>
          <w:rStyle w:val="FootnoteReference"/>
        </w:rPr>
        <w:footnoteReference w:id="2"/>
      </w:r>
      <w:r w:rsidR="001454BD" w:rsidRPr="00F54901">
        <w:rPr>
          <w:rFonts w:asciiTheme="minorHAnsi" w:hAnsiTheme="minorHAnsi"/>
        </w:rPr>
        <w:t xml:space="preserve"> or the EIOPA and ECB unofficial reporting templates</w:t>
      </w:r>
      <w:r w:rsidR="00B6047D">
        <w:rPr>
          <w:rStyle w:val="FootnoteReference"/>
        </w:rPr>
        <w:footnoteReference w:id="3"/>
      </w:r>
      <w:r w:rsidR="00FE6398">
        <w:rPr>
          <w:rFonts w:asciiTheme="minorHAnsi" w:hAnsiTheme="minorHAnsi"/>
        </w:rPr>
        <w:t>.</w:t>
      </w:r>
      <w:r w:rsidR="00162DD2">
        <w:rPr>
          <w:rFonts w:asciiTheme="minorHAnsi" w:hAnsiTheme="minorHAnsi"/>
        </w:rPr>
        <w:t xml:space="preserve"> </w:t>
      </w:r>
    </w:p>
    <w:p w14:paraId="1E2526A9" w14:textId="5C93E655" w:rsidR="00505288" w:rsidRPr="00F54901" w:rsidRDefault="00505288">
      <w:pPr>
        <w:jc w:val="both"/>
        <w:rPr>
          <w:rFonts w:asciiTheme="minorHAnsi" w:hAnsiTheme="minorHAnsi"/>
        </w:rPr>
      </w:pPr>
      <w:r w:rsidRPr="00F54901">
        <w:rPr>
          <w:rFonts w:asciiTheme="minorHAnsi" w:hAnsiTheme="minorHAnsi"/>
        </w:rPr>
        <w:t>For ease of mapping between the</w:t>
      </w:r>
      <w:r w:rsidRPr="00F54901" w:rsidDel="008C6D75">
        <w:rPr>
          <w:rFonts w:asciiTheme="minorHAnsi" w:hAnsiTheme="minorHAnsi"/>
        </w:rPr>
        <w:t xml:space="preserve"> </w:t>
      </w:r>
      <w:r w:rsidRPr="00F54901">
        <w:rPr>
          <w:rFonts w:asciiTheme="minorHAnsi" w:hAnsiTheme="minorHAnsi"/>
          <w:b/>
        </w:rPr>
        <w:t>requirements</w:t>
      </w:r>
      <w:r w:rsidR="008C6D75">
        <w:rPr>
          <w:rFonts w:asciiTheme="minorHAnsi" w:hAnsiTheme="minorHAnsi"/>
          <w:b/>
        </w:rPr>
        <w:t xml:space="preserve"> as set in the </w:t>
      </w:r>
      <w:hyperlink r:id="rId12" w:history="1">
        <w:r w:rsidR="008C6D75" w:rsidRPr="004D7118">
          <w:rPr>
            <w:rStyle w:val="Hyperlink"/>
            <w:b/>
          </w:rPr>
          <w:t xml:space="preserve">draft RTS under </w:t>
        </w:r>
        <w:r w:rsidR="00B25869">
          <w:rPr>
            <w:rStyle w:val="Hyperlink"/>
            <w:b/>
          </w:rPr>
          <w:t>Article</w:t>
        </w:r>
        <w:r w:rsidR="008C6D75" w:rsidRPr="004D7118">
          <w:rPr>
            <w:rStyle w:val="Hyperlink"/>
            <w:b/>
          </w:rPr>
          <w:t xml:space="preserve"> 12(7) AMLAR</w:t>
        </w:r>
      </w:hyperlink>
      <w:r w:rsidR="008C6D75">
        <w:rPr>
          <w:rFonts w:asciiTheme="minorHAnsi" w:hAnsiTheme="minorHAnsi"/>
          <w:b/>
        </w:rPr>
        <w:t xml:space="preserve"> and </w:t>
      </w:r>
      <w:r w:rsidR="003C25DF">
        <w:rPr>
          <w:rFonts w:asciiTheme="minorHAnsi" w:hAnsiTheme="minorHAnsi"/>
          <w:b/>
        </w:rPr>
        <w:t xml:space="preserve">the </w:t>
      </w:r>
      <w:hyperlink r:id="rId13" w:history="1">
        <w:r w:rsidR="003C25DF" w:rsidRPr="00052147">
          <w:rPr>
            <w:rStyle w:val="Hyperlink"/>
            <w:b/>
          </w:rPr>
          <w:t xml:space="preserve">draft RTS under </w:t>
        </w:r>
        <w:r w:rsidR="00B25869">
          <w:rPr>
            <w:rStyle w:val="Hyperlink"/>
            <w:b/>
          </w:rPr>
          <w:t>Article</w:t>
        </w:r>
        <w:r w:rsidR="008C6D75" w:rsidRPr="00052147">
          <w:rPr>
            <w:rStyle w:val="Hyperlink"/>
            <w:b/>
          </w:rPr>
          <w:t xml:space="preserve"> 40(2) AMLD</w:t>
        </w:r>
        <w:r w:rsidR="00887391">
          <w:rPr>
            <w:rStyle w:val="Hyperlink"/>
            <w:b/>
          </w:rPr>
          <w:t xml:space="preserve"> VI</w:t>
        </w:r>
      </w:hyperlink>
      <w:r w:rsidRPr="00F54901">
        <w:rPr>
          <w:rFonts w:asciiTheme="minorHAnsi" w:hAnsiTheme="minorHAnsi"/>
        </w:rPr>
        <w:t xml:space="preserve"> and their implementation in the </w:t>
      </w:r>
      <w:r w:rsidRPr="00F54901">
        <w:rPr>
          <w:rFonts w:asciiTheme="minorHAnsi" w:hAnsiTheme="minorHAnsi"/>
          <w:b/>
        </w:rPr>
        <w:t>reporting templates</w:t>
      </w:r>
      <w:r w:rsidRPr="00F54901">
        <w:rPr>
          <w:rFonts w:asciiTheme="minorHAnsi" w:hAnsiTheme="minorHAnsi"/>
        </w:rPr>
        <w:t xml:space="preserve">, </w:t>
      </w:r>
      <w:r w:rsidRPr="00F54901">
        <w:rPr>
          <w:rFonts w:asciiTheme="minorHAnsi" w:hAnsiTheme="minorHAnsi"/>
          <w:b/>
        </w:rPr>
        <w:t>Annex I</w:t>
      </w:r>
      <w:r w:rsidRPr="00F54901">
        <w:rPr>
          <w:rFonts w:asciiTheme="minorHAnsi" w:hAnsiTheme="minorHAnsi"/>
        </w:rPr>
        <w:t xml:space="preserve"> includes a list of template columns together with the corresponding </w:t>
      </w:r>
      <w:r w:rsidR="0057219F">
        <w:rPr>
          <w:rFonts w:asciiTheme="minorHAnsi" w:hAnsiTheme="minorHAnsi"/>
        </w:rPr>
        <w:t>R</w:t>
      </w:r>
      <w:r w:rsidRPr="00F54901">
        <w:rPr>
          <w:rFonts w:asciiTheme="minorHAnsi" w:hAnsiTheme="minorHAnsi"/>
        </w:rPr>
        <w:t>TS source elements on requested data point to entities.</w:t>
      </w:r>
    </w:p>
    <w:p w14:paraId="30C3F986" w14:textId="3E5FCD94" w:rsidR="00E51AAA" w:rsidRDefault="008E01A1">
      <w:pPr>
        <w:jc w:val="both"/>
        <w:rPr>
          <w:rFonts w:asciiTheme="minorHAnsi" w:hAnsiTheme="minorHAnsi"/>
        </w:rPr>
      </w:pPr>
      <w:bookmarkStart w:id="18" w:name="_Toc222403875"/>
      <w:bookmarkEnd w:id="18"/>
      <w:r>
        <w:rPr>
          <w:rFonts w:asciiTheme="minorHAnsi" w:hAnsiTheme="minorHAnsi"/>
        </w:rPr>
        <w:t xml:space="preserve">Datapoints </w:t>
      </w:r>
      <w:r w:rsidR="00EA4EF1">
        <w:rPr>
          <w:rFonts w:asciiTheme="minorHAnsi" w:hAnsiTheme="minorHAnsi"/>
        </w:rPr>
        <w:t>need to be filled in</w:t>
      </w:r>
      <w:r w:rsidR="003A3FCA">
        <w:rPr>
          <w:rFonts w:asciiTheme="minorHAnsi" w:hAnsiTheme="minorHAnsi"/>
        </w:rPr>
        <w:t xml:space="preserve"> accordance with t</w:t>
      </w:r>
      <w:r w:rsidR="00EA4EF1">
        <w:rPr>
          <w:rFonts w:asciiTheme="minorHAnsi" w:hAnsiTheme="minorHAnsi"/>
        </w:rPr>
        <w:t xml:space="preserve">he sector </w:t>
      </w:r>
      <w:r w:rsidR="00AA1405">
        <w:rPr>
          <w:rFonts w:asciiTheme="minorHAnsi" w:hAnsiTheme="minorHAnsi"/>
        </w:rPr>
        <w:t>and the products and services provided</w:t>
      </w:r>
      <w:r w:rsidR="003A3FCA">
        <w:rPr>
          <w:rFonts w:asciiTheme="minorHAnsi" w:hAnsiTheme="minorHAnsi"/>
        </w:rPr>
        <w:t xml:space="preserve"> by the reporting entity</w:t>
      </w:r>
      <w:r w:rsidR="00AA1405">
        <w:rPr>
          <w:rFonts w:asciiTheme="minorHAnsi" w:hAnsiTheme="minorHAnsi"/>
        </w:rPr>
        <w:t xml:space="preserve">. This means that not all templates will be applicable to every reporting obliged entity. </w:t>
      </w:r>
      <w:r w:rsidR="00583A11">
        <w:rPr>
          <w:rFonts w:asciiTheme="minorHAnsi" w:hAnsiTheme="minorHAnsi"/>
        </w:rPr>
        <w:t>T</w:t>
      </w:r>
      <w:r w:rsidR="00583A11" w:rsidRPr="00583A11">
        <w:rPr>
          <w:rFonts w:asciiTheme="minorHAnsi" w:hAnsiTheme="minorHAnsi"/>
        </w:rPr>
        <w:t xml:space="preserve">he </w:t>
      </w:r>
      <w:r w:rsidR="00583A11">
        <w:rPr>
          <w:rFonts w:asciiTheme="minorHAnsi" w:hAnsiTheme="minorHAnsi"/>
        </w:rPr>
        <w:t xml:space="preserve">applicable </w:t>
      </w:r>
      <w:r w:rsidR="00583A11" w:rsidRPr="00583A11">
        <w:rPr>
          <w:rFonts w:asciiTheme="minorHAnsi" w:hAnsiTheme="minorHAnsi"/>
        </w:rPr>
        <w:t xml:space="preserve">templates </w:t>
      </w:r>
      <w:r w:rsidR="00583A11">
        <w:rPr>
          <w:rFonts w:asciiTheme="minorHAnsi" w:hAnsiTheme="minorHAnsi"/>
        </w:rPr>
        <w:t>will be b</w:t>
      </w:r>
      <w:r w:rsidR="00E1393C">
        <w:rPr>
          <w:rFonts w:asciiTheme="minorHAnsi" w:hAnsiTheme="minorHAnsi"/>
        </w:rPr>
        <w:t xml:space="preserve">ased on the information provided </w:t>
      </w:r>
      <w:r w:rsidR="0074077F">
        <w:rPr>
          <w:rFonts w:asciiTheme="minorHAnsi" w:hAnsiTheme="minorHAnsi"/>
        </w:rPr>
        <w:t>by the reporting obliged entity</w:t>
      </w:r>
      <w:r w:rsidR="005C49A0" w:rsidRPr="005C49A0">
        <w:rPr>
          <w:rFonts w:asciiTheme="minorHAnsi" w:hAnsiTheme="minorHAnsi"/>
        </w:rPr>
        <w:t xml:space="preserve"> </w:t>
      </w:r>
      <w:r w:rsidR="00E1393C">
        <w:rPr>
          <w:rFonts w:asciiTheme="minorHAnsi" w:hAnsiTheme="minorHAnsi"/>
        </w:rPr>
        <w:t xml:space="preserve">in </w:t>
      </w:r>
      <w:r w:rsidR="00155CF3">
        <w:rPr>
          <w:rFonts w:asciiTheme="minorHAnsi" w:hAnsiTheme="minorHAnsi"/>
        </w:rPr>
        <w:t>the</w:t>
      </w:r>
      <w:r w:rsidR="00E1393C">
        <w:rPr>
          <w:rFonts w:asciiTheme="minorHAnsi" w:hAnsiTheme="minorHAnsi"/>
        </w:rPr>
        <w:t xml:space="preserve"> template AML</w:t>
      </w:r>
      <w:r w:rsidR="00B907FA">
        <w:rPr>
          <w:rFonts w:asciiTheme="minorHAnsi" w:hAnsiTheme="minorHAnsi"/>
        </w:rPr>
        <w:t>.</w:t>
      </w:r>
      <w:r w:rsidR="00E1393C">
        <w:rPr>
          <w:rFonts w:asciiTheme="minorHAnsi" w:hAnsiTheme="minorHAnsi"/>
        </w:rPr>
        <w:t>01.01</w:t>
      </w:r>
      <w:r w:rsidR="00583A11">
        <w:rPr>
          <w:rFonts w:asciiTheme="minorHAnsi" w:hAnsiTheme="minorHAnsi"/>
        </w:rPr>
        <w:t>.</w:t>
      </w:r>
    </w:p>
    <w:p w14:paraId="0A84A5AB" w14:textId="77777777" w:rsidR="007177F3" w:rsidRPr="00135B9D" w:rsidRDefault="007177F3">
      <w:pPr>
        <w:jc w:val="both"/>
        <w:rPr>
          <w:rFonts w:asciiTheme="minorHAnsi" w:hAnsiTheme="minorHAnsi"/>
          <w:lang w:val="en-IE"/>
        </w:rPr>
      </w:pPr>
    </w:p>
    <w:p w14:paraId="1248E595" w14:textId="31F65B61" w:rsidR="00505288" w:rsidRPr="00F54901" w:rsidRDefault="00505288" w:rsidP="00F54901">
      <w:pPr>
        <w:pStyle w:val="Heading3"/>
        <w:rPr>
          <w:b w:val="0"/>
          <w:lang w:val="en-IE"/>
        </w:rPr>
      </w:pPr>
      <w:bookmarkStart w:id="19" w:name="_Toc223018877"/>
      <w:bookmarkStart w:id="20" w:name="_Toc223021675"/>
      <w:bookmarkStart w:id="21" w:name="_Toc223086523"/>
      <w:bookmarkStart w:id="22" w:name="_Toc223086617"/>
      <w:bookmarkStart w:id="23" w:name="_Toc223086711"/>
      <w:bookmarkStart w:id="24" w:name="_Toc223086805"/>
      <w:bookmarkStart w:id="25" w:name="_Toc223104820"/>
      <w:bookmarkEnd w:id="19"/>
      <w:bookmarkEnd w:id="20"/>
      <w:bookmarkEnd w:id="21"/>
      <w:bookmarkEnd w:id="22"/>
      <w:bookmarkEnd w:id="23"/>
      <w:bookmarkEnd w:id="24"/>
      <w:r w:rsidRPr="00F54901">
        <w:rPr>
          <w:lang w:val="en-IE"/>
        </w:rPr>
        <w:t>Reporting period, currency, and currency conversion</w:t>
      </w:r>
      <w:bookmarkEnd w:id="25"/>
    </w:p>
    <w:p w14:paraId="119C43D9" w14:textId="2742BCA3" w:rsidR="00505288" w:rsidRPr="00F54901" w:rsidRDefault="00505288" w:rsidP="00785B7F">
      <w:pPr>
        <w:jc w:val="both"/>
        <w:rPr>
          <w:rFonts w:asciiTheme="minorHAnsi" w:hAnsiTheme="minorHAnsi"/>
        </w:rPr>
      </w:pPr>
      <w:r w:rsidRPr="00F54901">
        <w:rPr>
          <w:rFonts w:asciiTheme="minorHAnsi" w:hAnsiTheme="minorHAnsi"/>
        </w:rPr>
        <w:t xml:space="preserve">For the testing exercise, the </w:t>
      </w:r>
      <w:r w:rsidR="00011B95">
        <w:rPr>
          <w:rFonts w:asciiTheme="minorHAnsi" w:hAnsiTheme="minorHAnsi"/>
        </w:rPr>
        <w:t>reference year</w:t>
      </w:r>
      <w:r w:rsidRPr="00F54901">
        <w:rPr>
          <w:rFonts w:asciiTheme="minorHAnsi" w:hAnsiTheme="minorHAnsi"/>
        </w:rPr>
        <w:t xml:space="preserve"> is the </w:t>
      </w:r>
      <w:r w:rsidRPr="00F54901">
        <w:rPr>
          <w:rFonts w:asciiTheme="minorHAnsi" w:hAnsiTheme="minorHAnsi"/>
          <w:b/>
        </w:rPr>
        <w:t>2025 calendar year</w:t>
      </w:r>
      <w:r w:rsidRPr="00F54901">
        <w:rPr>
          <w:rFonts w:asciiTheme="minorHAnsi" w:hAnsiTheme="minorHAnsi"/>
        </w:rPr>
        <w:t xml:space="preserve">, with a reference date of </w:t>
      </w:r>
      <w:r w:rsidRPr="00F54901">
        <w:rPr>
          <w:rFonts w:asciiTheme="minorHAnsi" w:hAnsiTheme="minorHAnsi"/>
          <w:b/>
        </w:rPr>
        <w:t>31 December 2025</w:t>
      </w:r>
      <w:r w:rsidRPr="00F54901">
        <w:rPr>
          <w:rFonts w:asciiTheme="minorHAnsi" w:hAnsiTheme="minorHAnsi"/>
        </w:rPr>
        <w:t>.</w:t>
      </w:r>
    </w:p>
    <w:p w14:paraId="32E39095" w14:textId="77777777" w:rsidR="00505288" w:rsidRPr="00F54901" w:rsidRDefault="00505288" w:rsidP="00C5795A">
      <w:pPr>
        <w:jc w:val="both"/>
        <w:rPr>
          <w:rFonts w:asciiTheme="minorHAnsi" w:hAnsiTheme="minorHAnsi"/>
        </w:rPr>
      </w:pPr>
      <w:r w:rsidRPr="00F54901">
        <w:rPr>
          <w:rFonts w:asciiTheme="minorHAnsi" w:hAnsiTheme="minorHAnsi"/>
        </w:rPr>
        <w:t xml:space="preserve">All monetary amounts must be reported in the </w:t>
      </w:r>
      <w:r w:rsidRPr="00F54901">
        <w:rPr>
          <w:rFonts w:asciiTheme="minorHAnsi" w:hAnsiTheme="minorHAnsi"/>
          <w:b/>
        </w:rPr>
        <w:t>single reporting currency</w:t>
      </w:r>
      <w:r w:rsidRPr="00F54901">
        <w:rPr>
          <w:rFonts w:asciiTheme="minorHAnsi" w:hAnsiTheme="minorHAnsi"/>
        </w:rPr>
        <w:t xml:space="preserve"> declared in the </w:t>
      </w:r>
      <w:r w:rsidRPr="00F54901">
        <w:rPr>
          <w:rFonts w:asciiTheme="minorHAnsi" w:hAnsiTheme="minorHAnsi"/>
          <w:b/>
        </w:rPr>
        <w:t>Basic Information template (AML.01.01).</w:t>
      </w:r>
      <w:r w:rsidRPr="00F54901">
        <w:rPr>
          <w:rFonts w:asciiTheme="minorHAnsi" w:hAnsiTheme="minorHAnsi"/>
        </w:rPr>
        <w:t xml:space="preserve"> </w:t>
      </w:r>
    </w:p>
    <w:p w14:paraId="5F2E792C" w14:textId="5255B683" w:rsidR="00505288" w:rsidRPr="00F54901" w:rsidRDefault="00505288" w:rsidP="00C5795A">
      <w:pPr>
        <w:jc w:val="both"/>
        <w:rPr>
          <w:rFonts w:asciiTheme="minorHAnsi" w:hAnsiTheme="minorHAnsi"/>
        </w:rPr>
      </w:pPr>
      <w:r w:rsidRPr="00F54901">
        <w:rPr>
          <w:rFonts w:asciiTheme="minorHAnsi" w:hAnsiTheme="minorHAnsi"/>
        </w:rPr>
        <w:t xml:space="preserve">To avoid formatting inconsistencies, the currency must </w:t>
      </w:r>
      <w:r w:rsidRPr="00F54901">
        <w:rPr>
          <w:rFonts w:asciiTheme="minorHAnsi" w:hAnsiTheme="minorHAnsi"/>
          <w:b/>
        </w:rPr>
        <w:t>not</w:t>
      </w:r>
      <w:r w:rsidRPr="00F54901">
        <w:rPr>
          <w:rFonts w:asciiTheme="minorHAnsi" w:hAnsiTheme="minorHAnsi"/>
        </w:rPr>
        <w:t xml:space="preserve"> be added or reformatted in individual cells</w:t>
      </w:r>
      <w:r w:rsidR="00561BFA">
        <w:rPr>
          <w:rFonts w:asciiTheme="minorHAnsi" w:hAnsiTheme="minorHAnsi"/>
        </w:rPr>
        <w:t>.</w:t>
      </w:r>
      <w:r w:rsidRPr="00F54901">
        <w:rPr>
          <w:rFonts w:asciiTheme="minorHAnsi" w:hAnsiTheme="minorHAnsi"/>
        </w:rPr>
        <w:t xml:space="preserve"> </w:t>
      </w:r>
      <w:r w:rsidR="00561BFA">
        <w:rPr>
          <w:rFonts w:asciiTheme="minorHAnsi" w:hAnsiTheme="minorHAnsi"/>
        </w:rPr>
        <w:t>T</w:t>
      </w:r>
      <w:r w:rsidRPr="00F54901">
        <w:rPr>
          <w:rFonts w:asciiTheme="minorHAnsi" w:hAnsiTheme="minorHAnsi"/>
        </w:rPr>
        <w:t>he currency indicator from AML.01.01 is the only value AMLA will read.</w:t>
      </w:r>
    </w:p>
    <w:p w14:paraId="14D4B988" w14:textId="7FBBD848" w:rsidR="006611BB" w:rsidRPr="006611BB" w:rsidRDefault="00707751" w:rsidP="006611BB">
      <w:pPr>
        <w:jc w:val="both"/>
        <w:rPr>
          <w:rFonts w:asciiTheme="minorHAnsi" w:hAnsiTheme="minorHAnsi"/>
          <w:lang w:val="en-IE"/>
        </w:rPr>
      </w:pPr>
      <w:r w:rsidRPr="00707751">
        <w:rPr>
          <w:rFonts w:asciiTheme="minorHAnsi" w:hAnsiTheme="minorHAnsi"/>
        </w:rPr>
        <w:t>Where currency conversion is required for reported data or for thresholds of the items,</w:t>
      </w:r>
      <w:r w:rsidR="006611BB" w:rsidRPr="006611BB">
        <w:rPr>
          <w:rFonts w:asciiTheme="minorHAnsi" w:hAnsiTheme="minorHAnsi"/>
          <w:lang w:val="en-IE"/>
        </w:rPr>
        <w:t xml:space="preserve"> </w:t>
      </w:r>
      <w:r w:rsidR="00F96F01">
        <w:rPr>
          <w:rFonts w:asciiTheme="minorHAnsi" w:hAnsiTheme="minorHAnsi"/>
          <w:lang w:val="en-IE"/>
        </w:rPr>
        <w:t>reporting o</w:t>
      </w:r>
      <w:r w:rsidR="006611BB" w:rsidRPr="006611BB">
        <w:rPr>
          <w:rFonts w:asciiTheme="minorHAnsi" w:hAnsiTheme="minorHAnsi"/>
          <w:lang w:val="en-IE"/>
        </w:rPr>
        <w:t xml:space="preserve">bliged </w:t>
      </w:r>
      <w:r w:rsidR="00F96F01">
        <w:rPr>
          <w:rFonts w:asciiTheme="minorHAnsi" w:hAnsiTheme="minorHAnsi"/>
          <w:lang w:val="en-IE"/>
        </w:rPr>
        <w:t>e</w:t>
      </w:r>
      <w:r w:rsidR="006611BB" w:rsidRPr="006611BB">
        <w:rPr>
          <w:rFonts w:asciiTheme="minorHAnsi" w:hAnsiTheme="minorHAnsi"/>
          <w:lang w:val="en-IE"/>
        </w:rPr>
        <w:t>ntities should apply the following approach:</w:t>
      </w:r>
    </w:p>
    <w:p w14:paraId="3FDE5738" w14:textId="799B4839" w:rsidR="006611BB" w:rsidRPr="006611BB" w:rsidRDefault="006611BB" w:rsidP="006611BB">
      <w:pPr>
        <w:numPr>
          <w:ilvl w:val="0"/>
          <w:numId w:val="134"/>
        </w:numPr>
        <w:jc w:val="both"/>
        <w:rPr>
          <w:rFonts w:asciiTheme="minorHAnsi" w:hAnsiTheme="minorHAnsi"/>
          <w:lang w:val="en-IE"/>
        </w:rPr>
      </w:pPr>
      <w:r w:rsidRPr="006611BB">
        <w:rPr>
          <w:rFonts w:asciiTheme="minorHAnsi" w:hAnsiTheme="minorHAnsi"/>
          <w:lang w:val="en-IE"/>
        </w:rPr>
        <w:t xml:space="preserve">For data points reported as a stock at the end of the reference year, the applicable exchange rate should be the official exchange rate (e.g. the ECB exchange rate) published on 31 December of the reference year. If no official exchange rate is available on 31 December, </w:t>
      </w:r>
      <w:r w:rsidR="001C6424">
        <w:rPr>
          <w:rFonts w:asciiTheme="minorHAnsi" w:hAnsiTheme="minorHAnsi"/>
          <w:lang w:val="en-IE"/>
        </w:rPr>
        <w:t>reporting o</w:t>
      </w:r>
      <w:r w:rsidRPr="006611BB">
        <w:rPr>
          <w:rFonts w:asciiTheme="minorHAnsi" w:hAnsiTheme="minorHAnsi"/>
          <w:lang w:val="en-IE"/>
        </w:rPr>
        <w:t xml:space="preserve">bliged </w:t>
      </w:r>
      <w:r w:rsidR="001C6424">
        <w:rPr>
          <w:rFonts w:asciiTheme="minorHAnsi" w:hAnsiTheme="minorHAnsi"/>
          <w:lang w:val="en-IE"/>
        </w:rPr>
        <w:t>e</w:t>
      </w:r>
      <w:r w:rsidRPr="006611BB">
        <w:rPr>
          <w:rFonts w:asciiTheme="minorHAnsi" w:hAnsiTheme="minorHAnsi"/>
          <w:lang w:val="en-IE"/>
        </w:rPr>
        <w:t>ntities should use the official rate published on 30 December, or the most recent preceding date for which an official rate is available.</w:t>
      </w:r>
    </w:p>
    <w:p w14:paraId="4FC4DDC1" w14:textId="50444CF5" w:rsidR="006611BB" w:rsidRPr="006611BB" w:rsidRDefault="006611BB" w:rsidP="006611BB">
      <w:pPr>
        <w:numPr>
          <w:ilvl w:val="0"/>
          <w:numId w:val="134"/>
        </w:numPr>
        <w:jc w:val="both"/>
        <w:rPr>
          <w:rFonts w:asciiTheme="minorHAnsi" w:hAnsiTheme="minorHAnsi"/>
          <w:lang w:val="en-IE"/>
        </w:rPr>
      </w:pPr>
      <w:r w:rsidRPr="006611BB">
        <w:rPr>
          <w:rFonts w:asciiTheme="minorHAnsi" w:hAnsiTheme="minorHAnsi"/>
          <w:lang w:val="en-IE"/>
        </w:rPr>
        <w:t xml:space="preserve">For data points reported as of a specific date during the reference year, </w:t>
      </w:r>
      <w:r w:rsidR="0058521B">
        <w:rPr>
          <w:rFonts w:asciiTheme="minorHAnsi" w:hAnsiTheme="minorHAnsi"/>
          <w:lang w:val="en-IE"/>
        </w:rPr>
        <w:t>reporting o</w:t>
      </w:r>
      <w:r w:rsidRPr="006611BB">
        <w:rPr>
          <w:rFonts w:asciiTheme="minorHAnsi" w:hAnsiTheme="minorHAnsi"/>
          <w:lang w:val="en-IE"/>
        </w:rPr>
        <w:t xml:space="preserve">bliged </w:t>
      </w:r>
      <w:r w:rsidR="0058521B">
        <w:rPr>
          <w:rFonts w:asciiTheme="minorHAnsi" w:hAnsiTheme="minorHAnsi"/>
          <w:lang w:val="en-IE"/>
        </w:rPr>
        <w:t>e</w:t>
      </w:r>
      <w:r w:rsidRPr="006611BB">
        <w:rPr>
          <w:rFonts w:asciiTheme="minorHAnsi" w:hAnsiTheme="minorHAnsi"/>
          <w:lang w:val="en-IE"/>
        </w:rPr>
        <w:t>ntities should use the official exchange rate applicable on the date the transaction (or other relevant non-euro-denominated event requiring conversion into euro) took place. If no official rate is available on that date, they should use the rate published on the most recent preceding date. By way of exception, where applying this approach would be excessively burdensome</w:t>
      </w:r>
      <w:r w:rsidR="004666F4">
        <w:rPr>
          <w:rFonts w:asciiTheme="minorHAnsi" w:hAnsiTheme="minorHAnsi"/>
          <w:lang w:val="en-IE"/>
        </w:rPr>
        <w:t xml:space="preserve"> and the impact immaterial</w:t>
      </w:r>
      <w:r w:rsidRPr="006611BB">
        <w:rPr>
          <w:rFonts w:asciiTheme="minorHAnsi" w:hAnsiTheme="minorHAnsi"/>
          <w:lang w:val="en-IE"/>
        </w:rPr>
        <w:t xml:space="preserve">, </w:t>
      </w:r>
      <w:r w:rsidR="0058521B">
        <w:rPr>
          <w:rFonts w:asciiTheme="minorHAnsi" w:hAnsiTheme="minorHAnsi"/>
          <w:lang w:val="en-IE"/>
        </w:rPr>
        <w:t>reporting o</w:t>
      </w:r>
      <w:r w:rsidRPr="006611BB">
        <w:rPr>
          <w:rFonts w:asciiTheme="minorHAnsi" w:hAnsiTheme="minorHAnsi"/>
          <w:lang w:val="en-IE"/>
        </w:rPr>
        <w:t xml:space="preserve">bliged </w:t>
      </w:r>
      <w:r w:rsidR="0058521B">
        <w:rPr>
          <w:rFonts w:asciiTheme="minorHAnsi" w:hAnsiTheme="minorHAnsi"/>
          <w:lang w:val="en-IE"/>
        </w:rPr>
        <w:t>e</w:t>
      </w:r>
      <w:r w:rsidRPr="006611BB">
        <w:rPr>
          <w:rFonts w:asciiTheme="minorHAnsi" w:hAnsiTheme="minorHAnsi"/>
          <w:lang w:val="en-IE"/>
        </w:rPr>
        <w:t>ntities may use the year-end exchange rate (in accordance with the method described in point 1) for such transactions or events.</w:t>
      </w:r>
    </w:p>
    <w:p w14:paraId="3DBEAADB" w14:textId="2A923940" w:rsidR="006074E9" w:rsidRDefault="00251476" w:rsidP="006074E9">
      <w:pPr>
        <w:jc w:val="both"/>
        <w:rPr>
          <w:rFonts w:asciiTheme="minorHAnsi" w:hAnsiTheme="minorHAnsi"/>
          <w:lang w:val="en-IE"/>
        </w:rPr>
      </w:pPr>
      <w:r w:rsidRPr="00135B9D">
        <w:rPr>
          <w:rFonts w:asciiTheme="minorHAnsi" w:hAnsiTheme="minorHAnsi"/>
          <w:lang w:val="en-IE"/>
        </w:rPr>
        <w:t>When reporting on financial assets, any required valuation should be based on the market value (fair value) as of 31 December.</w:t>
      </w:r>
    </w:p>
    <w:p w14:paraId="69B17BD0" w14:textId="75970599" w:rsidR="006074E9" w:rsidRPr="006074E9" w:rsidRDefault="006074E9" w:rsidP="00F54901">
      <w:pPr>
        <w:pStyle w:val="Heading3"/>
        <w:rPr>
          <w:lang w:val="en-IE"/>
        </w:rPr>
      </w:pPr>
      <w:bookmarkStart w:id="26" w:name="_Toc223018879"/>
      <w:bookmarkStart w:id="27" w:name="_Toc223021677"/>
      <w:bookmarkStart w:id="28" w:name="_Toc223086525"/>
      <w:bookmarkStart w:id="29" w:name="_Toc223086619"/>
      <w:bookmarkStart w:id="30" w:name="_Toc223086713"/>
      <w:bookmarkStart w:id="31" w:name="_Toc223086807"/>
      <w:bookmarkStart w:id="32" w:name="_Toc223104821"/>
      <w:bookmarkEnd w:id="26"/>
      <w:bookmarkEnd w:id="27"/>
      <w:bookmarkEnd w:id="28"/>
      <w:bookmarkEnd w:id="29"/>
      <w:bookmarkEnd w:id="30"/>
      <w:bookmarkEnd w:id="31"/>
      <w:r w:rsidRPr="006074E9">
        <w:rPr>
          <w:lang w:val="en-IE"/>
        </w:rPr>
        <w:t>Excel structure and data quality expectations</w:t>
      </w:r>
      <w:bookmarkEnd w:id="32"/>
    </w:p>
    <w:p w14:paraId="58E7BBAB" w14:textId="5B934230" w:rsidR="006074E9" w:rsidRPr="006074E9" w:rsidRDefault="00E03E1E" w:rsidP="006074E9">
      <w:pPr>
        <w:jc w:val="both"/>
        <w:rPr>
          <w:rFonts w:asciiTheme="minorHAnsi" w:hAnsiTheme="minorHAnsi"/>
          <w:lang w:val="en-IE"/>
        </w:rPr>
      </w:pPr>
      <w:r w:rsidRPr="00E03E1E">
        <w:rPr>
          <w:rFonts w:asciiTheme="minorHAnsi" w:hAnsiTheme="minorHAnsi"/>
          <w:b/>
          <w:bCs/>
          <w:noProof/>
        </w:rPr>
        <mc:AlternateContent>
          <mc:Choice Requires="wps">
            <w:drawing>
              <wp:anchor distT="45720" distB="45720" distL="114300" distR="114300" simplePos="0" relativeHeight="251658241" behindDoc="0" locked="0" layoutInCell="1" allowOverlap="1" wp14:anchorId="121ADFB2" wp14:editId="1903DF1E">
                <wp:simplePos x="0" y="0"/>
                <wp:positionH relativeFrom="margin">
                  <wp:align>left</wp:align>
                </wp:positionH>
                <wp:positionV relativeFrom="paragraph">
                  <wp:posOffset>791210</wp:posOffset>
                </wp:positionV>
                <wp:extent cx="5473065" cy="1022350"/>
                <wp:effectExtent l="19050" t="19050" r="1333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065" cy="1022570"/>
                        </a:xfrm>
                        <a:prstGeom prst="rect">
                          <a:avLst/>
                        </a:prstGeom>
                        <a:solidFill>
                          <a:srgbClr val="FFFF00"/>
                        </a:solidFill>
                        <a:ln w="41275" cmpd="dbl">
                          <a:solidFill>
                            <a:srgbClr val="000000"/>
                          </a:solidFill>
                          <a:miter lim="800000"/>
                          <a:headEnd/>
                          <a:tailEnd/>
                        </a:ln>
                      </wps:spPr>
                      <wps:txbx>
                        <w:txbxContent>
                          <w:p w14:paraId="3DB38DCB" w14:textId="5D6ACDA1" w:rsidR="00E03E1E" w:rsidRPr="00DD1B62" w:rsidRDefault="00E03E1E" w:rsidP="00E03E1E">
                            <w:pPr>
                              <w:jc w:val="both"/>
                              <w:rPr>
                                <w:rFonts w:asciiTheme="minorHAnsi" w:hAnsiTheme="minorHAnsi"/>
                                <w:b/>
                                <w:lang w:val="en-IE"/>
                              </w:rPr>
                            </w:pPr>
                            <w:r w:rsidRPr="00DD1B62">
                              <w:rPr>
                                <w:rFonts w:asciiTheme="minorHAnsi" w:hAnsiTheme="minorHAnsi"/>
                                <w:b/>
                                <w:lang w:val="en-IE"/>
                              </w:rPr>
                              <w:t xml:space="preserve">Altering the workbook structure on worksheet names, cell formats, formulas or validations, or other protected features, may prevent correct data processing by </w:t>
                            </w:r>
                            <w:r w:rsidR="002574F0" w:rsidRPr="002574F0">
                              <w:rPr>
                                <w:rFonts w:asciiTheme="minorHAnsi" w:hAnsiTheme="minorHAnsi"/>
                                <w:b/>
                                <w:lang w:val="en-IE"/>
                              </w:rPr>
                              <w:t xml:space="preserve">national financial </w:t>
                            </w:r>
                            <w:r w:rsidR="002574F0">
                              <w:rPr>
                                <w:rFonts w:asciiTheme="minorHAnsi" w:hAnsiTheme="minorHAnsi"/>
                                <w:b/>
                                <w:lang w:val="en-IE"/>
                              </w:rPr>
                              <w:t>s</w:t>
                            </w:r>
                            <w:r w:rsidR="002574F0" w:rsidRPr="00DD1B62">
                              <w:rPr>
                                <w:rFonts w:asciiTheme="minorHAnsi" w:hAnsiTheme="minorHAnsi"/>
                                <w:b/>
                                <w:lang w:val="en-IE"/>
                              </w:rPr>
                              <w:t>upervisors</w:t>
                            </w:r>
                            <w:r w:rsidRPr="00DD1B62">
                              <w:rPr>
                                <w:rFonts w:asciiTheme="minorHAnsi" w:hAnsiTheme="minorHAnsi"/>
                                <w:b/>
                                <w:lang w:val="en-IE"/>
                              </w:rPr>
                              <w:t xml:space="preserve"> and/or AMLA and lead to the submission being considered not properly </w:t>
                            </w:r>
                            <w:r w:rsidR="00A97134">
                              <w:rPr>
                                <w:rFonts w:asciiTheme="minorHAnsi" w:hAnsiTheme="minorHAnsi"/>
                                <w:b/>
                                <w:lang w:val="en-IE"/>
                              </w:rPr>
                              <w:t>fulfilled</w:t>
                            </w:r>
                            <w:r w:rsidRPr="00DD1B62">
                              <w:rPr>
                                <w:rFonts w:asciiTheme="minorHAnsi" w:hAnsiTheme="minorHAnsi"/>
                                <w:b/>
                                <w:lang w:val="en-IE"/>
                              </w:rPr>
                              <w:t>.</w:t>
                            </w:r>
                          </w:p>
                          <w:p w14:paraId="455859CF" w14:textId="2C9B3252" w:rsidR="00E03E1E" w:rsidRPr="00DD1B62" w:rsidRDefault="00E03E1E">
                            <w:pPr>
                              <w:rPr>
                                <w:b/>
                                <w:lang w:val="en-I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1ADFB2" id="Text Box 2" o:spid="_x0000_s1027" type="#_x0000_t202" style="position:absolute;left:0;text-align:left;margin-left:0;margin-top:62.3pt;width:430.95pt;height:80.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" fillcolor="yellow" strokeweight="3.25pt">
                <v:stroke linestyle="thinThin"/>
                <v:textbox>
                  <w:txbxContent>
                    <w:p w14:paraId="3DB38DCB" w14:textId="5D6ACDA1" w:rsidR="00E03E1E" w:rsidRPr="00DD1B62" w:rsidRDefault="00E03E1E" w:rsidP="00E03E1E">
                      <w:pPr>
                        <w:jc w:val="both"/>
                        <w:rPr>
                          <w:rFonts w:asciiTheme="minorHAnsi" w:hAnsiTheme="minorHAnsi"/>
                          <w:b/>
                          <w:lang w:val="en-IE"/>
                        </w:rPr>
                      </w:pPr>
                      <w:r w:rsidRPr="00DD1B62">
                        <w:rPr>
                          <w:rFonts w:asciiTheme="minorHAnsi" w:hAnsiTheme="minorHAnsi"/>
                          <w:b/>
                          <w:lang w:val="en-IE"/>
                        </w:rPr>
                        <w:t xml:space="preserve">Altering the workbook structure on worksheet names, cell formats, formulas or validations, or other protected features, may prevent correct data processing by </w:t>
                      </w:r>
                      <w:r w:rsidR="002574F0" w:rsidRPr="002574F0">
                        <w:rPr>
                          <w:rFonts w:asciiTheme="minorHAnsi" w:hAnsiTheme="minorHAnsi"/>
                          <w:b/>
                          <w:lang w:val="en-IE"/>
                        </w:rPr>
                        <w:t xml:space="preserve">national financial </w:t>
                      </w:r>
                      <w:r w:rsidR="002574F0">
                        <w:rPr>
                          <w:rFonts w:asciiTheme="minorHAnsi" w:hAnsiTheme="minorHAnsi"/>
                          <w:b/>
                          <w:lang w:val="en-IE"/>
                        </w:rPr>
                        <w:t>s</w:t>
                      </w:r>
                      <w:r w:rsidR="002574F0" w:rsidRPr="00DD1B62">
                        <w:rPr>
                          <w:rFonts w:asciiTheme="minorHAnsi" w:hAnsiTheme="minorHAnsi"/>
                          <w:b/>
                          <w:lang w:val="en-IE"/>
                        </w:rPr>
                        <w:t>upervisors</w:t>
                      </w:r>
                      <w:r w:rsidRPr="00DD1B62">
                        <w:rPr>
                          <w:rFonts w:asciiTheme="minorHAnsi" w:hAnsiTheme="minorHAnsi"/>
                          <w:b/>
                          <w:lang w:val="en-IE"/>
                        </w:rPr>
                        <w:t xml:space="preserve"> and/or AMLA and lead to the submission being considered not properly </w:t>
                      </w:r>
                      <w:r w:rsidR="00A97134">
                        <w:rPr>
                          <w:rFonts w:asciiTheme="minorHAnsi" w:hAnsiTheme="minorHAnsi"/>
                          <w:b/>
                          <w:lang w:val="en-IE"/>
                        </w:rPr>
                        <w:t>fulfilled</w:t>
                      </w:r>
                      <w:r w:rsidRPr="00DD1B62">
                        <w:rPr>
                          <w:rFonts w:asciiTheme="minorHAnsi" w:hAnsiTheme="minorHAnsi"/>
                          <w:b/>
                          <w:lang w:val="en-IE"/>
                        </w:rPr>
                        <w:t>.</w:t>
                      </w:r>
                    </w:p>
                    <w:p w14:paraId="455859CF" w14:textId="2C9B3252" w:rsidR="00E03E1E" w:rsidRPr="00DD1B62" w:rsidRDefault="00E03E1E">
                      <w:pPr>
                        <w:rPr>
                          <w:b/>
                          <w:lang w:val="en-IE"/>
                        </w:rPr>
                      </w:pPr>
                    </w:p>
                  </w:txbxContent>
                </v:textbox>
                <w10:wrap type="square" anchorx="margin"/>
              </v:shape>
            </w:pict>
          </mc:Fallback>
        </mc:AlternateContent>
      </w:r>
      <w:r w:rsidR="006074E9" w:rsidRPr="006074E9">
        <w:rPr>
          <w:rFonts w:asciiTheme="minorHAnsi" w:hAnsiTheme="minorHAnsi"/>
          <w:lang w:val="en-IE"/>
        </w:rPr>
        <w:t xml:space="preserve">The Excel workbook provided for the testing exercise is </w:t>
      </w:r>
      <w:r w:rsidR="006074E9" w:rsidRPr="00FE1171">
        <w:rPr>
          <w:rFonts w:asciiTheme="minorHAnsi" w:hAnsiTheme="minorHAnsi"/>
          <w:lang w:val="en-IE"/>
        </w:rPr>
        <w:t>protected</w:t>
      </w:r>
      <w:r w:rsidR="006074E9" w:rsidRPr="006074E9">
        <w:rPr>
          <w:rFonts w:asciiTheme="minorHAnsi" w:hAnsiTheme="minorHAnsi"/>
          <w:lang w:val="en-IE"/>
        </w:rPr>
        <w:t xml:space="preserve"> to avoid unintended structural modifications and to preserve processing integrity. </w:t>
      </w:r>
      <w:r w:rsidR="006074E9" w:rsidRPr="00FE1171">
        <w:rPr>
          <w:rFonts w:asciiTheme="minorHAnsi" w:hAnsiTheme="minorHAnsi"/>
          <w:b/>
          <w:lang w:val="en-IE"/>
        </w:rPr>
        <w:t xml:space="preserve">Users must </w:t>
      </w:r>
      <w:r w:rsidR="006074E9" w:rsidRPr="006074E9">
        <w:rPr>
          <w:rFonts w:asciiTheme="minorHAnsi" w:hAnsiTheme="minorHAnsi"/>
          <w:b/>
          <w:bCs/>
          <w:lang w:val="en-IE"/>
        </w:rPr>
        <w:t>not alter it</w:t>
      </w:r>
      <w:r w:rsidR="006074E9" w:rsidRPr="00DD1B62">
        <w:rPr>
          <w:rFonts w:asciiTheme="minorHAnsi" w:hAnsiTheme="minorHAnsi"/>
          <w:b/>
          <w:lang w:val="en-IE"/>
        </w:rPr>
        <w:t xml:space="preserve">, using only the data cells available for reporting </w:t>
      </w:r>
      <w:r w:rsidR="00312897">
        <w:rPr>
          <w:rFonts w:asciiTheme="minorHAnsi" w:hAnsiTheme="minorHAnsi"/>
          <w:b/>
          <w:lang w:val="en-IE"/>
        </w:rPr>
        <w:t xml:space="preserve">obliged </w:t>
      </w:r>
      <w:r w:rsidR="006074E9" w:rsidRPr="00DD1B62">
        <w:rPr>
          <w:rFonts w:asciiTheme="minorHAnsi" w:hAnsiTheme="minorHAnsi"/>
          <w:b/>
          <w:lang w:val="en-IE"/>
        </w:rPr>
        <w:t>entities information</w:t>
      </w:r>
      <w:r w:rsidR="006074E9" w:rsidRPr="006074E9">
        <w:rPr>
          <w:rFonts w:asciiTheme="minorHAnsi" w:hAnsiTheme="minorHAnsi"/>
          <w:lang w:val="en-IE"/>
        </w:rPr>
        <w:t xml:space="preserve">. </w:t>
      </w:r>
    </w:p>
    <w:p w14:paraId="53D858BE" w14:textId="06E1D603" w:rsidR="00B9692D" w:rsidRPr="00763D2D" w:rsidRDefault="00B67184" w:rsidP="00CC65CC">
      <w:pPr>
        <w:jc w:val="both"/>
        <w:rPr>
          <w:rFonts w:asciiTheme="minorHAnsi" w:hAnsiTheme="minorHAnsi"/>
        </w:rPr>
      </w:pPr>
      <w:r>
        <w:rPr>
          <w:rFonts w:asciiTheme="minorHAnsi" w:hAnsiTheme="minorHAnsi"/>
          <w:highlight w:val="yellow"/>
        </w:rPr>
        <w:br/>
      </w:r>
      <w:r w:rsidRPr="00003055">
        <w:rPr>
          <w:rFonts w:asciiTheme="minorHAnsi" w:hAnsiTheme="minorHAnsi"/>
        </w:rPr>
        <w:t xml:space="preserve">Explanation from dashboard, validations, </w:t>
      </w:r>
      <w:r w:rsidR="006A04D0" w:rsidRPr="00A90505">
        <w:rPr>
          <w:rFonts w:asciiTheme="minorHAnsi" w:hAnsiTheme="minorHAnsi"/>
        </w:rPr>
        <w:t>f</w:t>
      </w:r>
      <w:r w:rsidR="006A04D0">
        <w:rPr>
          <w:rFonts w:asciiTheme="minorHAnsi" w:hAnsiTheme="minorHAnsi"/>
        </w:rPr>
        <w:t>ormat expected (</w:t>
      </w:r>
      <w:r w:rsidR="009226D3">
        <w:rPr>
          <w:rFonts w:asciiTheme="minorHAnsi" w:hAnsiTheme="minorHAnsi"/>
        </w:rPr>
        <w:t xml:space="preserve">dates, </w:t>
      </w:r>
      <w:r w:rsidR="006A04D0">
        <w:rPr>
          <w:rFonts w:asciiTheme="minorHAnsi" w:hAnsiTheme="minorHAnsi"/>
        </w:rPr>
        <w:t>etc</w:t>
      </w:r>
      <w:r w:rsidR="00CC1C22">
        <w:rPr>
          <w:rFonts w:asciiTheme="minorHAnsi" w:hAnsiTheme="minorHAnsi"/>
        </w:rPr>
        <w:t>.</w:t>
      </w:r>
      <w:r w:rsidR="006A04D0">
        <w:rPr>
          <w:rFonts w:asciiTheme="minorHAnsi" w:hAnsiTheme="minorHAnsi"/>
        </w:rPr>
        <w:t xml:space="preserve">) and different among </w:t>
      </w:r>
      <w:r w:rsidR="00F65F5E">
        <w:rPr>
          <w:rFonts w:asciiTheme="minorHAnsi" w:hAnsiTheme="minorHAnsi"/>
        </w:rPr>
        <w:t xml:space="preserve">leave it blank </w:t>
      </w:r>
      <w:r w:rsidR="0061359D">
        <w:rPr>
          <w:rFonts w:asciiTheme="minorHAnsi" w:hAnsiTheme="minorHAnsi"/>
        </w:rPr>
        <w:t>(</w:t>
      </w:r>
      <w:r w:rsidR="00CC1C22">
        <w:rPr>
          <w:rFonts w:asciiTheme="minorHAnsi" w:hAnsiTheme="minorHAnsi"/>
        </w:rPr>
        <w:t>unknown</w:t>
      </w:r>
      <w:r w:rsidR="0061359D">
        <w:rPr>
          <w:rFonts w:asciiTheme="minorHAnsi" w:hAnsiTheme="minorHAnsi"/>
        </w:rPr>
        <w:t xml:space="preserve">/not applicable value) </w:t>
      </w:r>
      <w:r w:rsidR="00F65F5E">
        <w:rPr>
          <w:rFonts w:asciiTheme="minorHAnsi" w:hAnsiTheme="minorHAnsi"/>
        </w:rPr>
        <w:t>and reporting 0</w:t>
      </w:r>
      <w:r w:rsidR="0061359D">
        <w:rPr>
          <w:rFonts w:asciiTheme="minorHAnsi" w:hAnsiTheme="minorHAnsi"/>
        </w:rPr>
        <w:t xml:space="preserve"> (i.e</w:t>
      </w:r>
      <w:r w:rsidR="00345466">
        <w:rPr>
          <w:rFonts w:asciiTheme="minorHAnsi" w:hAnsiTheme="minorHAnsi"/>
        </w:rPr>
        <w:t>.</w:t>
      </w:r>
      <w:r w:rsidR="0061359D">
        <w:rPr>
          <w:rFonts w:asciiTheme="minorHAnsi" w:hAnsiTheme="minorHAnsi"/>
        </w:rPr>
        <w:t xml:space="preserve"> 0 </w:t>
      </w:r>
      <w:r w:rsidR="00554F67">
        <w:rPr>
          <w:rFonts w:asciiTheme="minorHAnsi" w:hAnsiTheme="minorHAnsi"/>
        </w:rPr>
        <w:t>value measured)</w:t>
      </w:r>
      <w:r w:rsidR="00F65F5E">
        <w:rPr>
          <w:rFonts w:asciiTheme="minorHAnsi" w:hAnsiTheme="minorHAnsi"/>
        </w:rPr>
        <w:t>.</w:t>
      </w:r>
      <w:r w:rsidR="00162DD2">
        <w:rPr>
          <w:rFonts w:asciiTheme="minorHAnsi" w:hAnsiTheme="minorHAnsi"/>
        </w:rPr>
        <w:t xml:space="preserve"> </w:t>
      </w:r>
    </w:p>
    <w:p w14:paraId="4751FB2B" w14:textId="6465517E" w:rsidR="002D22BB" w:rsidRPr="00F54901" w:rsidRDefault="002D22BB" w:rsidP="009661FD">
      <w:pPr>
        <w:numPr>
          <w:ilvl w:val="0"/>
          <w:numId w:val="95"/>
        </w:numPr>
        <w:ind w:left="714" w:hanging="357"/>
        <w:jc w:val="both"/>
        <w:rPr>
          <w:rFonts w:asciiTheme="minorHAnsi" w:hAnsiTheme="minorHAnsi"/>
        </w:rPr>
      </w:pPr>
      <w:r w:rsidRPr="00F54901">
        <w:rPr>
          <w:rFonts w:asciiTheme="minorHAnsi" w:hAnsiTheme="minorHAnsi"/>
          <w:b/>
        </w:rPr>
        <w:t>Blocking validations = “Errors”</w:t>
      </w:r>
      <w:r w:rsidRPr="00F54901">
        <w:rPr>
          <w:rFonts w:asciiTheme="minorHAnsi" w:hAnsiTheme="minorHAnsi"/>
        </w:rPr>
        <w:t xml:space="preserve"> word is shown the messages by formulas. Normally</w:t>
      </w:r>
      <w:r w:rsidR="003336D9" w:rsidRPr="00F54901">
        <w:rPr>
          <w:rFonts w:asciiTheme="minorHAnsi" w:hAnsiTheme="minorHAnsi"/>
        </w:rPr>
        <w:t xml:space="preserve"> it</w:t>
      </w:r>
      <w:r w:rsidRPr="00F54901">
        <w:rPr>
          <w:rFonts w:asciiTheme="minorHAnsi" w:hAnsiTheme="minorHAnsi"/>
        </w:rPr>
        <w:t xml:space="preserve"> is not expected to occur as generally as intends to identify inconsistencies or omissions requiring correction prior to submission. </w:t>
      </w:r>
      <w:r w:rsidRPr="009661FD">
        <w:rPr>
          <w:rFonts w:asciiTheme="minorHAnsi" w:hAnsiTheme="minorHAnsi"/>
          <w:b/>
        </w:rPr>
        <w:t>If a user detects when reporting real and accurate data a blocking error is shown</w:t>
      </w:r>
      <w:r w:rsidRPr="00F54901">
        <w:rPr>
          <w:rFonts w:asciiTheme="minorHAnsi" w:hAnsiTheme="minorHAnsi"/>
        </w:rPr>
        <w:t xml:space="preserve">, </w:t>
      </w:r>
      <w:r w:rsidRPr="009661FD">
        <w:rPr>
          <w:rFonts w:asciiTheme="minorHAnsi" w:hAnsiTheme="minorHAnsi"/>
          <w:b/>
        </w:rPr>
        <w:t xml:space="preserve">please </w:t>
      </w:r>
      <w:r w:rsidR="000A0137" w:rsidRPr="009661FD">
        <w:rPr>
          <w:rFonts w:asciiTheme="minorHAnsi" w:hAnsiTheme="minorHAnsi"/>
          <w:b/>
        </w:rPr>
        <w:t xml:space="preserve">check the </w:t>
      </w:r>
      <w:r w:rsidR="00C87A96" w:rsidRPr="009661FD">
        <w:rPr>
          <w:rFonts w:asciiTheme="minorHAnsi" w:hAnsiTheme="minorHAnsi"/>
          <w:b/>
        </w:rPr>
        <w:t xml:space="preserve">AMLA webpage to see if is a known issue </w:t>
      </w:r>
      <w:r w:rsidR="00C87A96">
        <w:rPr>
          <w:rFonts w:asciiTheme="minorHAnsi" w:hAnsiTheme="minorHAnsi"/>
        </w:rPr>
        <w:t>with the specific formula (may be already</w:t>
      </w:r>
      <w:r w:rsidR="00162DD2">
        <w:rPr>
          <w:rFonts w:asciiTheme="minorHAnsi" w:hAnsiTheme="minorHAnsi"/>
        </w:rPr>
        <w:t xml:space="preserve"> </w:t>
      </w:r>
      <w:r w:rsidR="0000408E">
        <w:rPr>
          <w:rFonts w:asciiTheme="minorHAnsi" w:hAnsiTheme="minorHAnsi"/>
        </w:rPr>
        <w:t>known</w:t>
      </w:r>
      <w:r w:rsidR="00C87A96">
        <w:rPr>
          <w:rFonts w:asciiTheme="minorHAnsi" w:hAnsiTheme="minorHAnsi"/>
        </w:rPr>
        <w:t xml:space="preserve">) </w:t>
      </w:r>
      <w:r w:rsidR="0000408E">
        <w:rPr>
          <w:rFonts w:asciiTheme="minorHAnsi" w:hAnsiTheme="minorHAnsi"/>
        </w:rPr>
        <w:t>and if not,</w:t>
      </w:r>
      <w:r w:rsidR="00C87A96">
        <w:rPr>
          <w:rFonts w:asciiTheme="minorHAnsi" w:hAnsiTheme="minorHAnsi"/>
        </w:rPr>
        <w:t xml:space="preserve"> </w:t>
      </w:r>
      <w:r w:rsidRPr="00F54901">
        <w:rPr>
          <w:rFonts w:asciiTheme="minorHAnsi" w:hAnsiTheme="minorHAnsi"/>
        </w:rPr>
        <w:t xml:space="preserve">use the contact points with your </w:t>
      </w:r>
      <w:r w:rsidR="0052741F">
        <w:rPr>
          <w:rFonts w:asciiTheme="minorHAnsi" w:hAnsiTheme="minorHAnsi"/>
        </w:rPr>
        <w:t>national financial s</w:t>
      </w:r>
      <w:r w:rsidRPr="00F54901">
        <w:rPr>
          <w:rFonts w:asciiTheme="minorHAnsi" w:hAnsiTheme="minorHAnsi"/>
        </w:rPr>
        <w:t xml:space="preserve">upervisor </w:t>
      </w:r>
    </w:p>
    <w:p w14:paraId="2F1D6F99" w14:textId="1DF43B0C" w:rsidR="002D22BB" w:rsidRPr="00F54901" w:rsidRDefault="002D22BB" w:rsidP="00DD1B62">
      <w:pPr>
        <w:numPr>
          <w:ilvl w:val="0"/>
          <w:numId w:val="95"/>
        </w:numPr>
        <w:ind w:left="714" w:hanging="357"/>
        <w:jc w:val="both"/>
        <w:rPr>
          <w:rFonts w:asciiTheme="minorHAnsi" w:hAnsiTheme="minorHAnsi"/>
        </w:rPr>
      </w:pPr>
      <w:r w:rsidRPr="00F54901">
        <w:rPr>
          <w:rFonts w:asciiTheme="minorHAnsi" w:hAnsiTheme="minorHAnsi"/>
          <w:b/>
        </w:rPr>
        <w:t>Non</w:t>
      </w:r>
      <w:r w:rsidRPr="00F54901">
        <w:rPr>
          <w:rFonts w:asciiTheme="minorHAnsi" w:hAnsiTheme="minorHAnsi"/>
          <w:b/>
        </w:rPr>
        <w:noBreakHyphen/>
        <w:t>blocking validations = “Warnings”</w:t>
      </w:r>
      <w:r w:rsidRPr="00F54901">
        <w:rPr>
          <w:rFonts w:asciiTheme="minorHAnsi" w:hAnsiTheme="minorHAnsi"/>
        </w:rPr>
        <w:t xml:space="preserve"> highlight values that may be unusual or require additional review. </w:t>
      </w:r>
      <w:r w:rsidR="0052741F">
        <w:rPr>
          <w:rFonts w:asciiTheme="minorHAnsi" w:hAnsiTheme="minorHAnsi"/>
        </w:rPr>
        <w:t>Reporting o</w:t>
      </w:r>
      <w:r w:rsidRPr="00F54901">
        <w:rPr>
          <w:rFonts w:asciiTheme="minorHAnsi" w:hAnsiTheme="minorHAnsi"/>
        </w:rPr>
        <w:t xml:space="preserve">bliged entities should verify whether the flagged value correctly reflects reality. If it does, the warning can be disregarded. Entities and Supervisor as encourage to review this type of warning </w:t>
      </w:r>
      <w:r w:rsidR="0000408E" w:rsidRPr="00F54901">
        <w:rPr>
          <w:rFonts w:asciiTheme="minorHAnsi" w:hAnsiTheme="minorHAnsi"/>
        </w:rPr>
        <w:t>message</w:t>
      </w:r>
      <w:r w:rsidRPr="00F54901">
        <w:rPr>
          <w:rFonts w:asciiTheme="minorHAnsi" w:hAnsiTheme="minorHAnsi"/>
        </w:rPr>
        <w:t xml:space="preserve"> as may help them to spot incorrect reports. </w:t>
      </w:r>
    </w:p>
    <w:p w14:paraId="5C0D2080" w14:textId="04929C5F" w:rsidR="009A42B6" w:rsidRPr="00F54901" w:rsidRDefault="00995213" w:rsidP="00B07484">
      <w:pPr>
        <w:jc w:val="both"/>
        <w:rPr>
          <w:rFonts w:asciiTheme="minorHAnsi" w:hAnsiTheme="minorHAnsi"/>
        </w:rPr>
      </w:pPr>
      <w:r>
        <w:rPr>
          <w:rFonts w:asciiTheme="minorHAnsi" w:hAnsiTheme="minorHAnsi"/>
        </w:rPr>
        <w:t>All</w:t>
      </w:r>
      <w:r w:rsidR="009A42B6" w:rsidRPr="00F54901">
        <w:rPr>
          <w:rFonts w:asciiTheme="minorHAnsi" w:hAnsiTheme="minorHAnsi"/>
        </w:rPr>
        <w:t xml:space="preserve"> datapoints must be </w:t>
      </w:r>
      <w:r w:rsidR="009A42B6" w:rsidRPr="00B07484">
        <w:rPr>
          <w:rFonts w:asciiTheme="minorHAnsi" w:hAnsiTheme="minorHAnsi"/>
        </w:rPr>
        <w:t xml:space="preserve">complete and reflect reality according to the </w:t>
      </w:r>
      <w:r w:rsidR="00B86828">
        <w:rPr>
          <w:rFonts w:asciiTheme="minorHAnsi" w:hAnsiTheme="minorHAnsi"/>
        </w:rPr>
        <w:t xml:space="preserve">specified </w:t>
      </w:r>
      <w:r w:rsidR="009A42B6" w:rsidRPr="00B07484">
        <w:rPr>
          <w:rFonts w:asciiTheme="minorHAnsi" w:hAnsiTheme="minorHAnsi"/>
        </w:rPr>
        <w:t>requirements</w:t>
      </w:r>
      <w:r w:rsidR="009A42B6" w:rsidRPr="00F54901">
        <w:rPr>
          <w:rFonts w:asciiTheme="minorHAnsi" w:hAnsiTheme="minorHAnsi"/>
        </w:rPr>
        <w:t xml:space="preserve">. Where a gap exists or where data quality </w:t>
      </w:r>
      <w:r w:rsidR="009A42B6" w:rsidRPr="00B07484">
        <w:rPr>
          <w:rFonts w:asciiTheme="minorHAnsi" w:hAnsiTheme="minorHAnsi"/>
        </w:rPr>
        <w:t>cannot be warranted</w:t>
      </w:r>
      <w:r w:rsidR="0000408E">
        <w:rPr>
          <w:rFonts w:asciiTheme="minorHAnsi" w:hAnsiTheme="minorHAnsi"/>
        </w:rPr>
        <w:t xml:space="preserve"> for </w:t>
      </w:r>
      <w:r w:rsidR="00914B1C">
        <w:rPr>
          <w:rFonts w:asciiTheme="minorHAnsi" w:hAnsiTheme="minorHAnsi"/>
        </w:rPr>
        <w:t xml:space="preserve">a </w:t>
      </w:r>
      <w:r w:rsidR="0000408E">
        <w:rPr>
          <w:rFonts w:asciiTheme="minorHAnsi" w:hAnsiTheme="minorHAnsi"/>
        </w:rPr>
        <w:t>justified reason</w:t>
      </w:r>
      <w:r w:rsidR="009A42B6" w:rsidRPr="00F54901">
        <w:rPr>
          <w:rFonts w:asciiTheme="minorHAnsi" w:hAnsiTheme="minorHAnsi"/>
        </w:rPr>
        <w:t xml:space="preserve">, the submission </w:t>
      </w:r>
      <w:r w:rsidR="009A42B6" w:rsidRPr="00B07484">
        <w:rPr>
          <w:rFonts w:asciiTheme="minorHAnsi" w:hAnsiTheme="minorHAnsi"/>
        </w:rPr>
        <w:t>must include an explanation</w:t>
      </w:r>
      <w:r w:rsidR="009A42B6" w:rsidRPr="00F54901">
        <w:rPr>
          <w:rFonts w:asciiTheme="minorHAnsi" w:hAnsiTheme="minorHAnsi"/>
        </w:rPr>
        <w:t xml:space="preserve"> of the </w:t>
      </w:r>
      <w:r w:rsidR="001256A9">
        <w:rPr>
          <w:rFonts w:asciiTheme="minorHAnsi" w:hAnsiTheme="minorHAnsi"/>
        </w:rPr>
        <w:t>situation</w:t>
      </w:r>
      <w:r w:rsidR="009A42B6" w:rsidRPr="00F54901">
        <w:rPr>
          <w:rFonts w:asciiTheme="minorHAnsi" w:hAnsiTheme="minorHAnsi"/>
        </w:rPr>
        <w:t xml:space="preserve">, using the </w:t>
      </w:r>
      <w:bookmarkStart w:id="33" w:name="_Hlk221882727"/>
      <w:r w:rsidR="009A42B6" w:rsidRPr="00B07484">
        <w:rPr>
          <w:rFonts w:asciiTheme="minorHAnsi" w:hAnsiTheme="minorHAnsi"/>
        </w:rPr>
        <w:t>AML.01.02 “Comments” template</w:t>
      </w:r>
      <w:r w:rsidR="009A42B6" w:rsidRPr="00F54901">
        <w:rPr>
          <w:rFonts w:asciiTheme="minorHAnsi" w:hAnsiTheme="minorHAnsi"/>
        </w:rPr>
        <w:t xml:space="preserve"> </w:t>
      </w:r>
      <w:bookmarkEnd w:id="33"/>
      <w:r w:rsidR="009A42B6" w:rsidRPr="00F54901">
        <w:rPr>
          <w:rFonts w:asciiTheme="minorHAnsi" w:hAnsiTheme="minorHAnsi"/>
        </w:rPr>
        <w:t xml:space="preserve">to reference the </w:t>
      </w:r>
      <w:r w:rsidR="009A42B6" w:rsidRPr="00B07484">
        <w:rPr>
          <w:rFonts w:asciiTheme="minorHAnsi" w:hAnsiTheme="minorHAnsi"/>
        </w:rPr>
        <w:t>template/column/country</w:t>
      </w:r>
      <w:r w:rsidR="009A42B6" w:rsidRPr="00F54901">
        <w:rPr>
          <w:rFonts w:asciiTheme="minorHAnsi" w:hAnsiTheme="minorHAnsi"/>
        </w:rPr>
        <w:t xml:space="preserve"> concerned and provide a </w:t>
      </w:r>
      <w:r w:rsidR="009A42B6" w:rsidRPr="00B07484">
        <w:rPr>
          <w:rFonts w:asciiTheme="minorHAnsi" w:hAnsiTheme="minorHAnsi"/>
        </w:rPr>
        <w:t>clear justification</w:t>
      </w:r>
      <w:r w:rsidR="009A42B6" w:rsidRPr="00F54901">
        <w:rPr>
          <w:rFonts w:asciiTheme="minorHAnsi" w:hAnsiTheme="minorHAnsi"/>
        </w:rPr>
        <w:t xml:space="preserve"> as explained </w:t>
      </w:r>
      <w:r w:rsidR="00D02826">
        <w:rPr>
          <w:rFonts w:asciiTheme="minorHAnsi" w:hAnsiTheme="minorHAnsi"/>
        </w:rPr>
        <w:t>i</w:t>
      </w:r>
      <w:r w:rsidR="009A42B6" w:rsidRPr="00F54901">
        <w:rPr>
          <w:rFonts w:asciiTheme="minorHAnsi" w:hAnsiTheme="minorHAnsi"/>
        </w:rPr>
        <w:t>n the template.</w:t>
      </w:r>
    </w:p>
    <w:p w14:paraId="7EA4B333" w14:textId="4C0A564C" w:rsidR="009A42B6" w:rsidRPr="00F54901" w:rsidRDefault="009A42B6" w:rsidP="00B07484">
      <w:pPr>
        <w:jc w:val="both"/>
        <w:rPr>
          <w:rFonts w:asciiTheme="minorHAnsi" w:hAnsiTheme="minorHAnsi"/>
        </w:rPr>
      </w:pPr>
      <w:r w:rsidRPr="00F54901">
        <w:rPr>
          <w:rFonts w:asciiTheme="minorHAnsi" w:hAnsiTheme="minorHAnsi"/>
        </w:rPr>
        <w:t xml:space="preserve">Where </w:t>
      </w:r>
      <w:r w:rsidRPr="00F00796">
        <w:rPr>
          <w:rFonts w:asciiTheme="minorHAnsi" w:hAnsiTheme="minorHAnsi"/>
        </w:rPr>
        <w:t>significant revision</w:t>
      </w:r>
      <w:r w:rsidR="00061FA4">
        <w:rPr>
          <w:rFonts w:asciiTheme="minorHAnsi" w:hAnsiTheme="minorHAnsi"/>
        </w:rPr>
        <w:t>s</w:t>
      </w:r>
      <w:r w:rsidRPr="00F54901">
        <w:rPr>
          <w:rFonts w:asciiTheme="minorHAnsi" w:hAnsiTheme="minorHAnsi"/>
        </w:rPr>
        <w:t xml:space="preserve"> </w:t>
      </w:r>
      <w:r w:rsidR="00061FA4">
        <w:rPr>
          <w:rFonts w:asciiTheme="minorHAnsi" w:hAnsiTheme="minorHAnsi"/>
        </w:rPr>
        <w:t>are</w:t>
      </w:r>
      <w:r w:rsidRPr="00F54901">
        <w:rPr>
          <w:rFonts w:asciiTheme="minorHAnsi" w:hAnsiTheme="minorHAnsi"/>
        </w:rPr>
        <w:t xml:space="preserve"> necessary, </w:t>
      </w:r>
      <w:r w:rsidR="00DE6DA5">
        <w:rPr>
          <w:rFonts w:asciiTheme="minorHAnsi" w:hAnsiTheme="minorHAnsi"/>
        </w:rPr>
        <w:t>resubmissions will be</w:t>
      </w:r>
      <w:r w:rsidR="00061FA4">
        <w:rPr>
          <w:rFonts w:asciiTheme="minorHAnsi" w:hAnsiTheme="minorHAnsi"/>
        </w:rPr>
        <w:t xml:space="preserve"> requested</w:t>
      </w:r>
      <w:r w:rsidRPr="0000408E">
        <w:rPr>
          <w:rFonts w:asciiTheme="minorHAnsi" w:hAnsiTheme="minorHAnsi"/>
        </w:rPr>
        <w:t>.</w:t>
      </w:r>
      <w:r w:rsidRPr="00F54901">
        <w:rPr>
          <w:rFonts w:asciiTheme="minorHAnsi" w:hAnsiTheme="minorHAnsi"/>
        </w:rPr>
        <w:t xml:space="preserve"> Entities should therefore maintain internal controls and documentation that allow prompt correction and </w:t>
      </w:r>
      <w:r w:rsidRPr="00F00796">
        <w:rPr>
          <w:rFonts w:asciiTheme="minorHAnsi" w:hAnsiTheme="minorHAnsi"/>
        </w:rPr>
        <w:t>traceable resubmission</w:t>
      </w:r>
      <w:r w:rsidRPr="00F54901">
        <w:rPr>
          <w:rFonts w:asciiTheme="minorHAnsi" w:hAnsiTheme="minorHAnsi"/>
        </w:rPr>
        <w:t xml:space="preserve"> when requested.</w:t>
      </w:r>
    </w:p>
    <w:p w14:paraId="45D85DC4" w14:textId="20068062" w:rsidR="00DF603E" w:rsidRPr="00DF603E" w:rsidRDefault="00DF603E" w:rsidP="00F54901">
      <w:pPr>
        <w:pStyle w:val="Heading3"/>
        <w:rPr>
          <w:lang w:val="en-IE"/>
        </w:rPr>
      </w:pPr>
      <w:bookmarkStart w:id="34" w:name="_Toc222403879"/>
      <w:bookmarkStart w:id="35" w:name="_Toc223018881"/>
      <w:bookmarkStart w:id="36" w:name="_Toc223021679"/>
      <w:bookmarkStart w:id="37" w:name="_Toc223086527"/>
      <w:bookmarkStart w:id="38" w:name="_Toc223086621"/>
      <w:bookmarkStart w:id="39" w:name="_Toc223086715"/>
      <w:bookmarkStart w:id="40" w:name="_Toc223086809"/>
      <w:bookmarkStart w:id="41" w:name="_Toc223018882"/>
      <w:bookmarkStart w:id="42" w:name="_Toc223021680"/>
      <w:bookmarkStart w:id="43" w:name="_Toc223086528"/>
      <w:bookmarkStart w:id="44" w:name="_Toc223086622"/>
      <w:bookmarkStart w:id="45" w:name="_Toc223086716"/>
      <w:bookmarkStart w:id="46" w:name="_Toc223086810"/>
      <w:bookmarkStart w:id="47" w:name="_Toc223104822"/>
      <w:bookmarkEnd w:id="34"/>
      <w:bookmarkEnd w:id="35"/>
      <w:bookmarkEnd w:id="36"/>
      <w:bookmarkEnd w:id="37"/>
      <w:bookmarkEnd w:id="38"/>
      <w:bookmarkEnd w:id="39"/>
      <w:bookmarkEnd w:id="40"/>
      <w:bookmarkEnd w:id="41"/>
      <w:bookmarkEnd w:id="42"/>
      <w:bookmarkEnd w:id="43"/>
      <w:bookmarkEnd w:id="44"/>
      <w:bookmarkEnd w:id="45"/>
      <w:bookmarkEnd w:id="46"/>
      <w:r w:rsidRPr="00DF603E">
        <w:rPr>
          <w:lang w:val="en-IE"/>
        </w:rPr>
        <w:t>Objectives and use of the testing &amp; calibration phase</w:t>
      </w:r>
      <w:bookmarkEnd w:id="47"/>
    </w:p>
    <w:p w14:paraId="189201E5" w14:textId="048B6099" w:rsidR="00DF603E" w:rsidRPr="00DF603E" w:rsidRDefault="00DF603E" w:rsidP="00752B3C">
      <w:pPr>
        <w:contextualSpacing/>
        <w:jc w:val="both"/>
        <w:rPr>
          <w:rFonts w:asciiTheme="minorHAnsi" w:hAnsiTheme="minorHAnsi"/>
          <w:lang w:val="en-IE"/>
        </w:rPr>
      </w:pPr>
      <w:r w:rsidRPr="00DF603E">
        <w:rPr>
          <w:rFonts w:asciiTheme="minorHAnsi" w:hAnsiTheme="minorHAnsi"/>
          <w:lang w:val="en-IE"/>
        </w:rPr>
        <w:t xml:space="preserve">The testing exercise is designed to improve the framework, methodological and technical calibration and improving the reporting package, not to evaluate specific entities. More </w:t>
      </w:r>
      <w:r w:rsidR="00292A77">
        <w:rPr>
          <w:rFonts w:asciiTheme="minorHAnsi" w:hAnsiTheme="minorHAnsi"/>
          <w:lang w:val="en-IE"/>
        </w:rPr>
        <w:t>specifically, this exercise aims at:</w:t>
      </w:r>
    </w:p>
    <w:p w14:paraId="05EBC217" w14:textId="3D8A00E5" w:rsidR="0088022A" w:rsidRPr="00F54901" w:rsidRDefault="0088022A" w:rsidP="00DA661F">
      <w:pPr>
        <w:pStyle w:val="ListNumber1noindent"/>
        <w:numPr>
          <w:ilvl w:val="0"/>
          <w:numId w:val="142"/>
        </w:numPr>
        <w:spacing w:after="160"/>
        <w:jc w:val="both"/>
        <w:rPr>
          <w:rFonts w:asciiTheme="minorHAnsi" w:hAnsiTheme="minorHAnsi"/>
          <w:lang w:val="en-IE"/>
        </w:rPr>
      </w:pPr>
      <w:r>
        <w:rPr>
          <w:rFonts w:asciiTheme="minorHAnsi" w:hAnsiTheme="minorHAnsi"/>
          <w:lang w:val="en-IE"/>
        </w:rPr>
        <w:t xml:space="preserve">Calibrating the non-public aspects of the risk-assessment and selection methodologies under </w:t>
      </w:r>
      <w:r w:rsidR="00CC65CC">
        <w:rPr>
          <w:rFonts w:asciiTheme="minorHAnsi" w:hAnsiTheme="minorHAnsi"/>
          <w:lang w:val="en-IE"/>
        </w:rPr>
        <w:t>Article</w:t>
      </w:r>
      <w:r>
        <w:rPr>
          <w:rFonts w:asciiTheme="minorHAnsi" w:hAnsiTheme="minorHAnsi"/>
          <w:lang w:val="en-IE"/>
        </w:rPr>
        <w:t xml:space="preserve"> 12(7) AMLAR and </w:t>
      </w:r>
      <w:r w:rsidR="00CC65CC">
        <w:rPr>
          <w:rFonts w:asciiTheme="minorHAnsi" w:hAnsiTheme="minorHAnsi"/>
          <w:lang w:val="en-IE"/>
        </w:rPr>
        <w:t>Article</w:t>
      </w:r>
      <w:r>
        <w:rPr>
          <w:rFonts w:asciiTheme="minorHAnsi" w:hAnsiTheme="minorHAnsi"/>
          <w:lang w:val="en-IE"/>
        </w:rPr>
        <w:t xml:space="preserve"> 40(2) AMLD</w:t>
      </w:r>
      <w:r w:rsidR="00887391">
        <w:rPr>
          <w:rFonts w:asciiTheme="minorHAnsi" w:hAnsiTheme="minorHAnsi"/>
          <w:lang w:val="en-IE"/>
        </w:rPr>
        <w:t xml:space="preserve"> VI</w:t>
      </w:r>
      <w:r w:rsidR="001C364E">
        <w:rPr>
          <w:rFonts w:asciiTheme="minorHAnsi" w:hAnsiTheme="minorHAnsi"/>
          <w:lang w:val="en-IE"/>
        </w:rPr>
        <w:t>;</w:t>
      </w:r>
    </w:p>
    <w:p w14:paraId="7E76CB12" w14:textId="1B9520C5" w:rsidR="00C02B96" w:rsidRPr="00F54901" w:rsidRDefault="0088022A" w:rsidP="00DA661F">
      <w:pPr>
        <w:pStyle w:val="ListNumber1noindent"/>
        <w:numPr>
          <w:ilvl w:val="0"/>
          <w:numId w:val="142"/>
        </w:numPr>
        <w:spacing w:after="160"/>
        <w:jc w:val="both"/>
        <w:rPr>
          <w:rFonts w:asciiTheme="minorHAnsi" w:hAnsiTheme="minorHAnsi"/>
          <w:lang w:val="en-IE"/>
        </w:rPr>
      </w:pPr>
      <w:r>
        <w:rPr>
          <w:rFonts w:asciiTheme="minorHAnsi" w:hAnsiTheme="minorHAnsi"/>
          <w:lang w:val="en-IE"/>
        </w:rPr>
        <w:t>m</w:t>
      </w:r>
      <w:r w:rsidR="00144892">
        <w:rPr>
          <w:rFonts w:asciiTheme="minorHAnsi" w:hAnsiTheme="minorHAnsi"/>
          <w:lang w:val="en-IE"/>
        </w:rPr>
        <w:t xml:space="preserve">apping </w:t>
      </w:r>
      <w:r w:rsidR="00C02B96" w:rsidRPr="00F54901">
        <w:rPr>
          <w:rFonts w:asciiTheme="minorHAnsi" w:hAnsiTheme="minorHAnsi"/>
          <w:lang w:val="en-IE"/>
        </w:rPr>
        <w:t>data</w:t>
      </w:r>
      <w:r w:rsidR="47E7721C" w:rsidRPr="48358F12">
        <w:rPr>
          <w:rFonts w:asciiTheme="minorHAnsi" w:hAnsiTheme="minorHAnsi"/>
          <w:lang w:val="en-IE"/>
        </w:rPr>
        <w:t xml:space="preserve"> </w:t>
      </w:r>
      <w:r w:rsidR="00C02B96" w:rsidRPr="00F54901">
        <w:rPr>
          <w:rFonts w:asciiTheme="minorHAnsi" w:hAnsiTheme="minorHAnsi"/>
          <w:lang w:val="en-IE"/>
        </w:rPr>
        <w:t>availability and interpretational issues;</w:t>
      </w:r>
    </w:p>
    <w:p w14:paraId="4CA272BB" w14:textId="607F0BF7" w:rsidR="00DF603E" w:rsidRPr="00F54901" w:rsidRDefault="00FB1E7D" w:rsidP="00DA661F">
      <w:pPr>
        <w:pStyle w:val="ListNumber1noindent"/>
        <w:numPr>
          <w:ilvl w:val="0"/>
          <w:numId w:val="142"/>
        </w:numPr>
        <w:spacing w:after="160"/>
        <w:jc w:val="both"/>
        <w:rPr>
          <w:rFonts w:asciiTheme="minorHAnsi" w:hAnsiTheme="minorHAnsi"/>
          <w:lang w:val="en-IE"/>
        </w:rPr>
      </w:pPr>
      <w:r>
        <w:rPr>
          <w:rFonts w:asciiTheme="minorHAnsi" w:hAnsiTheme="minorHAnsi"/>
          <w:lang w:val="en-IE"/>
        </w:rPr>
        <w:t>r</w:t>
      </w:r>
      <w:r w:rsidR="00DF603E" w:rsidRPr="00F54901">
        <w:rPr>
          <w:rFonts w:asciiTheme="minorHAnsi" w:hAnsiTheme="minorHAnsi"/>
          <w:lang w:val="en-IE"/>
        </w:rPr>
        <w:t>efin</w:t>
      </w:r>
      <w:r w:rsidR="00117E21">
        <w:rPr>
          <w:rFonts w:asciiTheme="minorHAnsi" w:hAnsiTheme="minorHAnsi"/>
          <w:lang w:val="en-IE"/>
        </w:rPr>
        <w:t>ing</w:t>
      </w:r>
      <w:r w:rsidR="00DF603E" w:rsidRPr="00F54901">
        <w:rPr>
          <w:rFonts w:asciiTheme="minorHAnsi" w:hAnsiTheme="minorHAnsi"/>
          <w:lang w:val="en-IE"/>
        </w:rPr>
        <w:t xml:space="preserve"> </w:t>
      </w:r>
      <w:r w:rsidR="00542F23">
        <w:rPr>
          <w:rFonts w:asciiTheme="minorHAnsi" w:hAnsiTheme="minorHAnsi"/>
          <w:lang w:val="en-IE"/>
        </w:rPr>
        <w:t>reporting guidances</w:t>
      </w:r>
      <w:r w:rsidR="00FC258D" w:rsidRPr="00F54901">
        <w:rPr>
          <w:rFonts w:asciiTheme="minorHAnsi" w:hAnsiTheme="minorHAnsi"/>
          <w:lang w:val="en-IE"/>
        </w:rPr>
        <w:t xml:space="preserve"> </w:t>
      </w:r>
      <w:r w:rsidR="00DF603E" w:rsidRPr="00F54901">
        <w:rPr>
          <w:rFonts w:asciiTheme="minorHAnsi" w:hAnsiTheme="minorHAnsi"/>
          <w:lang w:val="en-IE"/>
        </w:rPr>
        <w:t>and instructions;</w:t>
      </w:r>
    </w:p>
    <w:p w14:paraId="2FF8B7F1" w14:textId="6B4B1475" w:rsidR="00DF603E" w:rsidRPr="00F54901" w:rsidRDefault="00FB1E7D" w:rsidP="00DA661F">
      <w:pPr>
        <w:pStyle w:val="ListNumber1noindent"/>
        <w:numPr>
          <w:ilvl w:val="0"/>
          <w:numId w:val="142"/>
        </w:numPr>
        <w:spacing w:after="160"/>
        <w:jc w:val="both"/>
        <w:rPr>
          <w:rFonts w:asciiTheme="minorHAnsi" w:hAnsiTheme="minorHAnsi"/>
          <w:lang w:val="en-IE"/>
        </w:rPr>
      </w:pPr>
      <w:r>
        <w:rPr>
          <w:rFonts w:asciiTheme="minorHAnsi" w:hAnsiTheme="minorHAnsi"/>
          <w:lang w:val="en-IE"/>
        </w:rPr>
        <w:t>t</w:t>
      </w:r>
      <w:r w:rsidR="00DF603E" w:rsidRPr="00F54901">
        <w:rPr>
          <w:rFonts w:asciiTheme="minorHAnsi" w:hAnsiTheme="minorHAnsi"/>
          <w:lang w:val="en-IE"/>
        </w:rPr>
        <w:t>est</w:t>
      </w:r>
      <w:r w:rsidR="002D7419">
        <w:rPr>
          <w:rFonts w:asciiTheme="minorHAnsi" w:hAnsiTheme="minorHAnsi"/>
          <w:lang w:val="en-IE"/>
        </w:rPr>
        <w:t>ing</w:t>
      </w:r>
      <w:r w:rsidR="00DF603E" w:rsidRPr="00F54901">
        <w:rPr>
          <w:rFonts w:asciiTheme="minorHAnsi" w:hAnsiTheme="minorHAnsi"/>
          <w:lang w:val="en-IE"/>
        </w:rPr>
        <w:t xml:space="preserve"> reporting capacity and data quality under realistic conditions;</w:t>
      </w:r>
    </w:p>
    <w:p w14:paraId="73B5675F" w14:textId="72511A3E" w:rsidR="00DF603E" w:rsidRPr="00F54901" w:rsidRDefault="00FB1E7D" w:rsidP="00DA661F">
      <w:pPr>
        <w:pStyle w:val="ListNumber1noindent"/>
        <w:numPr>
          <w:ilvl w:val="0"/>
          <w:numId w:val="142"/>
        </w:numPr>
        <w:spacing w:after="160"/>
        <w:jc w:val="both"/>
        <w:rPr>
          <w:rFonts w:asciiTheme="minorHAnsi" w:hAnsiTheme="minorHAnsi"/>
          <w:lang w:val="en-IE"/>
        </w:rPr>
      </w:pPr>
      <w:r>
        <w:rPr>
          <w:rFonts w:asciiTheme="minorHAnsi" w:hAnsiTheme="minorHAnsi"/>
          <w:lang w:val="en-IE"/>
        </w:rPr>
        <w:t>i</w:t>
      </w:r>
      <w:r w:rsidR="00DF603E" w:rsidRPr="00F54901">
        <w:rPr>
          <w:rFonts w:asciiTheme="minorHAnsi" w:hAnsiTheme="minorHAnsi"/>
          <w:lang w:val="en-IE"/>
        </w:rPr>
        <w:t>mprov</w:t>
      </w:r>
      <w:r w:rsidR="00FF6E99">
        <w:rPr>
          <w:rFonts w:asciiTheme="minorHAnsi" w:hAnsiTheme="minorHAnsi"/>
          <w:lang w:val="en-IE"/>
        </w:rPr>
        <w:t>ing</w:t>
      </w:r>
      <w:r w:rsidR="00DF603E" w:rsidRPr="00F54901">
        <w:rPr>
          <w:rFonts w:asciiTheme="minorHAnsi" w:hAnsiTheme="minorHAnsi"/>
          <w:lang w:val="en-IE"/>
        </w:rPr>
        <w:t xml:space="preserve"> validation rules, metadata and submission formats for the 2027</w:t>
      </w:r>
      <w:r w:rsidR="00DF603E">
        <w:rPr>
          <w:rFonts w:asciiTheme="minorHAnsi" w:hAnsiTheme="minorHAnsi"/>
          <w:lang w:val="en-IE"/>
        </w:rPr>
        <w:t xml:space="preserve"> </w:t>
      </w:r>
      <w:r w:rsidR="00A47E42">
        <w:rPr>
          <w:rFonts w:asciiTheme="minorHAnsi" w:hAnsiTheme="minorHAnsi"/>
          <w:lang w:val="en-IE"/>
        </w:rPr>
        <w:t>selection</w:t>
      </w:r>
      <w:r w:rsidR="00C578D1">
        <w:rPr>
          <w:rFonts w:asciiTheme="minorHAnsi" w:hAnsiTheme="minorHAnsi"/>
          <w:lang w:val="en-IE"/>
        </w:rPr>
        <w:t xml:space="preserve"> cycle </w:t>
      </w:r>
      <w:r w:rsidR="001610FF">
        <w:rPr>
          <w:rFonts w:asciiTheme="minorHAnsi" w:hAnsiTheme="minorHAnsi"/>
          <w:lang w:val="en-IE"/>
        </w:rPr>
        <w:t>for direct supervision by AMLA,</w:t>
      </w:r>
      <w:r w:rsidR="00A47E42">
        <w:rPr>
          <w:rFonts w:asciiTheme="minorHAnsi" w:hAnsiTheme="minorHAnsi"/>
          <w:lang w:val="en-IE"/>
        </w:rPr>
        <w:t xml:space="preserve"> and </w:t>
      </w:r>
      <w:r w:rsidR="001610FF">
        <w:rPr>
          <w:rFonts w:asciiTheme="minorHAnsi" w:hAnsiTheme="minorHAnsi"/>
          <w:lang w:val="en-IE"/>
        </w:rPr>
        <w:t xml:space="preserve">the </w:t>
      </w:r>
      <w:r w:rsidR="00A47E42">
        <w:rPr>
          <w:rFonts w:asciiTheme="minorHAnsi" w:hAnsiTheme="minorHAnsi"/>
          <w:lang w:val="en-IE"/>
        </w:rPr>
        <w:t>2028</w:t>
      </w:r>
      <w:r w:rsidR="00DF603E" w:rsidRPr="00F54901">
        <w:rPr>
          <w:rFonts w:asciiTheme="minorHAnsi" w:hAnsiTheme="minorHAnsi"/>
          <w:lang w:val="en-IE"/>
        </w:rPr>
        <w:t xml:space="preserve"> </w:t>
      </w:r>
      <w:r w:rsidR="001610FF">
        <w:rPr>
          <w:rFonts w:asciiTheme="minorHAnsi" w:hAnsiTheme="minorHAnsi"/>
          <w:lang w:val="en-IE"/>
        </w:rPr>
        <w:t xml:space="preserve">national </w:t>
      </w:r>
      <w:r w:rsidR="00A47E42">
        <w:rPr>
          <w:rFonts w:asciiTheme="minorHAnsi" w:hAnsiTheme="minorHAnsi"/>
          <w:lang w:val="en-IE"/>
        </w:rPr>
        <w:t>risk assessment</w:t>
      </w:r>
      <w:r w:rsidR="001610FF">
        <w:rPr>
          <w:rFonts w:asciiTheme="minorHAnsi" w:hAnsiTheme="minorHAnsi"/>
          <w:lang w:val="en-IE"/>
        </w:rPr>
        <w:t>s</w:t>
      </w:r>
      <w:r w:rsidR="00A47E42">
        <w:rPr>
          <w:rFonts w:asciiTheme="minorHAnsi" w:hAnsiTheme="minorHAnsi"/>
          <w:lang w:val="en-IE"/>
        </w:rPr>
        <w:t xml:space="preserve"> </w:t>
      </w:r>
      <w:r w:rsidR="00DF603E" w:rsidRPr="00F54901">
        <w:rPr>
          <w:rFonts w:asciiTheme="minorHAnsi" w:hAnsiTheme="minorHAnsi"/>
          <w:lang w:val="en-IE"/>
        </w:rPr>
        <w:t>cycle</w:t>
      </w:r>
      <w:r w:rsidR="001C364E">
        <w:rPr>
          <w:rFonts w:asciiTheme="minorHAnsi" w:hAnsiTheme="minorHAnsi"/>
          <w:lang w:val="en-IE"/>
        </w:rPr>
        <w:t>.</w:t>
      </w:r>
    </w:p>
    <w:p w14:paraId="114BAB04" w14:textId="5545DFEB" w:rsidR="00DF603E" w:rsidRPr="00DF603E" w:rsidRDefault="00DF603E" w:rsidP="00834B6C">
      <w:pPr>
        <w:contextualSpacing/>
        <w:jc w:val="both"/>
        <w:rPr>
          <w:rFonts w:asciiTheme="minorHAnsi" w:hAnsiTheme="minorHAnsi"/>
          <w:lang w:val="en-IE"/>
        </w:rPr>
      </w:pPr>
      <w:r w:rsidRPr="00DF603E">
        <w:rPr>
          <w:rFonts w:asciiTheme="minorHAnsi" w:hAnsiTheme="minorHAnsi"/>
          <w:lang w:val="en-IE"/>
        </w:rPr>
        <w:t xml:space="preserve">During the testing and calibration phase, AMLA encourages </w:t>
      </w:r>
      <w:r w:rsidR="007621CC">
        <w:rPr>
          <w:rFonts w:asciiTheme="minorHAnsi" w:hAnsiTheme="minorHAnsi"/>
          <w:lang w:val="en-IE"/>
        </w:rPr>
        <w:t xml:space="preserve">reporting </w:t>
      </w:r>
      <w:r w:rsidRPr="00DF603E">
        <w:rPr>
          <w:rFonts w:asciiTheme="minorHAnsi" w:hAnsiTheme="minorHAnsi"/>
          <w:lang w:val="en-IE"/>
        </w:rPr>
        <w:t>obliged entities to provide feedback on:</w:t>
      </w:r>
    </w:p>
    <w:p w14:paraId="1EEC638A" w14:textId="77777777" w:rsidR="00DF603E" w:rsidRPr="00F54901" w:rsidRDefault="00DF603E" w:rsidP="00834B6C">
      <w:pPr>
        <w:pStyle w:val="ListNumber1noindent"/>
        <w:numPr>
          <w:ilvl w:val="0"/>
          <w:numId w:val="98"/>
        </w:numPr>
        <w:spacing w:after="160"/>
        <w:jc w:val="both"/>
        <w:rPr>
          <w:rFonts w:asciiTheme="minorHAnsi" w:hAnsiTheme="minorHAnsi"/>
          <w:lang w:val="en-IE"/>
        </w:rPr>
      </w:pPr>
      <w:r w:rsidRPr="00F54901">
        <w:rPr>
          <w:rFonts w:asciiTheme="minorHAnsi" w:hAnsiTheme="minorHAnsi"/>
          <w:lang w:val="en-IE"/>
        </w:rPr>
        <w:t>the clarity and usability of datapoint instructions,</w:t>
      </w:r>
    </w:p>
    <w:p w14:paraId="6DB3699D" w14:textId="77777777" w:rsidR="00DF603E" w:rsidRPr="00F54901" w:rsidRDefault="00DF603E" w:rsidP="00834B6C">
      <w:pPr>
        <w:pStyle w:val="ListNumber1noindent"/>
        <w:numPr>
          <w:ilvl w:val="0"/>
          <w:numId w:val="98"/>
        </w:numPr>
        <w:spacing w:after="160"/>
        <w:jc w:val="both"/>
        <w:rPr>
          <w:rFonts w:asciiTheme="minorHAnsi" w:hAnsiTheme="minorHAnsi"/>
          <w:lang w:val="en-IE"/>
        </w:rPr>
      </w:pPr>
      <w:r w:rsidRPr="00F54901">
        <w:rPr>
          <w:rFonts w:asciiTheme="minorHAnsi" w:hAnsiTheme="minorHAnsi"/>
          <w:lang w:val="en-IE"/>
        </w:rPr>
        <w:t>potential data quality issues,</w:t>
      </w:r>
    </w:p>
    <w:p w14:paraId="16E7ACFD" w14:textId="77777777" w:rsidR="00DF603E" w:rsidRPr="00F54901" w:rsidRDefault="00DF603E" w:rsidP="00834B6C">
      <w:pPr>
        <w:pStyle w:val="ListNumber1noindent"/>
        <w:numPr>
          <w:ilvl w:val="0"/>
          <w:numId w:val="98"/>
        </w:numPr>
        <w:spacing w:after="160"/>
        <w:jc w:val="both"/>
        <w:rPr>
          <w:rFonts w:asciiTheme="minorHAnsi" w:hAnsiTheme="minorHAnsi"/>
          <w:lang w:val="en-IE"/>
        </w:rPr>
      </w:pPr>
      <w:r w:rsidRPr="00F54901">
        <w:rPr>
          <w:rFonts w:asciiTheme="minorHAnsi" w:hAnsiTheme="minorHAnsi"/>
          <w:lang w:val="en-IE"/>
        </w:rPr>
        <w:t>technical aspects of template use or processing,</w:t>
      </w:r>
    </w:p>
    <w:p w14:paraId="50E4309D" w14:textId="77777777" w:rsidR="00DF603E" w:rsidRPr="00F54901" w:rsidRDefault="00DF603E" w:rsidP="00834B6C">
      <w:pPr>
        <w:pStyle w:val="ListNumber1noindent"/>
        <w:numPr>
          <w:ilvl w:val="0"/>
          <w:numId w:val="98"/>
        </w:numPr>
        <w:spacing w:after="160"/>
        <w:jc w:val="both"/>
        <w:rPr>
          <w:rFonts w:asciiTheme="minorHAnsi" w:hAnsiTheme="minorHAnsi"/>
          <w:lang w:val="en-IE"/>
        </w:rPr>
      </w:pPr>
      <w:r w:rsidRPr="00F54901">
        <w:rPr>
          <w:rFonts w:asciiTheme="minorHAnsi" w:hAnsiTheme="minorHAnsi"/>
          <w:lang w:val="en-IE"/>
        </w:rPr>
        <w:t>elements requiring further clarification, and</w:t>
      </w:r>
    </w:p>
    <w:p w14:paraId="5D29D48B" w14:textId="737B69C3" w:rsidR="00DF603E" w:rsidRPr="00F54901" w:rsidRDefault="00DF603E" w:rsidP="00834B6C">
      <w:pPr>
        <w:pStyle w:val="ListNumber1noindent"/>
        <w:numPr>
          <w:ilvl w:val="0"/>
          <w:numId w:val="98"/>
        </w:numPr>
        <w:spacing w:after="160"/>
        <w:jc w:val="both"/>
        <w:rPr>
          <w:rFonts w:asciiTheme="minorHAnsi" w:hAnsiTheme="minorHAnsi"/>
          <w:lang w:val="en-IE"/>
        </w:rPr>
      </w:pPr>
      <w:r w:rsidRPr="00F54901">
        <w:rPr>
          <w:rFonts w:asciiTheme="minorHAnsi" w:hAnsiTheme="minorHAnsi"/>
          <w:lang w:val="en-IE"/>
        </w:rPr>
        <w:t>suggestions for improving the final 2027 reporting package.</w:t>
      </w:r>
    </w:p>
    <w:p w14:paraId="28CBCCB6" w14:textId="6C3A89C7" w:rsidR="00DF603E" w:rsidRPr="00DF603E" w:rsidRDefault="00DF603E" w:rsidP="00834B6C">
      <w:pPr>
        <w:contextualSpacing/>
        <w:jc w:val="both"/>
        <w:rPr>
          <w:rFonts w:asciiTheme="minorHAnsi" w:hAnsiTheme="minorHAnsi"/>
          <w:lang w:val="en-IE"/>
        </w:rPr>
      </w:pPr>
      <w:r w:rsidRPr="00DF603E">
        <w:rPr>
          <w:rFonts w:asciiTheme="minorHAnsi" w:hAnsiTheme="minorHAnsi"/>
          <w:lang w:val="en-IE"/>
        </w:rPr>
        <w:t xml:space="preserve">Feedback will be used to refine the reporting framework and support the development of the final </w:t>
      </w:r>
      <w:r>
        <w:rPr>
          <w:rFonts w:asciiTheme="minorHAnsi" w:hAnsiTheme="minorHAnsi"/>
          <w:lang w:val="en-IE"/>
        </w:rPr>
        <w:t>R</w:t>
      </w:r>
      <w:r w:rsidRPr="00DF603E">
        <w:rPr>
          <w:rFonts w:asciiTheme="minorHAnsi" w:hAnsiTheme="minorHAnsi"/>
          <w:lang w:val="en-IE"/>
        </w:rPr>
        <w:t>TS implementation tools</w:t>
      </w:r>
      <w:r w:rsidR="002F4DB3">
        <w:rPr>
          <w:rFonts w:asciiTheme="minorHAnsi" w:hAnsiTheme="minorHAnsi"/>
          <w:lang w:val="en-IE"/>
        </w:rPr>
        <w:t>.</w:t>
      </w:r>
    </w:p>
    <w:p w14:paraId="5CC4CE3E" w14:textId="79855688" w:rsidR="00605291" w:rsidRPr="00605291" w:rsidRDefault="002A49AE" w:rsidP="007558CE">
      <w:pPr>
        <w:pStyle w:val="Heading3"/>
        <w:rPr>
          <w:lang w:val="en-IE"/>
        </w:rPr>
      </w:pPr>
      <w:bookmarkStart w:id="48" w:name="_Toc222403881"/>
      <w:bookmarkStart w:id="49" w:name="_Toc223018884"/>
      <w:bookmarkStart w:id="50" w:name="_Toc223021682"/>
      <w:bookmarkStart w:id="51" w:name="_Toc223104763"/>
      <w:bookmarkStart w:id="52" w:name="_Toc223104823"/>
      <w:bookmarkStart w:id="53" w:name="_Toc223104764"/>
      <w:bookmarkStart w:id="54" w:name="_Toc223104824"/>
      <w:bookmarkStart w:id="55" w:name="_Toc223104765"/>
      <w:bookmarkStart w:id="56" w:name="_Toc223104825"/>
      <w:bookmarkStart w:id="57" w:name="_Toc223104766"/>
      <w:bookmarkStart w:id="58" w:name="_Toc223104826"/>
      <w:bookmarkStart w:id="59" w:name="_Toc223086530"/>
      <w:bookmarkStart w:id="60" w:name="_Toc223086624"/>
      <w:bookmarkStart w:id="61" w:name="_Toc223086718"/>
      <w:bookmarkStart w:id="62" w:name="_Toc223086812"/>
      <w:bookmarkStart w:id="63" w:name="_Toc222403882"/>
      <w:bookmarkStart w:id="64" w:name="_Toc22310482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7558CE">
        <w:rPr>
          <w:lang w:val="en-IE"/>
        </w:rPr>
        <w:t>Abbreviations</w:t>
      </w:r>
      <w:bookmarkEnd w:id="64"/>
      <w:r w:rsidRPr="007558CE">
        <w:rPr>
          <w:lang w:val="en-IE"/>
        </w:rPr>
        <w:t xml:space="preserve"> </w:t>
      </w:r>
    </w:p>
    <w:p w14:paraId="4B816BE0" w14:textId="77777777" w:rsidR="008B334B" w:rsidRDefault="002A49AE" w:rsidP="008B334B">
      <w:pPr>
        <w:jc w:val="both"/>
        <w:rPr>
          <w:rFonts w:asciiTheme="minorHAnsi" w:hAnsiTheme="minorHAnsi"/>
          <w:lang w:val="en-GB"/>
        </w:rPr>
      </w:pPr>
      <w:r w:rsidRPr="00016335">
        <w:rPr>
          <w:rFonts w:asciiTheme="minorHAnsi" w:hAnsiTheme="minorHAnsi"/>
          <w:b/>
          <w:bCs/>
          <w:lang w:val="en-GB"/>
        </w:rPr>
        <w:t xml:space="preserve">CI: </w:t>
      </w:r>
      <w:r w:rsidRPr="00016335">
        <w:rPr>
          <w:rFonts w:asciiTheme="minorHAnsi" w:hAnsiTheme="minorHAnsi"/>
          <w:lang w:val="en-GB"/>
        </w:rPr>
        <w:t>credit institutions</w:t>
      </w:r>
    </w:p>
    <w:p w14:paraId="481F3704" w14:textId="225EF77E" w:rsidR="008B334B" w:rsidRDefault="002A49AE" w:rsidP="008B334B">
      <w:pPr>
        <w:jc w:val="both"/>
        <w:rPr>
          <w:rFonts w:asciiTheme="minorHAnsi" w:hAnsiTheme="minorHAnsi"/>
          <w:lang w:val="en-GB"/>
        </w:rPr>
      </w:pPr>
      <w:r w:rsidRPr="00016335">
        <w:rPr>
          <w:rFonts w:asciiTheme="minorHAnsi" w:hAnsiTheme="minorHAnsi"/>
          <w:b/>
          <w:bCs/>
          <w:lang w:val="en-GB"/>
        </w:rPr>
        <w:t xml:space="preserve">CP: </w:t>
      </w:r>
      <w:r w:rsidRPr="00016335">
        <w:rPr>
          <w:rFonts w:asciiTheme="minorHAnsi" w:hAnsiTheme="minorHAnsi"/>
          <w:lang w:val="en-GB"/>
        </w:rPr>
        <w:t>credit providers other than credit institutions</w:t>
      </w:r>
    </w:p>
    <w:p w14:paraId="3732B178" w14:textId="30496096" w:rsidR="008B334B" w:rsidRDefault="002A49AE" w:rsidP="008B334B">
      <w:pPr>
        <w:jc w:val="both"/>
        <w:rPr>
          <w:rFonts w:asciiTheme="minorHAnsi" w:hAnsiTheme="minorHAnsi"/>
          <w:lang w:val="en-GB"/>
        </w:rPr>
      </w:pPr>
      <w:r w:rsidRPr="00016335">
        <w:rPr>
          <w:rFonts w:asciiTheme="minorHAnsi" w:hAnsiTheme="minorHAnsi"/>
          <w:b/>
          <w:bCs/>
          <w:lang w:val="en-GB"/>
        </w:rPr>
        <w:t xml:space="preserve">LI: </w:t>
      </w:r>
      <w:r w:rsidRPr="00016335">
        <w:rPr>
          <w:rFonts w:asciiTheme="minorHAnsi" w:hAnsiTheme="minorHAnsi"/>
          <w:lang w:val="en-GB"/>
        </w:rPr>
        <w:t>life insurance undertaking and life insurance intermediaries</w:t>
      </w:r>
    </w:p>
    <w:p w14:paraId="296D5CFB" w14:textId="0A0B1CBB" w:rsidR="008B334B" w:rsidRPr="00003055" w:rsidRDefault="002A49AE" w:rsidP="008B334B">
      <w:pPr>
        <w:jc w:val="both"/>
        <w:rPr>
          <w:rFonts w:asciiTheme="minorHAnsi" w:hAnsiTheme="minorHAnsi"/>
          <w:lang w:val="fr-BE"/>
        </w:rPr>
      </w:pPr>
      <w:r w:rsidRPr="00003055">
        <w:rPr>
          <w:rFonts w:asciiTheme="minorHAnsi" w:hAnsiTheme="minorHAnsi"/>
          <w:b/>
          <w:lang w:val="fr-BE"/>
        </w:rPr>
        <w:t xml:space="preserve">EMI: </w:t>
      </w:r>
      <w:r w:rsidRPr="00003055">
        <w:rPr>
          <w:rFonts w:asciiTheme="minorHAnsi" w:hAnsiTheme="minorHAnsi"/>
          <w:lang w:val="fr-BE"/>
        </w:rPr>
        <w:t>e-money institutions</w:t>
      </w:r>
    </w:p>
    <w:p w14:paraId="756AEC1B" w14:textId="6759FB49" w:rsidR="008B334B" w:rsidRPr="00003055" w:rsidRDefault="002A49AE" w:rsidP="008B334B">
      <w:pPr>
        <w:jc w:val="both"/>
        <w:rPr>
          <w:rFonts w:asciiTheme="minorHAnsi" w:hAnsiTheme="minorHAnsi"/>
          <w:lang w:val="fr-BE"/>
        </w:rPr>
      </w:pPr>
      <w:r w:rsidRPr="00003055">
        <w:rPr>
          <w:rFonts w:asciiTheme="minorHAnsi" w:hAnsiTheme="minorHAnsi"/>
          <w:b/>
          <w:lang w:val="fr-BE"/>
        </w:rPr>
        <w:t xml:space="preserve">PI: </w:t>
      </w:r>
      <w:r w:rsidRPr="00003055">
        <w:rPr>
          <w:rFonts w:asciiTheme="minorHAnsi" w:hAnsiTheme="minorHAnsi"/>
          <w:lang w:val="fr-BE"/>
        </w:rPr>
        <w:t>payment institutions</w:t>
      </w:r>
    </w:p>
    <w:p w14:paraId="070CF5C8" w14:textId="020A190F" w:rsidR="008B334B" w:rsidRPr="00003055" w:rsidRDefault="002A49AE" w:rsidP="008B334B">
      <w:pPr>
        <w:jc w:val="both"/>
        <w:rPr>
          <w:rFonts w:asciiTheme="minorHAnsi" w:hAnsiTheme="minorHAnsi"/>
          <w:lang w:val="fr-BE"/>
        </w:rPr>
      </w:pPr>
      <w:r w:rsidRPr="00003055">
        <w:rPr>
          <w:rFonts w:asciiTheme="minorHAnsi" w:hAnsiTheme="minorHAnsi"/>
          <w:b/>
          <w:lang w:val="fr-BE"/>
        </w:rPr>
        <w:t xml:space="preserve">BC: </w:t>
      </w:r>
      <w:r w:rsidRPr="00003055">
        <w:rPr>
          <w:rFonts w:asciiTheme="minorHAnsi" w:hAnsiTheme="minorHAnsi"/>
          <w:lang w:val="fr-BE"/>
        </w:rPr>
        <w:t>bureaux de change</w:t>
      </w:r>
    </w:p>
    <w:p w14:paraId="5FE98A41" w14:textId="586FF963" w:rsidR="008B334B" w:rsidRDefault="002A49AE" w:rsidP="008B334B">
      <w:pPr>
        <w:jc w:val="both"/>
        <w:rPr>
          <w:rFonts w:asciiTheme="minorHAnsi" w:hAnsiTheme="minorHAnsi"/>
          <w:lang w:val="en-GB"/>
        </w:rPr>
      </w:pPr>
      <w:r w:rsidRPr="00016335">
        <w:rPr>
          <w:rFonts w:asciiTheme="minorHAnsi" w:hAnsiTheme="minorHAnsi"/>
          <w:b/>
          <w:bCs/>
          <w:lang w:val="en-GB"/>
        </w:rPr>
        <w:t xml:space="preserve">IF: </w:t>
      </w:r>
      <w:r w:rsidRPr="00016335">
        <w:rPr>
          <w:rFonts w:asciiTheme="minorHAnsi" w:hAnsiTheme="minorHAnsi"/>
          <w:lang w:val="en-GB"/>
        </w:rPr>
        <w:t>investment firms</w:t>
      </w:r>
    </w:p>
    <w:p w14:paraId="344D72C9" w14:textId="5ABF39DC" w:rsidR="008B334B" w:rsidRDefault="002A49AE" w:rsidP="008B334B">
      <w:pPr>
        <w:jc w:val="both"/>
        <w:rPr>
          <w:rFonts w:asciiTheme="minorHAnsi" w:hAnsiTheme="minorHAnsi"/>
          <w:lang w:val="en-GB"/>
        </w:rPr>
      </w:pPr>
      <w:r w:rsidRPr="00016335">
        <w:rPr>
          <w:rFonts w:asciiTheme="minorHAnsi" w:hAnsiTheme="minorHAnsi"/>
          <w:b/>
          <w:bCs/>
          <w:lang w:val="en-GB"/>
        </w:rPr>
        <w:t xml:space="preserve">AMC: </w:t>
      </w:r>
      <w:r w:rsidRPr="00016335">
        <w:rPr>
          <w:rFonts w:asciiTheme="minorHAnsi" w:hAnsiTheme="minorHAnsi"/>
          <w:lang w:val="en-GB"/>
        </w:rPr>
        <w:t>asset management companies, i.e. companies that manage one or more collective investment undertakings (</w:t>
      </w:r>
      <w:r w:rsidR="004D312E" w:rsidRPr="00016335">
        <w:rPr>
          <w:rFonts w:asciiTheme="minorHAnsi" w:hAnsiTheme="minorHAnsi"/>
        </w:rPr>
        <w:t>undertaking for collective investment in transferable securities (</w:t>
      </w:r>
      <w:r w:rsidRPr="00016335">
        <w:rPr>
          <w:rFonts w:asciiTheme="minorHAnsi" w:hAnsiTheme="minorHAnsi"/>
          <w:lang w:val="en-GB"/>
        </w:rPr>
        <w:t>UCITSs</w:t>
      </w:r>
      <w:r w:rsidR="004D312E" w:rsidRPr="00016335">
        <w:rPr>
          <w:rFonts w:asciiTheme="minorHAnsi" w:hAnsiTheme="minorHAnsi"/>
          <w:lang w:val="en-GB"/>
        </w:rPr>
        <w:t>)</w:t>
      </w:r>
      <w:r w:rsidRPr="00016335">
        <w:rPr>
          <w:rFonts w:asciiTheme="minorHAnsi" w:hAnsiTheme="minorHAnsi"/>
          <w:lang w:val="en-GB"/>
        </w:rPr>
        <w:t xml:space="preserve"> or </w:t>
      </w:r>
      <w:r w:rsidR="00B50D07" w:rsidRPr="00016335">
        <w:rPr>
          <w:rFonts w:asciiTheme="minorHAnsi" w:hAnsiTheme="minorHAnsi"/>
        </w:rPr>
        <w:t>Alternative Investment Funds</w:t>
      </w:r>
      <w:r w:rsidR="00162DD2">
        <w:rPr>
          <w:rFonts w:asciiTheme="minorHAnsi" w:hAnsiTheme="minorHAnsi"/>
        </w:rPr>
        <w:t xml:space="preserve"> </w:t>
      </w:r>
      <w:r w:rsidR="00B50D07" w:rsidRPr="00016335">
        <w:rPr>
          <w:rFonts w:asciiTheme="minorHAnsi" w:hAnsiTheme="minorHAnsi"/>
        </w:rPr>
        <w:t>(</w:t>
      </w:r>
      <w:r w:rsidRPr="00016335">
        <w:rPr>
          <w:rFonts w:asciiTheme="minorHAnsi" w:hAnsiTheme="minorHAnsi"/>
          <w:lang w:val="en-GB"/>
        </w:rPr>
        <w:t>AIFs</w:t>
      </w:r>
      <w:r w:rsidR="00B50D07" w:rsidRPr="00016335">
        <w:rPr>
          <w:rFonts w:asciiTheme="minorHAnsi" w:hAnsiTheme="minorHAnsi"/>
          <w:lang w:val="en-GB"/>
        </w:rPr>
        <w:t>)</w:t>
      </w:r>
      <w:r w:rsidRPr="00016335">
        <w:rPr>
          <w:rFonts w:asciiTheme="minorHAnsi" w:hAnsiTheme="minorHAnsi"/>
          <w:lang w:val="en-GB"/>
        </w:rPr>
        <w:t>) within the meaning of the UCITS and AIFM directives. Where an AMC manages several UCITSs or AIFs, the assessment should be based on aggregated data covering all such UCITSs and AIFs. Where an UCITS or AIF has not designated a management company, the assessment should be based on data covering only the relevant UCITS or AIF.</w:t>
      </w:r>
    </w:p>
    <w:p w14:paraId="2052E9E7" w14:textId="751B972B" w:rsidR="008B334B" w:rsidRDefault="002A49AE" w:rsidP="008B334B">
      <w:pPr>
        <w:jc w:val="both"/>
        <w:rPr>
          <w:rFonts w:asciiTheme="minorHAnsi" w:hAnsiTheme="minorHAnsi"/>
          <w:lang w:val="en-GB"/>
        </w:rPr>
      </w:pPr>
      <w:r w:rsidRPr="00016335">
        <w:rPr>
          <w:rFonts w:asciiTheme="minorHAnsi" w:hAnsiTheme="minorHAnsi"/>
          <w:b/>
          <w:bCs/>
          <w:lang w:val="en-GB"/>
        </w:rPr>
        <w:t xml:space="preserve">CASP: </w:t>
      </w:r>
      <w:r w:rsidRPr="00016335">
        <w:rPr>
          <w:rFonts w:asciiTheme="minorHAnsi" w:hAnsiTheme="minorHAnsi"/>
          <w:lang w:val="en-GB"/>
        </w:rPr>
        <w:t>crypto-asset service providers</w:t>
      </w:r>
    </w:p>
    <w:p w14:paraId="0F0C7115" w14:textId="3E833C31" w:rsidR="002A49AE" w:rsidRPr="00003055" w:rsidRDefault="002A49AE" w:rsidP="00003055">
      <w:pPr>
        <w:jc w:val="both"/>
        <w:rPr>
          <w:rFonts w:asciiTheme="minorHAnsi" w:hAnsiTheme="minorHAnsi"/>
          <w:b/>
          <w:lang w:val="en-GB"/>
        </w:rPr>
      </w:pPr>
      <w:r w:rsidRPr="00016335">
        <w:rPr>
          <w:rFonts w:asciiTheme="minorHAnsi" w:hAnsiTheme="minorHAnsi"/>
          <w:b/>
          <w:bCs/>
          <w:lang w:val="en-GB"/>
        </w:rPr>
        <w:t xml:space="preserve">O: </w:t>
      </w:r>
      <w:r w:rsidRPr="00016335">
        <w:rPr>
          <w:rFonts w:asciiTheme="minorHAnsi" w:hAnsiTheme="minorHAnsi"/>
          <w:lang w:val="en-GB"/>
        </w:rPr>
        <w:t>other financial institutions</w:t>
      </w:r>
    </w:p>
    <w:p w14:paraId="07864604" w14:textId="77777777" w:rsidR="00146F57" w:rsidRDefault="00146F57">
      <w:pPr>
        <w:spacing w:before="0" w:after="0" w:line="240" w:lineRule="auto"/>
        <w:rPr>
          <w:rFonts w:asciiTheme="minorHAnsi" w:hAnsiTheme="minorHAnsi"/>
          <w:b/>
          <w:color w:val="132D4E" w:themeColor="text2"/>
          <w:sz w:val="32"/>
          <w:szCs w:val="36"/>
        </w:rPr>
      </w:pPr>
      <w:bookmarkStart w:id="65" w:name="_Toc221355962"/>
      <w:r>
        <w:rPr>
          <w:rFonts w:asciiTheme="minorHAnsi" w:hAnsiTheme="minorHAnsi"/>
        </w:rPr>
        <w:br w:type="page"/>
      </w:r>
    </w:p>
    <w:p w14:paraId="1068A14C" w14:textId="40AB526F" w:rsidR="005A767C" w:rsidRPr="00016335" w:rsidRDefault="005A767C" w:rsidP="002A521B">
      <w:pPr>
        <w:pStyle w:val="Heading2"/>
        <w:numPr>
          <w:ilvl w:val="0"/>
          <w:numId w:val="0"/>
        </w:numPr>
        <w:rPr>
          <w:rFonts w:asciiTheme="minorHAnsi" w:hAnsiTheme="minorHAnsi"/>
        </w:rPr>
      </w:pPr>
      <w:bookmarkStart w:id="66" w:name="_Toc223104828"/>
      <w:r w:rsidRPr="00016335">
        <w:rPr>
          <w:rFonts w:asciiTheme="minorHAnsi" w:hAnsiTheme="minorHAnsi"/>
        </w:rPr>
        <w:t xml:space="preserve">SECTION 0: </w:t>
      </w:r>
      <w:r w:rsidR="000E0F4A" w:rsidRPr="00016335">
        <w:rPr>
          <w:rFonts w:asciiTheme="minorHAnsi" w:hAnsiTheme="minorHAnsi"/>
        </w:rPr>
        <w:t xml:space="preserve">Cover </w:t>
      </w:r>
      <w:r w:rsidR="00930FAE" w:rsidRPr="00016335">
        <w:rPr>
          <w:rFonts w:asciiTheme="minorHAnsi" w:hAnsiTheme="minorHAnsi"/>
        </w:rPr>
        <w:t>Page</w:t>
      </w:r>
      <w:bookmarkEnd w:id="65"/>
      <w:bookmarkEnd w:id="66"/>
    </w:p>
    <w:p w14:paraId="4FA7C6A5" w14:textId="03CA5D03" w:rsidR="007474EC" w:rsidRPr="00016335" w:rsidRDefault="003B7519" w:rsidP="00ED77D4">
      <w:pPr>
        <w:pStyle w:val="Heading2nonumber"/>
        <w:rPr>
          <w:rFonts w:asciiTheme="minorHAnsi" w:hAnsiTheme="minorHAnsi"/>
          <w:lang w:val="en-IE"/>
        </w:rPr>
      </w:pPr>
      <w:bookmarkStart w:id="67" w:name="_Toc221355963"/>
      <w:bookmarkStart w:id="68" w:name="_Toc223104829"/>
      <w:r w:rsidRPr="00016335">
        <w:rPr>
          <w:rFonts w:asciiTheme="minorHAnsi" w:hAnsiTheme="minorHAnsi"/>
          <w:lang w:val="en-GB"/>
        </w:rPr>
        <w:t>AML.</w:t>
      </w:r>
      <w:r w:rsidR="000E0F4A" w:rsidRPr="00016335">
        <w:rPr>
          <w:rFonts w:asciiTheme="minorHAnsi" w:hAnsiTheme="minorHAnsi"/>
          <w:lang w:val="en-GB"/>
        </w:rPr>
        <w:t>01.01 Basic Information</w:t>
      </w:r>
      <w:bookmarkEnd w:id="67"/>
      <w:bookmarkEnd w:id="68"/>
    </w:p>
    <w:p w14:paraId="25E2709B" w14:textId="090609DB" w:rsidR="00DA7B2C" w:rsidRPr="00AD143D" w:rsidRDefault="00DA7B2C" w:rsidP="00AD143D">
      <w:pPr>
        <w:jc w:val="both"/>
        <w:rPr>
          <w:rFonts w:asciiTheme="minorHAnsi" w:hAnsiTheme="minorHAnsi"/>
        </w:rPr>
      </w:pPr>
      <w:r w:rsidRPr="0D1934D0">
        <w:rPr>
          <w:rFonts w:asciiTheme="minorHAnsi" w:hAnsiTheme="minorHAnsi"/>
        </w:rPr>
        <w:t xml:space="preserve">This template captures the basic information of the </w:t>
      </w:r>
      <w:r w:rsidR="00863B13">
        <w:rPr>
          <w:rFonts w:asciiTheme="minorHAnsi" w:hAnsiTheme="minorHAnsi"/>
        </w:rPr>
        <w:t>reporting obliged entity</w:t>
      </w:r>
      <w:r w:rsidR="00555ECA" w:rsidRPr="0D1934D0">
        <w:rPr>
          <w:rFonts w:asciiTheme="minorHAnsi" w:hAnsiTheme="minorHAnsi"/>
        </w:rPr>
        <w:t xml:space="preserve"> </w:t>
      </w:r>
      <w:r w:rsidRPr="0D1934D0">
        <w:rPr>
          <w:rFonts w:asciiTheme="minorHAnsi" w:hAnsiTheme="minorHAnsi"/>
        </w:rPr>
        <w:t>submitti</w:t>
      </w:r>
      <w:r w:rsidR="003343C8" w:rsidRPr="0D1934D0">
        <w:rPr>
          <w:rFonts w:asciiTheme="minorHAnsi" w:hAnsiTheme="minorHAnsi"/>
        </w:rPr>
        <w:t>n</w:t>
      </w:r>
      <w:r w:rsidRPr="0D1934D0">
        <w:rPr>
          <w:rFonts w:asciiTheme="minorHAnsi" w:hAnsiTheme="minorHAnsi"/>
        </w:rPr>
        <w:t>g the report.</w:t>
      </w:r>
    </w:p>
    <w:p w14:paraId="470460A5" w14:textId="498613AF" w:rsidR="000157F0" w:rsidRPr="00AD143D" w:rsidRDefault="000157F0" w:rsidP="00AD143D">
      <w:pPr>
        <w:jc w:val="both"/>
        <w:rPr>
          <w:rFonts w:asciiTheme="minorHAnsi" w:hAnsiTheme="minorHAnsi"/>
          <w:szCs w:val="22"/>
        </w:rPr>
      </w:pPr>
      <w:r w:rsidRPr="00AD143D">
        <w:rPr>
          <w:rFonts w:asciiTheme="minorHAnsi" w:hAnsiTheme="minorHAnsi"/>
          <w:szCs w:val="22"/>
        </w:rPr>
        <w:t xml:space="preserve">Please ensure that you provide your LEI (if available) and/or the National Code used with your financial supervisor. The Country of Establishment must be the same as the country of the </w:t>
      </w:r>
      <w:r w:rsidR="00B73447">
        <w:rPr>
          <w:rFonts w:asciiTheme="minorHAnsi" w:hAnsiTheme="minorHAnsi"/>
          <w:szCs w:val="22"/>
        </w:rPr>
        <w:t xml:space="preserve">national financial </w:t>
      </w:r>
      <w:r w:rsidRPr="00AD143D">
        <w:rPr>
          <w:rFonts w:asciiTheme="minorHAnsi" w:hAnsiTheme="minorHAnsi"/>
          <w:szCs w:val="22"/>
        </w:rPr>
        <w:t>upervisor to whom you are submitting this report.</w:t>
      </w:r>
    </w:p>
    <w:p w14:paraId="517AB2B5" w14:textId="77777777" w:rsidR="00FB577B" w:rsidRPr="00AD143D" w:rsidRDefault="000157F0" w:rsidP="00AD143D">
      <w:pPr>
        <w:jc w:val="both"/>
        <w:rPr>
          <w:rFonts w:asciiTheme="minorHAnsi" w:hAnsiTheme="minorHAnsi"/>
          <w:szCs w:val="22"/>
        </w:rPr>
      </w:pPr>
      <w:r w:rsidRPr="00AD143D">
        <w:rPr>
          <w:rFonts w:asciiTheme="minorHAnsi" w:hAnsiTheme="minorHAnsi"/>
          <w:szCs w:val="22"/>
        </w:rPr>
        <w:t>The reporting currency is expected to be the currency of your Country of Establishment.</w:t>
      </w:r>
    </w:p>
    <w:p w14:paraId="19D8415E" w14:textId="58E4E59F" w:rsidR="004D2DE9" w:rsidRDefault="00B558FF" w:rsidP="00F35701">
      <w:pPr>
        <w:jc w:val="both"/>
        <w:rPr>
          <w:rFonts w:asciiTheme="minorHAnsi" w:hAnsiTheme="minorHAnsi"/>
          <w:b/>
          <w:bCs/>
          <w:sz w:val="24"/>
          <w:szCs w:val="24"/>
        </w:rPr>
      </w:pPr>
      <w:r w:rsidRPr="00F35701">
        <w:rPr>
          <w:rFonts w:asciiTheme="minorHAnsi" w:hAnsiTheme="minorHAnsi"/>
          <w:b/>
          <w:bCs/>
          <w:sz w:val="24"/>
          <w:szCs w:val="24"/>
        </w:rPr>
        <w:t>Template Remarks</w:t>
      </w:r>
    </w:p>
    <w:p w14:paraId="079AD3F8" w14:textId="39A99BD3" w:rsidR="00F74F2B" w:rsidRPr="00F35701" w:rsidRDefault="00F74F2B" w:rsidP="00F35701">
      <w:pPr>
        <w:jc w:val="both"/>
        <w:rPr>
          <w:rFonts w:asciiTheme="minorHAnsi" w:hAnsiTheme="minorHAnsi"/>
          <w:szCs w:val="22"/>
        </w:rPr>
      </w:pPr>
      <w:r w:rsidRPr="00F35701">
        <w:rPr>
          <w:rFonts w:asciiTheme="minorHAnsi" w:hAnsiTheme="minorHAnsi"/>
          <w:szCs w:val="22"/>
        </w:rPr>
        <w:t xml:space="preserve">This template applies to </w:t>
      </w:r>
      <w:r w:rsidR="00CD73C7" w:rsidRPr="00F35701">
        <w:rPr>
          <w:rFonts w:asciiTheme="minorHAnsi" w:hAnsiTheme="minorHAnsi"/>
          <w:szCs w:val="22"/>
        </w:rPr>
        <w:t>all reporting entities</w:t>
      </w:r>
      <w:r w:rsidRPr="00F35701">
        <w:rPr>
          <w:rFonts w:asciiTheme="minorHAnsi" w:hAnsiTheme="minorHAnsi"/>
          <w:szCs w:val="22"/>
        </w:rPr>
        <w:t>.</w:t>
      </w:r>
    </w:p>
    <w:p w14:paraId="0DE8AAA3" w14:textId="37AE0ECB" w:rsidR="00A1131C" w:rsidRPr="00F35701" w:rsidRDefault="00A1131C" w:rsidP="00F35701">
      <w:pPr>
        <w:jc w:val="both"/>
        <w:rPr>
          <w:rFonts w:asciiTheme="minorHAnsi" w:hAnsiTheme="minorHAnsi"/>
          <w:szCs w:val="22"/>
        </w:rPr>
      </w:pPr>
      <w:r w:rsidRPr="00F35701">
        <w:rPr>
          <w:rFonts w:asciiTheme="minorHAnsi" w:hAnsiTheme="minorHAnsi"/>
          <w:szCs w:val="22"/>
        </w:rPr>
        <w:t xml:space="preserve">It is very important that all content is accurate and fully reflects your type of business, characteristics, </w:t>
      </w:r>
      <w:r w:rsidR="00007A7B" w:rsidRPr="00F35701">
        <w:rPr>
          <w:rFonts w:asciiTheme="minorHAnsi" w:hAnsiTheme="minorHAnsi"/>
          <w:szCs w:val="22"/>
        </w:rPr>
        <w:t>licenses</w:t>
      </w:r>
      <w:r w:rsidRPr="00F35701">
        <w:rPr>
          <w:rFonts w:asciiTheme="minorHAnsi" w:hAnsiTheme="minorHAnsi"/>
          <w:szCs w:val="22"/>
        </w:rPr>
        <w:t>, and the products and services you offer, as many templates and validations depend on the information provided here.</w:t>
      </w:r>
    </w:p>
    <w:p w14:paraId="36E31D39" w14:textId="36A926D3" w:rsidR="000157F0" w:rsidRPr="00F35701" w:rsidRDefault="000157F0" w:rsidP="00F35701">
      <w:pPr>
        <w:jc w:val="both"/>
        <w:rPr>
          <w:rFonts w:asciiTheme="minorHAnsi" w:hAnsiTheme="minorHAnsi"/>
          <w:szCs w:val="22"/>
        </w:rPr>
      </w:pPr>
      <w:r w:rsidRPr="00F35701">
        <w:rPr>
          <w:rFonts w:asciiTheme="minorHAnsi" w:hAnsiTheme="minorHAnsi"/>
          <w:szCs w:val="22"/>
        </w:rPr>
        <w:t xml:space="preserve">The selection of the category does not imply that only the templates for this category need to be submitted. You need to submit all relevant templates related to the actual </w:t>
      </w:r>
      <w:r w:rsidR="00DF3490">
        <w:rPr>
          <w:rFonts w:asciiTheme="minorHAnsi" w:hAnsiTheme="minorHAnsi"/>
          <w:szCs w:val="22"/>
        </w:rPr>
        <w:t>activities carried out by</w:t>
      </w:r>
      <w:r w:rsidRPr="00F35701">
        <w:rPr>
          <w:rFonts w:asciiTheme="minorHAnsi" w:hAnsiTheme="minorHAnsi"/>
          <w:szCs w:val="22"/>
        </w:rPr>
        <w:t>the entity.</w:t>
      </w:r>
    </w:p>
    <w:p w14:paraId="73B4ECBB" w14:textId="2C5655B4" w:rsidR="00813A80" w:rsidRPr="00F35701" w:rsidRDefault="00813A80" w:rsidP="00F35701">
      <w:pPr>
        <w:jc w:val="both"/>
        <w:rPr>
          <w:rFonts w:asciiTheme="minorHAnsi" w:hAnsiTheme="minorHAnsi"/>
          <w:szCs w:val="22"/>
        </w:rPr>
      </w:pPr>
      <w:r w:rsidRPr="00F35701">
        <w:rPr>
          <w:rFonts w:asciiTheme="minorHAnsi" w:hAnsiTheme="minorHAnsi"/>
          <w:szCs w:val="22"/>
        </w:rPr>
        <w:t xml:space="preserve">All monetary amounts shall be reported </w:t>
      </w:r>
      <w:r w:rsidR="00701103" w:rsidRPr="00F35701">
        <w:rPr>
          <w:rFonts w:asciiTheme="minorHAnsi" w:hAnsiTheme="minorHAnsi"/>
          <w:szCs w:val="22"/>
        </w:rPr>
        <w:t>using the</w:t>
      </w:r>
      <w:r w:rsidRPr="00F35701">
        <w:rPr>
          <w:rFonts w:asciiTheme="minorHAnsi" w:hAnsiTheme="minorHAnsi"/>
          <w:szCs w:val="22"/>
        </w:rPr>
        <w:t xml:space="preserve"> single currency reported </w:t>
      </w:r>
      <w:r w:rsidR="00C34868">
        <w:rPr>
          <w:rFonts w:asciiTheme="minorHAnsi" w:hAnsiTheme="minorHAnsi"/>
          <w:szCs w:val="22"/>
        </w:rPr>
        <w:t xml:space="preserve">in </w:t>
      </w:r>
      <w:r w:rsidRPr="00F35701">
        <w:rPr>
          <w:rFonts w:asciiTheme="minorHAnsi" w:hAnsiTheme="minorHAnsi"/>
          <w:szCs w:val="22"/>
        </w:rPr>
        <w:t>C0070. Do not add any currency symbols</w:t>
      </w:r>
      <w:r w:rsidR="00493D9F" w:rsidRPr="00F35701">
        <w:rPr>
          <w:rFonts w:asciiTheme="minorHAnsi" w:hAnsiTheme="minorHAnsi"/>
          <w:szCs w:val="22"/>
        </w:rPr>
        <w:t xml:space="preserve"> on cell for monetary amounts of the report</w:t>
      </w:r>
      <w:r w:rsidRPr="00F35701">
        <w:rPr>
          <w:rFonts w:asciiTheme="minorHAnsi" w:hAnsiTheme="minorHAnsi"/>
          <w:szCs w:val="22"/>
        </w:rPr>
        <w:t xml:space="preserve">, as only the currency indicated on this template is </w:t>
      </w:r>
      <w:r w:rsidR="00493D9F" w:rsidRPr="00F35701">
        <w:rPr>
          <w:rFonts w:asciiTheme="minorHAnsi" w:hAnsiTheme="minorHAnsi"/>
          <w:szCs w:val="22"/>
        </w:rPr>
        <w:t xml:space="preserve">necessary and </w:t>
      </w:r>
      <w:r w:rsidRPr="00F35701">
        <w:rPr>
          <w:rFonts w:asciiTheme="minorHAnsi" w:hAnsiTheme="minorHAnsi"/>
          <w:szCs w:val="22"/>
        </w:rPr>
        <w:t>considered.</w:t>
      </w:r>
    </w:p>
    <w:p w14:paraId="31E6FAD2" w14:textId="42E11BA2" w:rsidR="00A1131C" w:rsidRPr="00F35701" w:rsidRDefault="00A1131C" w:rsidP="00F35701">
      <w:pPr>
        <w:jc w:val="both"/>
        <w:rPr>
          <w:rFonts w:asciiTheme="minorHAnsi" w:hAnsiTheme="minorHAnsi"/>
          <w:szCs w:val="22"/>
        </w:rPr>
      </w:pPr>
      <w:r w:rsidRPr="00F35701">
        <w:rPr>
          <w:rFonts w:asciiTheme="minorHAnsi" w:hAnsiTheme="minorHAnsi"/>
          <w:szCs w:val="22"/>
        </w:rPr>
        <w:t xml:space="preserve">This should be the first template </w:t>
      </w:r>
      <w:r w:rsidR="00694F2E" w:rsidRPr="00F35701">
        <w:rPr>
          <w:rFonts w:asciiTheme="minorHAnsi" w:hAnsiTheme="minorHAnsi"/>
          <w:szCs w:val="22"/>
        </w:rPr>
        <w:t>to fill out.</w:t>
      </w:r>
    </w:p>
    <w:tbl>
      <w:tblPr>
        <w:tblW w:w="92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3"/>
        <w:gridCol w:w="7616"/>
      </w:tblGrid>
      <w:tr w:rsidR="005E211E" w:rsidRPr="00E00B00" w14:paraId="64593BC0" w14:textId="77777777">
        <w:tc>
          <w:tcPr>
            <w:tcW w:w="16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9E54A1" w14:textId="77777777" w:rsidR="00773391" w:rsidRPr="00E00B00" w:rsidRDefault="00773391" w:rsidP="00F32516">
            <w:pPr>
              <w:pStyle w:val="InstructionsText"/>
              <w:rPr>
                <w:rStyle w:val="InstructionsTabelleText"/>
                <w:rFonts w:asciiTheme="minorHAnsi" w:hAnsiTheme="minorHAnsi"/>
                <w:bCs w:val="0"/>
                <w:lang w:eastAsia="en-US"/>
              </w:rPr>
            </w:pPr>
            <w:r w:rsidRPr="00E00B00">
              <w:rPr>
                <w:rStyle w:val="InstructionsTabelleText"/>
                <w:rFonts w:asciiTheme="minorHAnsi" w:hAnsiTheme="minorHAnsi"/>
              </w:rPr>
              <w:t>Column code</w:t>
            </w:r>
          </w:p>
        </w:tc>
        <w:tc>
          <w:tcPr>
            <w:tcW w:w="76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219B8D" w14:textId="77777777" w:rsidR="00773391" w:rsidRPr="00E00B00" w:rsidRDefault="00773391" w:rsidP="00F32516">
            <w:pPr>
              <w:pStyle w:val="InstructionsText"/>
              <w:rPr>
                <w:rStyle w:val="InstructionsTabelleText"/>
                <w:rFonts w:asciiTheme="minorHAnsi" w:hAnsiTheme="minorHAnsi"/>
                <w:bCs w:val="0"/>
                <w:lang w:eastAsia="en-US"/>
              </w:rPr>
            </w:pPr>
            <w:r w:rsidRPr="00E00B00">
              <w:rPr>
                <w:rStyle w:val="InstructionsTabelleText"/>
                <w:rFonts w:asciiTheme="minorHAnsi" w:hAnsiTheme="minorHAnsi"/>
              </w:rPr>
              <w:t>Legal references and instructions</w:t>
            </w:r>
          </w:p>
        </w:tc>
      </w:tr>
      <w:tr w:rsidR="00A10CBD" w:rsidRPr="00E00B00" w14:paraId="38FD5AB0" w14:textId="77777777">
        <w:tc>
          <w:tcPr>
            <w:tcW w:w="1673" w:type="dxa"/>
            <w:tcBorders>
              <w:top w:val="single" w:sz="4" w:space="0" w:color="auto"/>
              <w:left w:val="single" w:sz="4" w:space="0" w:color="auto"/>
              <w:bottom w:val="single" w:sz="4" w:space="0" w:color="auto"/>
              <w:right w:val="single" w:sz="4" w:space="0" w:color="auto"/>
            </w:tcBorders>
          </w:tcPr>
          <w:p w14:paraId="4E56122F" w14:textId="77777777" w:rsidR="00773391" w:rsidRPr="00B327D8" w:rsidRDefault="00773391" w:rsidP="00F32516">
            <w:pPr>
              <w:pStyle w:val="InstructionsText"/>
              <w:rPr>
                <w:rStyle w:val="FormatvorlageInstructionsTabelleText"/>
                <w:rFonts w:asciiTheme="minorHAnsi" w:hAnsiTheme="minorHAnsi"/>
              </w:rPr>
            </w:pPr>
            <w:r w:rsidRPr="00B327D8">
              <w:rPr>
                <w:rStyle w:val="FormatvorlageInstructionsTabelleText"/>
                <w:rFonts w:asciiTheme="minorHAnsi" w:hAnsiTheme="minorHAnsi"/>
              </w:rPr>
              <w:t>C0010</w:t>
            </w:r>
          </w:p>
        </w:tc>
        <w:tc>
          <w:tcPr>
            <w:tcW w:w="76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15A01E1" w14:textId="62CAEAA0" w:rsidR="00491899" w:rsidRDefault="00491899" w:rsidP="00B75819">
            <w:pPr>
              <w:pStyle w:val="InstructionsText2"/>
              <w:rPr>
                <w:rFonts w:asciiTheme="minorHAnsi" w:eastAsia="Verdana" w:hAnsiTheme="minorHAnsi"/>
                <w:sz w:val="20"/>
                <w:szCs w:val="20"/>
              </w:rPr>
            </w:pPr>
            <w:r w:rsidRPr="00FC1FCA">
              <w:rPr>
                <w:rFonts w:ascii="Aptos" w:eastAsia="Verdana" w:hAnsi="Aptos"/>
                <w:b/>
                <w:sz w:val="20"/>
                <w:szCs w:val="20"/>
                <w:u w:val="single"/>
              </w:rPr>
              <w:t>Legal Entity Identifier (LEI)</w:t>
            </w:r>
          </w:p>
          <w:p w14:paraId="2BEC0A26" w14:textId="1099EBCD" w:rsidR="00B75819" w:rsidRPr="00B327D8" w:rsidRDefault="00B75819" w:rsidP="00B75819">
            <w:pPr>
              <w:pStyle w:val="InstructionsText2"/>
              <w:rPr>
                <w:rFonts w:asciiTheme="minorHAnsi" w:eastAsia="Verdana" w:hAnsiTheme="minorHAnsi"/>
                <w:sz w:val="20"/>
                <w:szCs w:val="20"/>
              </w:rPr>
            </w:pPr>
            <w:r w:rsidRPr="00B327D8">
              <w:rPr>
                <w:rFonts w:asciiTheme="minorHAnsi" w:eastAsia="Verdana" w:hAnsiTheme="minorHAnsi"/>
                <w:sz w:val="20"/>
                <w:szCs w:val="20"/>
              </w:rPr>
              <w:t>Legal Entity Identifier (LEI)</w:t>
            </w:r>
            <w:r w:rsidR="0013781F" w:rsidRPr="00B327D8">
              <w:rPr>
                <w:rFonts w:asciiTheme="minorHAnsi" w:eastAsia="Verdana" w:hAnsiTheme="minorHAnsi"/>
                <w:sz w:val="20"/>
                <w:szCs w:val="20"/>
              </w:rPr>
              <w:t xml:space="preserve"> of the </w:t>
            </w:r>
            <w:r w:rsidR="00863B13">
              <w:rPr>
                <w:rFonts w:asciiTheme="minorHAnsi" w:eastAsia="Verdana" w:hAnsiTheme="minorHAnsi"/>
                <w:sz w:val="20"/>
                <w:szCs w:val="20"/>
              </w:rPr>
              <w:t>reporting obliged entity</w:t>
            </w:r>
            <w:r w:rsidRPr="00B327D8">
              <w:rPr>
                <w:rFonts w:asciiTheme="minorHAnsi" w:eastAsia="Verdana" w:hAnsiTheme="minorHAnsi"/>
                <w:sz w:val="20"/>
                <w:szCs w:val="20"/>
              </w:rPr>
              <w:t>, assigned in accordance with ISO 17442, where available.</w:t>
            </w:r>
          </w:p>
          <w:p w14:paraId="52058648" w14:textId="116D366D" w:rsidR="00773391" w:rsidRPr="00B327D8" w:rsidRDefault="00B75819" w:rsidP="00B75819">
            <w:pPr>
              <w:pStyle w:val="InstructionsText2"/>
              <w:rPr>
                <w:rFonts w:asciiTheme="minorHAnsi" w:eastAsia="Verdana" w:hAnsiTheme="minorHAnsi" w:cs="Verdana"/>
                <w:sz w:val="20"/>
                <w:szCs w:val="20"/>
                <w:lang w:val="en-US"/>
              </w:rPr>
            </w:pPr>
            <w:r w:rsidRPr="00B327D8">
              <w:rPr>
                <w:rFonts w:asciiTheme="minorHAnsi" w:eastAsia="Verdana" w:hAnsiTheme="minorHAnsi"/>
                <w:sz w:val="20"/>
                <w:szCs w:val="20"/>
              </w:rPr>
              <w:t>If the</w:t>
            </w:r>
            <w:r w:rsidR="0289E424" w:rsidRPr="7478593D">
              <w:rPr>
                <w:rFonts w:asciiTheme="minorHAnsi" w:eastAsia="Verdana" w:hAnsiTheme="minorHAnsi"/>
                <w:sz w:val="20"/>
                <w:szCs w:val="20"/>
              </w:rPr>
              <w:t xml:space="preserve"> legal</w:t>
            </w:r>
            <w:r w:rsidRPr="00B327D8">
              <w:rPr>
                <w:rFonts w:asciiTheme="minorHAnsi" w:eastAsia="Verdana" w:hAnsiTheme="minorHAnsi"/>
                <w:sz w:val="20"/>
                <w:szCs w:val="20"/>
              </w:rPr>
              <w:t xml:space="preserve"> entity does not have an LEI, </w:t>
            </w:r>
            <w:r w:rsidR="00AB116B">
              <w:rPr>
                <w:rFonts w:asciiTheme="minorHAnsi" w:eastAsia="Verdana" w:hAnsiTheme="minorHAnsi"/>
                <w:sz w:val="20"/>
                <w:szCs w:val="20"/>
              </w:rPr>
              <w:t>select N/A in the field</w:t>
            </w:r>
            <w:r w:rsidRPr="00B327D8">
              <w:rPr>
                <w:rFonts w:asciiTheme="minorHAnsi" w:eastAsia="Verdana" w:hAnsiTheme="minorHAnsi"/>
                <w:sz w:val="20"/>
                <w:szCs w:val="20"/>
              </w:rPr>
              <w:t>.</w:t>
            </w:r>
            <w:r w:rsidR="00F54A16">
              <w:rPr>
                <w:rFonts w:asciiTheme="minorHAnsi" w:eastAsia="Verdana" w:hAnsiTheme="minorHAnsi"/>
                <w:sz w:val="20"/>
                <w:szCs w:val="20"/>
              </w:rPr>
              <w:t xml:space="preserve"> </w:t>
            </w:r>
            <w:r w:rsidR="00483101">
              <w:rPr>
                <w:rFonts w:asciiTheme="minorHAnsi" w:eastAsia="Verdana" w:hAnsiTheme="minorHAnsi"/>
                <w:sz w:val="20"/>
                <w:szCs w:val="20"/>
              </w:rPr>
              <w:t>Non-legal entities</w:t>
            </w:r>
            <w:r w:rsidR="007374AB">
              <w:rPr>
                <w:rFonts w:asciiTheme="minorHAnsi" w:eastAsia="Verdana" w:hAnsiTheme="minorHAnsi"/>
                <w:sz w:val="20"/>
                <w:szCs w:val="20"/>
              </w:rPr>
              <w:t xml:space="preserve"> (e.g. branches)</w:t>
            </w:r>
            <w:r w:rsidR="00483101">
              <w:rPr>
                <w:rFonts w:asciiTheme="minorHAnsi" w:eastAsia="Verdana" w:hAnsiTheme="minorHAnsi"/>
                <w:sz w:val="20"/>
                <w:szCs w:val="20"/>
              </w:rPr>
              <w:t xml:space="preserve"> should use the </w:t>
            </w:r>
            <w:r w:rsidR="007374AB">
              <w:rPr>
                <w:rFonts w:asciiTheme="minorHAnsi" w:eastAsia="Verdana" w:hAnsiTheme="minorHAnsi"/>
                <w:sz w:val="20"/>
                <w:szCs w:val="20"/>
              </w:rPr>
              <w:t xml:space="preserve">LEI </w:t>
            </w:r>
            <w:r w:rsidR="008218A4">
              <w:rPr>
                <w:rFonts w:asciiTheme="minorHAnsi" w:eastAsia="Verdana" w:hAnsiTheme="minorHAnsi"/>
                <w:sz w:val="20"/>
                <w:szCs w:val="20"/>
              </w:rPr>
              <w:t xml:space="preserve">of the parent undertaking. </w:t>
            </w:r>
          </w:p>
        </w:tc>
      </w:tr>
      <w:tr w:rsidR="00A10CBD" w:rsidRPr="00E00B00" w14:paraId="0CB5E340" w14:textId="77777777">
        <w:tc>
          <w:tcPr>
            <w:tcW w:w="1673" w:type="dxa"/>
            <w:tcBorders>
              <w:top w:val="single" w:sz="4" w:space="0" w:color="auto"/>
              <w:left w:val="single" w:sz="4" w:space="0" w:color="auto"/>
              <w:bottom w:val="single" w:sz="4" w:space="0" w:color="auto"/>
              <w:right w:val="single" w:sz="4" w:space="0" w:color="auto"/>
            </w:tcBorders>
          </w:tcPr>
          <w:p w14:paraId="1A004BFB" w14:textId="780E890E" w:rsidR="00CF0F6F" w:rsidRPr="00B327D8" w:rsidRDefault="00CF0F6F" w:rsidP="00F32516">
            <w:pPr>
              <w:pStyle w:val="InstructionsText"/>
              <w:rPr>
                <w:rStyle w:val="FormatvorlageInstructionsTabelleText"/>
                <w:rFonts w:asciiTheme="minorHAnsi" w:hAnsiTheme="minorHAnsi"/>
              </w:rPr>
            </w:pPr>
            <w:r w:rsidRPr="00B327D8">
              <w:rPr>
                <w:rStyle w:val="FormatvorlageInstructionsTabelleText"/>
                <w:rFonts w:asciiTheme="minorHAnsi" w:hAnsiTheme="minorHAnsi"/>
              </w:rPr>
              <w:t>C0020</w:t>
            </w:r>
          </w:p>
        </w:tc>
        <w:tc>
          <w:tcPr>
            <w:tcW w:w="7616"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693CE95" w14:textId="77777777" w:rsidR="00491899" w:rsidRDefault="00491899" w:rsidP="00CF0F6F">
            <w:pPr>
              <w:pStyle w:val="InstructionsText2"/>
              <w:rPr>
                <w:rFonts w:asciiTheme="minorHAnsi" w:hAnsiTheme="minorHAnsi"/>
                <w:sz w:val="20"/>
                <w:szCs w:val="20"/>
                <w:lang w:val="en-US"/>
              </w:rPr>
            </w:pPr>
            <w:r w:rsidRPr="00FC1FCA">
              <w:rPr>
                <w:rFonts w:ascii="Aptos" w:hAnsi="Aptos"/>
                <w:b/>
                <w:sz w:val="20"/>
                <w:szCs w:val="20"/>
                <w:u w:val="single"/>
                <w:lang w:val="en-US"/>
              </w:rPr>
              <w:t>National Code</w:t>
            </w:r>
          </w:p>
          <w:p w14:paraId="186F9BBA" w14:textId="54633B4B" w:rsidR="00CF0F6F" w:rsidRPr="00E00B00" w:rsidRDefault="00CF0F6F" w:rsidP="00CF0F6F">
            <w:pPr>
              <w:pStyle w:val="InstructionsText2"/>
              <w:rPr>
                <w:rFonts w:asciiTheme="minorHAnsi" w:hAnsiTheme="minorHAnsi"/>
                <w:b/>
                <w:sz w:val="20"/>
                <w:u w:val="single"/>
                <w:lang w:val="en-US"/>
              </w:rPr>
            </w:pPr>
            <w:r w:rsidRPr="00B327D8">
              <w:rPr>
                <w:rFonts w:asciiTheme="minorHAnsi" w:hAnsiTheme="minorHAnsi"/>
                <w:sz w:val="20"/>
                <w:szCs w:val="20"/>
                <w:lang w:val="en-US"/>
              </w:rPr>
              <w:t xml:space="preserve">National or supervisory identifier assigned to the entity by the </w:t>
            </w:r>
            <w:r w:rsidR="00E84A5A">
              <w:rPr>
                <w:rFonts w:asciiTheme="minorHAnsi" w:hAnsiTheme="minorHAnsi"/>
                <w:sz w:val="20"/>
                <w:szCs w:val="20"/>
                <w:lang w:val="en-US"/>
              </w:rPr>
              <w:t>national financial supervisor</w:t>
            </w:r>
            <w:r w:rsidRPr="00B327D8">
              <w:rPr>
                <w:rFonts w:asciiTheme="minorHAnsi" w:hAnsiTheme="minorHAnsi"/>
                <w:sz w:val="20"/>
                <w:szCs w:val="20"/>
                <w:lang w:val="en-US"/>
              </w:rPr>
              <w:t xml:space="preserve"> where the entity is registered or authorized.</w:t>
            </w:r>
          </w:p>
        </w:tc>
      </w:tr>
      <w:tr w:rsidR="00A10CBD" w:rsidRPr="00E00B00" w14:paraId="7EE6898A" w14:textId="77777777">
        <w:tc>
          <w:tcPr>
            <w:tcW w:w="1673" w:type="dxa"/>
            <w:tcBorders>
              <w:top w:val="single" w:sz="4" w:space="0" w:color="auto"/>
              <w:left w:val="single" w:sz="4" w:space="0" w:color="auto"/>
              <w:bottom w:val="single" w:sz="4" w:space="0" w:color="auto"/>
              <w:right w:val="single" w:sz="4" w:space="0" w:color="auto"/>
            </w:tcBorders>
          </w:tcPr>
          <w:p w14:paraId="00777FAB" w14:textId="54553BF1" w:rsidR="00CF0F6F" w:rsidRPr="00B327D8" w:rsidRDefault="003E4C62" w:rsidP="00F32516">
            <w:pPr>
              <w:pStyle w:val="InstructionsText"/>
              <w:rPr>
                <w:rStyle w:val="FormatvorlageInstructionsTabelleText"/>
                <w:rFonts w:asciiTheme="minorHAnsi" w:hAnsiTheme="minorHAnsi"/>
              </w:rPr>
            </w:pPr>
            <w:r w:rsidRPr="00B327D8">
              <w:rPr>
                <w:rStyle w:val="FormatvorlageInstructionsTabelleText"/>
                <w:rFonts w:asciiTheme="minorHAnsi" w:hAnsiTheme="minorHAnsi"/>
              </w:rPr>
              <w:t>C0030</w:t>
            </w:r>
          </w:p>
        </w:tc>
        <w:tc>
          <w:tcPr>
            <w:tcW w:w="7616"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C7C1F64" w14:textId="77777777" w:rsidR="00491899" w:rsidRDefault="00491899" w:rsidP="00CF0F6F">
            <w:pPr>
              <w:pStyle w:val="InstructionsText2"/>
              <w:rPr>
                <w:rFonts w:asciiTheme="minorHAnsi" w:hAnsiTheme="minorHAnsi"/>
                <w:b/>
                <w:sz w:val="20"/>
                <w:u w:val="single"/>
                <w:lang w:val="en-US"/>
              </w:rPr>
            </w:pPr>
            <w:r w:rsidRPr="00FC1FCA">
              <w:rPr>
                <w:rFonts w:ascii="Aptos" w:hAnsi="Aptos"/>
                <w:b/>
                <w:sz w:val="20"/>
                <w:u w:val="single"/>
                <w:lang w:val="en-US"/>
              </w:rPr>
              <w:t>Legal Name</w:t>
            </w:r>
          </w:p>
          <w:p w14:paraId="03696F7C" w14:textId="30415D9A" w:rsidR="00A70B3F" w:rsidRPr="00E00B00" w:rsidRDefault="00491899" w:rsidP="00CF0F6F">
            <w:pPr>
              <w:pStyle w:val="InstructionsText2"/>
              <w:rPr>
                <w:rFonts w:asciiTheme="minorHAnsi" w:hAnsiTheme="minorHAnsi"/>
                <w:b/>
                <w:sz w:val="20"/>
                <w:u w:val="single"/>
                <w:lang w:val="en-US"/>
              </w:rPr>
            </w:pPr>
            <w:r w:rsidRPr="00A87BF8">
              <w:rPr>
                <w:rFonts w:asciiTheme="minorHAnsi" w:hAnsiTheme="minorHAnsi"/>
                <w:sz w:val="20"/>
                <w:szCs w:val="20"/>
              </w:rPr>
              <w:t xml:space="preserve">Official legal name of the </w:t>
            </w:r>
            <w:r w:rsidR="00863B13">
              <w:rPr>
                <w:rFonts w:asciiTheme="minorHAnsi" w:hAnsiTheme="minorHAnsi"/>
                <w:sz w:val="20"/>
                <w:szCs w:val="20"/>
              </w:rPr>
              <w:t>reporting obliged entity</w:t>
            </w:r>
            <w:r w:rsidRPr="00A87BF8">
              <w:rPr>
                <w:rFonts w:asciiTheme="minorHAnsi" w:hAnsiTheme="minorHAnsi"/>
                <w:sz w:val="20"/>
                <w:szCs w:val="20"/>
              </w:rPr>
              <w:t>.</w:t>
            </w:r>
          </w:p>
        </w:tc>
      </w:tr>
      <w:tr w:rsidR="00A10CBD" w:rsidRPr="00E00B00" w14:paraId="544CC7F3" w14:textId="77777777">
        <w:tc>
          <w:tcPr>
            <w:tcW w:w="1673" w:type="dxa"/>
            <w:tcBorders>
              <w:top w:val="single" w:sz="4" w:space="0" w:color="auto"/>
              <w:left w:val="single" w:sz="4" w:space="0" w:color="auto"/>
              <w:bottom w:val="single" w:sz="4" w:space="0" w:color="auto"/>
              <w:right w:val="single" w:sz="4" w:space="0" w:color="auto"/>
            </w:tcBorders>
          </w:tcPr>
          <w:p w14:paraId="5DD33E47" w14:textId="45158182" w:rsidR="00CF0F6F" w:rsidRPr="00B327D8" w:rsidRDefault="003E4C62" w:rsidP="00F32516">
            <w:pPr>
              <w:pStyle w:val="InstructionsText"/>
              <w:rPr>
                <w:rStyle w:val="FormatvorlageInstructionsTabelleText"/>
                <w:rFonts w:asciiTheme="minorHAnsi" w:hAnsiTheme="minorHAnsi"/>
              </w:rPr>
            </w:pPr>
            <w:r w:rsidRPr="00B327D8">
              <w:rPr>
                <w:rStyle w:val="FormatvorlageInstructionsTabelleText"/>
                <w:rFonts w:asciiTheme="minorHAnsi" w:hAnsiTheme="minorHAnsi"/>
              </w:rPr>
              <w:t>C0040</w:t>
            </w:r>
          </w:p>
        </w:tc>
        <w:tc>
          <w:tcPr>
            <w:tcW w:w="7616"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054BFEE" w14:textId="77777777" w:rsidR="00491899" w:rsidRDefault="00491899" w:rsidP="00CF0F6F">
            <w:pPr>
              <w:pStyle w:val="InstructionsText2"/>
              <w:rPr>
                <w:rFonts w:asciiTheme="minorHAnsi" w:hAnsiTheme="minorHAnsi"/>
                <w:bCs/>
                <w:sz w:val="20"/>
                <w:szCs w:val="20"/>
              </w:rPr>
            </w:pPr>
            <w:r w:rsidRPr="00BB205D">
              <w:rPr>
                <w:rFonts w:ascii="Aptos" w:hAnsi="Aptos"/>
                <w:b/>
                <w:bCs/>
                <w:sz w:val="20"/>
                <w:szCs w:val="20"/>
                <w:u w:val="single"/>
              </w:rPr>
              <w:t>English Name</w:t>
            </w:r>
          </w:p>
          <w:p w14:paraId="0C091A90" w14:textId="3E2B57BA" w:rsidR="00DC276A" w:rsidRPr="00B327D8" w:rsidRDefault="00491899" w:rsidP="00A12B91">
            <w:pPr>
              <w:pStyle w:val="InstructionsText2"/>
              <w:rPr>
                <w:rFonts w:asciiTheme="minorHAnsi" w:hAnsiTheme="minorHAnsi"/>
                <w:bCs/>
                <w:sz w:val="20"/>
                <w:szCs w:val="20"/>
              </w:rPr>
            </w:pPr>
            <w:r>
              <w:rPr>
                <w:rFonts w:asciiTheme="minorHAnsi" w:hAnsiTheme="minorHAnsi"/>
                <w:bCs/>
                <w:sz w:val="20"/>
                <w:szCs w:val="20"/>
              </w:rPr>
              <w:t>English name of the entity, if different from the official legal name in C0030. This field is optional and may be used to facilitate identification (e.g. where the official legal name is not in Latin characters or is difficult to interpret)</w:t>
            </w:r>
            <w:r w:rsidR="00A12B91">
              <w:rPr>
                <w:rFonts w:asciiTheme="minorHAnsi" w:hAnsiTheme="minorHAnsi"/>
                <w:bCs/>
                <w:sz w:val="20"/>
                <w:szCs w:val="20"/>
              </w:rPr>
              <w:t>.</w:t>
            </w:r>
          </w:p>
        </w:tc>
      </w:tr>
      <w:tr w:rsidR="00A10CBD" w:rsidRPr="009B282E" w14:paraId="5A859E7B" w14:textId="77777777">
        <w:tc>
          <w:tcPr>
            <w:tcW w:w="1673" w:type="dxa"/>
            <w:tcBorders>
              <w:top w:val="single" w:sz="4" w:space="0" w:color="auto"/>
              <w:left w:val="single" w:sz="4" w:space="0" w:color="auto"/>
              <w:bottom w:val="single" w:sz="4" w:space="0" w:color="auto"/>
              <w:right w:val="single" w:sz="4" w:space="0" w:color="auto"/>
            </w:tcBorders>
          </w:tcPr>
          <w:p w14:paraId="61D3E84A" w14:textId="214389E8" w:rsidR="00CF0F6F" w:rsidRPr="009275BC" w:rsidRDefault="003E4C62"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C0050</w:t>
            </w:r>
          </w:p>
        </w:tc>
        <w:tc>
          <w:tcPr>
            <w:tcW w:w="7616"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B676E79" w14:textId="4934B39B" w:rsidR="00491899" w:rsidRDefault="00491899" w:rsidP="00CF0F6F">
            <w:pPr>
              <w:pStyle w:val="InstructionsText2"/>
              <w:rPr>
                <w:rFonts w:asciiTheme="minorHAnsi" w:hAnsiTheme="minorHAnsi"/>
                <w:sz w:val="20"/>
                <w:szCs w:val="20"/>
                <w:lang w:val="en-US"/>
              </w:rPr>
            </w:pPr>
            <w:r w:rsidRPr="00A87BF8">
              <w:rPr>
                <w:rFonts w:ascii="Aptos" w:hAnsi="Aptos"/>
                <w:b/>
                <w:sz w:val="20"/>
                <w:szCs w:val="20"/>
                <w:u w:val="single"/>
                <w:lang w:val="en-US"/>
              </w:rPr>
              <w:t>Type</w:t>
            </w:r>
            <w:r w:rsidR="00F74F2B">
              <w:rPr>
                <w:rFonts w:ascii="Aptos" w:hAnsi="Aptos"/>
                <w:b/>
                <w:sz w:val="20"/>
                <w:szCs w:val="20"/>
                <w:u w:val="single"/>
                <w:lang w:val="en-US"/>
              </w:rPr>
              <w:t xml:space="preserve"> of Entity</w:t>
            </w:r>
          </w:p>
          <w:p w14:paraId="49D11D34" w14:textId="4CFE6621" w:rsidR="00967D40" w:rsidRDefault="002F5ABD" w:rsidP="00CF0F6F">
            <w:pPr>
              <w:pStyle w:val="InstructionsText2"/>
              <w:rPr>
                <w:rFonts w:asciiTheme="minorHAnsi" w:hAnsiTheme="minorHAnsi"/>
                <w:sz w:val="20"/>
                <w:szCs w:val="20"/>
                <w:lang w:val="en-US"/>
              </w:rPr>
            </w:pPr>
            <w:r w:rsidRPr="00EC7C0A">
              <w:rPr>
                <w:rFonts w:asciiTheme="minorHAnsi" w:hAnsiTheme="minorHAnsi"/>
                <w:sz w:val="20"/>
                <w:szCs w:val="20"/>
                <w:lang w:val="en-US"/>
              </w:rPr>
              <w:t xml:space="preserve">Classification of the entity according to its regulated or supervised activity. Select the category that best reflects its </w:t>
            </w:r>
            <w:r w:rsidR="001E1B2D">
              <w:rPr>
                <w:rFonts w:asciiTheme="minorHAnsi" w:hAnsiTheme="minorHAnsi"/>
                <w:sz w:val="20"/>
                <w:szCs w:val="20"/>
                <w:lang w:val="en-US"/>
              </w:rPr>
              <w:t xml:space="preserve">main </w:t>
            </w:r>
            <w:r w:rsidRPr="00EC7C0A">
              <w:rPr>
                <w:rFonts w:asciiTheme="minorHAnsi" w:hAnsiTheme="minorHAnsi"/>
                <w:sz w:val="20"/>
                <w:szCs w:val="20"/>
                <w:lang w:val="en-US"/>
              </w:rPr>
              <w:t>business model</w:t>
            </w:r>
            <w:r w:rsidR="00967D40" w:rsidRPr="00EC7C0A">
              <w:rPr>
                <w:rFonts w:asciiTheme="minorHAnsi" w:hAnsiTheme="minorHAnsi"/>
                <w:sz w:val="20"/>
                <w:szCs w:val="20"/>
                <w:lang w:val="en-US"/>
              </w:rPr>
              <w:t xml:space="preserve"> according to one of </w:t>
            </w:r>
            <w:r w:rsidR="004C4443">
              <w:rPr>
                <w:rFonts w:asciiTheme="minorHAnsi" w:hAnsiTheme="minorHAnsi"/>
                <w:sz w:val="20"/>
                <w:szCs w:val="20"/>
                <w:lang w:val="en-US"/>
              </w:rPr>
              <w:t>the o</w:t>
            </w:r>
            <w:r w:rsidR="00967D40" w:rsidRPr="00EC7C0A">
              <w:rPr>
                <w:rFonts w:asciiTheme="minorHAnsi" w:hAnsiTheme="minorHAnsi"/>
                <w:sz w:val="20"/>
                <w:szCs w:val="20"/>
                <w:lang w:val="en-US"/>
              </w:rPr>
              <w:t>ptions</w:t>
            </w:r>
            <w:r w:rsidR="004C4443">
              <w:rPr>
                <w:rFonts w:asciiTheme="minorHAnsi" w:hAnsiTheme="minorHAnsi"/>
                <w:sz w:val="20"/>
                <w:szCs w:val="20"/>
                <w:lang w:val="en-US"/>
              </w:rPr>
              <w:t xml:space="preserve"> mentioned below</w:t>
            </w:r>
            <w:r w:rsidR="00BC5660">
              <w:rPr>
                <w:rFonts w:asciiTheme="minorHAnsi" w:hAnsiTheme="minorHAnsi"/>
                <w:sz w:val="20"/>
                <w:szCs w:val="20"/>
                <w:lang w:val="en-US"/>
              </w:rPr>
              <w:t>.</w:t>
            </w:r>
          </w:p>
          <w:p w14:paraId="2BE10A4F" w14:textId="25DCF5CD" w:rsidR="00076887" w:rsidRPr="00EC7C0A" w:rsidRDefault="00076887" w:rsidP="00CF0F6F">
            <w:pPr>
              <w:pStyle w:val="InstructionsText2"/>
              <w:rPr>
                <w:rFonts w:asciiTheme="minorHAnsi" w:hAnsiTheme="minorHAnsi"/>
                <w:sz w:val="20"/>
                <w:szCs w:val="20"/>
                <w:lang w:val="en-US"/>
              </w:rPr>
            </w:pPr>
            <w:r>
              <w:rPr>
                <w:rFonts w:asciiTheme="minorHAnsi" w:hAnsiTheme="minorHAnsi"/>
                <w:sz w:val="20"/>
                <w:szCs w:val="20"/>
                <w:lang w:val="en-US"/>
              </w:rPr>
              <w:t xml:space="preserve">The selection </w:t>
            </w:r>
            <w:r w:rsidR="003975C7">
              <w:rPr>
                <w:rFonts w:asciiTheme="minorHAnsi" w:hAnsiTheme="minorHAnsi"/>
                <w:sz w:val="20"/>
                <w:szCs w:val="20"/>
                <w:lang w:val="en-US"/>
              </w:rPr>
              <w:t>o</w:t>
            </w:r>
            <w:r w:rsidR="00027069">
              <w:rPr>
                <w:rFonts w:asciiTheme="minorHAnsi" w:hAnsiTheme="minorHAnsi"/>
                <w:sz w:val="20"/>
                <w:szCs w:val="20"/>
                <w:lang w:val="en-US"/>
              </w:rPr>
              <w:t xml:space="preserve">f the category </w:t>
            </w:r>
            <w:r w:rsidR="008C75AB">
              <w:rPr>
                <w:rFonts w:asciiTheme="minorHAnsi" w:hAnsiTheme="minorHAnsi"/>
                <w:sz w:val="20"/>
                <w:szCs w:val="20"/>
                <w:lang w:val="en-US"/>
              </w:rPr>
              <w:t>does not imply that</w:t>
            </w:r>
            <w:r w:rsidR="00BF6185">
              <w:rPr>
                <w:rFonts w:asciiTheme="minorHAnsi" w:hAnsiTheme="minorHAnsi"/>
                <w:sz w:val="20"/>
                <w:szCs w:val="20"/>
                <w:lang w:val="en-US"/>
              </w:rPr>
              <w:t xml:space="preserve"> only the </w:t>
            </w:r>
            <w:r w:rsidR="001B2CBD">
              <w:rPr>
                <w:rFonts w:asciiTheme="minorHAnsi" w:hAnsiTheme="minorHAnsi"/>
                <w:sz w:val="20"/>
                <w:szCs w:val="20"/>
                <w:lang w:val="en-US"/>
              </w:rPr>
              <w:t xml:space="preserve">templates for this category need to be </w:t>
            </w:r>
            <w:r w:rsidR="00CB221B">
              <w:rPr>
                <w:rFonts w:asciiTheme="minorHAnsi" w:hAnsiTheme="minorHAnsi"/>
                <w:sz w:val="20"/>
                <w:szCs w:val="20"/>
                <w:lang w:val="en-US"/>
              </w:rPr>
              <w:t xml:space="preserve">submitted. </w:t>
            </w:r>
            <w:r w:rsidR="00437852">
              <w:rPr>
                <w:rFonts w:asciiTheme="minorHAnsi" w:hAnsiTheme="minorHAnsi"/>
                <w:sz w:val="20"/>
                <w:szCs w:val="20"/>
                <w:lang w:val="en-US"/>
              </w:rPr>
              <w:t>Y</w:t>
            </w:r>
            <w:r w:rsidR="00A23827">
              <w:rPr>
                <w:rFonts w:asciiTheme="minorHAnsi" w:hAnsiTheme="minorHAnsi"/>
                <w:sz w:val="20"/>
                <w:szCs w:val="20"/>
                <w:lang w:val="en-US"/>
              </w:rPr>
              <w:t xml:space="preserve">ou </w:t>
            </w:r>
            <w:r w:rsidR="00437852">
              <w:rPr>
                <w:rFonts w:asciiTheme="minorHAnsi" w:hAnsiTheme="minorHAnsi"/>
                <w:sz w:val="20"/>
                <w:szCs w:val="20"/>
                <w:lang w:val="en-US"/>
              </w:rPr>
              <w:t xml:space="preserve">need </w:t>
            </w:r>
            <w:r w:rsidR="00A23827">
              <w:rPr>
                <w:rFonts w:asciiTheme="minorHAnsi" w:hAnsiTheme="minorHAnsi"/>
                <w:sz w:val="20"/>
                <w:szCs w:val="20"/>
                <w:lang w:val="en-US"/>
              </w:rPr>
              <w:t xml:space="preserve">to </w:t>
            </w:r>
            <w:r w:rsidR="00882253">
              <w:rPr>
                <w:rFonts w:asciiTheme="minorHAnsi" w:hAnsiTheme="minorHAnsi"/>
                <w:sz w:val="20"/>
                <w:szCs w:val="20"/>
                <w:lang w:val="en-US"/>
              </w:rPr>
              <w:t>submit</w:t>
            </w:r>
            <w:r w:rsidR="00A23827">
              <w:rPr>
                <w:rFonts w:asciiTheme="minorHAnsi" w:hAnsiTheme="minorHAnsi"/>
                <w:sz w:val="20"/>
                <w:szCs w:val="20"/>
                <w:lang w:val="en-US"/>
              </w:rPr>
              <w:t xml:space="preserve"> all </w:t>
            </w:r>
            <w:r w:rsidR="00B720DE">
              <w:rPr>
                <w:rFonts w:asciiTheme="minorHAnsi" w:hAnsiTheme="minorHAnsi"/>
                <w:sz w:val="20"/>
                <w:szCs w:val="20"/>
                <w:lang w:val="en-US"/>
              </w:rPr>
              <w:t xml:space="preserve">relevant </w:t>
            </w:r>
            <w:r w:rsidR="00A23827">
              <w:rPr>
                <w:rFonts w:asciiTheme="minorHAnsi" w:hAnsiTheme="minorHAnsi"/>
                <w:sz w:val="20"/>
                <w:szCs w:val="20"/>
                <w:lang w:val="en-US"/>
              </w:rPr>
              <w:t>templates related to the actual business</w:t>
            </w:r>
            <w:r w:rsidR="00DD2FE3">
              <w:rPr>
                <w:rFonts w:asciiTheme="minorHAnsi" w:hAnsiTheme="minorHAnsi"/>
                <w:sz w:val="20"/>
                <w:szCs w:val="20"/>
                <w:lang w:val="en-US"/>
              </w:rPr>
              <w:t>es of the entity</w:t>
            </w:r>
            <w:r w:rsidR="004613E0">
              <w:rPr>
                <w:rFonts w:asciiTheme="minorHAnsi" w:hAnsiTheme="minorHAnsi"/>
                <w:sz w:val="20"/>
                <w:szCs w:val="20"/>
                <w:lang w:val="en-US"/>
              </w:rPr>
              <w:t xml:space="preserve">. </w:t>
            </w:r>
            <w:r w:rsidR="003137C7" w:rsidRPr="003137C7">
              <w:rPr>
                <w:rFonts w:asciiTheme="minorHAnsi" w:hAnsiTheme="minorHAnsi"/>
                <w:sz w:val="20"/>
                <w:szCs w:val="20"/>
                <w:lang w:val="en-US"/>
              </w:rPr>
              <w:t>The categories to choose from are:</w:t>
            </w:r>
          </w:p>
          <w:p w14:paraId="15D5E2DE" w14:textId="207252E3" w:rsidR="00967D40" w:rsidRPr="00EC7C0A" w:rsidRDefault="00967D40" w:rsidP="004854E3">
            <w:pPr>
              <w:pStyle w:val="InstructionsText2"/>
              <w:numPr>
                <w:ilvl w:val="0"/>
                <w:numId w:val="84"/>
              </w:numPr>
              <w:rPr>
                <w:rFonts w:asciiTheme="minorHAnsi" w:hAnsiTheme="minorHAnsi"/>
                <w:sz w:val="20"/>
                <w:szCs w:val="20"/>
                <w:lang w:val="en-US"/>
              </w:rPr>
            </w:pPr>
            <w:r w:rsidRPr="00EC7C0A">
              <w:rPr>
                <w:rFonts w:asciiTheme="minorHAnsi" w:hAnsiTheme="minorHAnsi"/>
                <w:sz w:val="20"/>
                <w:szCs w:val="20"/>
                <w:lang w:val="en-US"/>
              </w:rPr>
              <w:t xml:space="preserve">Credit institutions </w:t>
            </w:r>
          </w:p>
          <w:p w14:paraId="496D1AF7" w14:textId="77777777" w:rsidR="00967D40" w:rsidRPr="00EC7C0A" w:rsidRDefault="00967D40" w:rsidP="004854E3">
            <w:pPr>
              <w:pStyle w:val="InstructionsText2"/>
              <w:numPr>
                <w:ilvl w:val="0"/>
                <w:numId w:val="84"/>
              </w:numPr>
              <w:rPr>
                <w:rFonts w:asciiTheme="minorHAnsi" w:hAnsiTheme="minorHAnsi"/>
                <w:sz w:val="20"/>
                <w:szCs w:val="20"/>
                <w:lang w:val="en-US"/>
              </w:rPr>
            </w:pPr>
            <w:r w:rsidRPr="00EC7C0A">
              <w:rPr>
                <w:rFonts w:asciiTheme="minorHAnsi" w:hAnsiTheme="minorHAnsi"/>
                <w:sz w:val="20"/>
                <w:szCs w:val="20"/>
                <w:lang w:val="en-US"/>
              </w:rPr>
              <w:t>Life insurance undertakings</w:t>
            </w:r>
          </w:p>
          <w:p w14:paraId="79B05808" w14:textId="77777777" w:rsidR="00967D40" w:rsidRPr="00EC7C0A" w:rsidRDefault="00967D40" w:rsidP="004854E3">
            <w:pPr>
              <w:pStyle w:val="InstructionsText2"/>
              <w:numPr>
                <w:ilvl w:val="0"/>
                <w:numId w:val="84"/>
              </w:numPr>
              <w:rPr>
                <w:rFonts w:asciiTheme="minorHAnsi" w:hAnsiTheme="minorHAnsi"/>
                <w:sz w:val="20"/>
                <w:szCs w:val="20"/>
                <w:lang w:val="en-US"/>
              </w:rPr>
            </w:pPr>
            <w:r w:rsidRPr="00EC7C0A">
              <w:rPr>
                <w:rFonts w:asciiTheme="minorHAnsi" w:hAnsiTheme="minorHAnsi"/>
                <w:sz w:val="20"/>
                <w:szCs w:val="20"/>
                <w:lang w:val="en-US"/>
              </w:rPr>
              <w:t>Life insurance intermediaries</w:t>
            </w:r>
          </w:p>
          <w:p w14:paraId="7D2E3718" w14:textId="77777777" w:rsidR="00967D40" w:rsidRPr="00EC7C0A" w:rsidRDefault="00967D40" w:rsidP="004854E3">
            <w:pPr>
              <w:pStyle w:val="InstructionsText2"/>
              <w:numPr>
                <w:ilvl w:val="0"/>
                <w:numId w:val="84"/>
              </w:numPr>
              <w:rPr>
                <w:rFonts w:asciiTheme="minorHAnsi" w:hAnsiTheme="minorHAnsi"/>
                <w:sz w:val="20"/>
                <w:szCs w:val="20"/>
                <w:lang w:val="en-US"/>
              </w:rPr>
            </w:pPr>
            <w:r w:rsidRPr="00EC7C0A">
              <w:rPr>
                <w:rFonts w:asciiTheme="minorHAnsi" w:hAnsiTheme="minorHAnsi"/>
                <w:sz w:val="20"/>
                <w:szCs w:val="20"/>
                <w:lang w:val="en-US"/>
              </w:rPr>
              <w:t>E money institutions</w:t>
            </w:r>
          </w:p>
          <w:p w14:paraId="71048E39" w14:textId="77777777" w:rsidR="00967D40" w:rsidRPr="00EC7C0A" w:rsidRDefault="00967D40" w:rsidP="004854E3">
            <w:pPr>
              <w:pStyle w:val="InstructionsText2"/>
              <w:numPr>
                <w:ilvl w:val="0"/>
                <w:numId w:val="84"/>
              </w:numPr>
              <w:rPr>
                <w:rFonts w:asciiTheme="minorHAnsi" w:hAnsiTheme="minorHAnsi"/>
                <w:sz w:val="20"/>
                <w:szCs w:val="20"/>
                <w:lang w:val="en-US"/>
              </w:rPr>
            </w:pPr>
            <w:r w:rsidRPr="00EC7C0A">
              <w:rPr>
                <w:rFonts w:asciiTheme="minorHAnsi" w:hAnsiTheme="minorHAnsi"/>
                <w:sz w:val="20"/>
                <w:szCs w:val="20"/>
                <w:lang w:val="en-US"/>
              </w:rPr>
              <w:t>Payment institutions</w:t>
            </w:r>
          </w:p>
          <w:p w14:paraId="56D1204F" w14:textId="77777777" w:rsidR="00967D40" w:rsidRPr="00EC7C0A" w:rsidRDefault="00967D40" w:rsidP="004854E3">
            <w:pPr>
              <w:pStyle w:val="InstructionsText2"/>
              <w:numPr>
                <w:ilvl w:val="0"/>
                <w:numId w:val="84"/>
              </w:numPr>
              <w:rPr>
                <w:rFonts w:asciiTheme="minorHAnsi" w:hAnsiTheme="minorHAnsi"/>
                <w:sz w:val="20"/>
                <w:szCs w:val="20"/>
                <w:lang w:val="en-US"/>
              </w:rPr>
            </w:pPr>
            <w:r w:rsidRPr="00EC7C0A">
              <w:rPr>
                <w:rFonts w:asciiTheme="minorHAnsi" w:hAnsiTheme="minorHAnsi"/>
                <w:sz w:val="20"/>
                <w:szCs w:val="20"/>
                <w:lang w:val="en-US"/>
              </w:rPr>
              <w:t>Bureau de change</w:t>
            </w:r>
          </w:p>
          <w:p w14:paraId="2FD15D6D" w14:textId="77777777" w:rsidR="00967D40" w:rsidRPr="00EC7C0A" w:rsidRDefault="00967D40" w:rsidP="004854E3">
            <w:pPr>
              <w:pStyle w:val="InstructionsText2"/>
              <w:numPr>
                <w:ilvl w:val="0"/>
                <w:numId w:val="84"/>
              </w:numPr>
              <w:rPr>
                <w:rFonts w:asciiTheme="minorHAnsi" w:hAnsiTheme="minorHAnsi"/>
                <w:sz w:val="20"/>
                <w:szCs w:val="20"/>
                <w:lang w:val="en-US"/>
              </w:rPr>
            </w:pPr>
            <w:r w:rsidRPr="00EC7C0A">
              <w:rPr>
                <w:rFonts w:asciiTheme="minorHAnsi" w:hAnsiTheme="minorHAnsi"/>
                <w:sz w:val="20"/>
                <w:szCs w:val="20"/>
                <w:lang w:val="en-US"/>
              </w:rPr>
              <w:t>Investment firms</w:t>
            </w:r>
          </w:p>
          <w:p w14:paraId="0DF9F990" w14:textId="77777777" w:rsidR="00967D40" w:rsidRPr="00EC7C0A" w:rsidRDefault="00967D40" w:rsidP="004854E3">
            <w:pPr>
              <w:pStyle w:val="InstructionsText2"/>
              <w:numPr>
                <w:ilvl w:val="0"/>
                <w:numId w:val="84"/>
              </w:numPr>
              <w:rPr>
                <w:rFonts w:asciiTheme="minorHAnsi" w:hAnsiTheme="minorHAnsi"/>
                <w:sz w:val="20"/>
                <w:szCs w:val="20"/>
                <w:lang w:val="en-US"/>
              </w:rPr>
            </w:pPr>
            <w:r w:rsidRPr="00EC7C0A">
              <w:rPr>
                <w:rFonts w:asciiTheme="minorHAnsi" w:hAnsiTheme="minorHAnsi"/>
                <w:sz w:val="20"/>
                <w:szCs w:val="20"/>
                <w:lang w:val="en-US"/>
              </w:rPr>
              <w:t>Asset management companies</w:t>
            </w:r>
          </w:p>
          <w:p w14:paraId="49E7D06B" w14:textId="5A5CCF35" w:rsidR="00967D40" w:rsidRPr="00EC7C0A" w:rsidRDefault="00967D40" w:rsidP="004854E3">
            <w:pPr>
              <w:pStyle w:val="InstructionsText2"/>
              <w:numPr>
                <w:ilvl w:val="0"/>
                <w:numId w:val="84"/>
              </w:numPr>
              <w:rPr>
                <w:rFonts w:asciiTheme="minorHAnsi" w:hAnsiTheme="minorHAnsi"/>
                <w:sz w:val="20"/>
                <w:szCs w:val="20"/>
                <w:lang w:val="en-US"/>
              </w:rPr>
            </w:pPr>
            <w:r w:rsidRPr="00EC7C0A">
              <w:rPr>
                <w:rFonts w:asciiTheme="minorHAnsi" w:hAnsiTheme="minorHAnsi"/>
                <w:sz w:val="20"/>
                <w:szCs w:val="20"/>
                <w:lang w:val="en-US"/>
              </w:rPr>
              <w:t>CASP</w:t>
            </w:r>
          </w:p>
          <w:p w14:paraId="19833B46" w14:textId="27B888DA" w:rsidR="00967D40" w:rsidRPr="00EC7C0A" w:rsidRDefault="00967D40" w:rsidP="004854E3">
            <w:pPr>
              <w:pStyle w:val="InstructionsText2"/>
              <w:numPr>
                <w:ilvl w:val="0"/>
                <w:numId w:val="84"/>
              </w:numPr>
              <w:rPr>
                <w:rFonts w:asciiTheme="minorHAnsi" w:hAnsiTheme="minorHAnsi"/>
                <w:sz w:val="20"/>
                <w:szCs w:val="20"/>
                <w:lang w:val="en-US"/>
              </w:rPr>
            </w:pPr>
            <w:r w:rsidRPr="00EC7C0A">
              <w:rPr>
                <w:rFonts w:asciiTheme="minorHAnsi" w:hAnsiTheme="minorHAnsi"/>
                <w:sz w:val="20"/>
                <w:szCs w:val="20"/>
                <w:lang w:val="en-US"/>
              </w:rPr>
              <w:t>Other financial institutions</w:t>
            </w:r>
          </w:p>
        </w:tc>
      </w:tr>
      <w:tr w:rsidR="00A10CBD" w:rsidRPr="009B282E" w14:paraId="6947DF22" w14:textId="77777777" w:rsidTr="00B719EF">
        <w:tc>
          <w:tcPr>
            <w:tcW w:w="1673" w:type="dxa"/>
            <w:tcBorders>
              <w:top w:val="single" w:sz="4" w:space="0" w:color="auto"/>
              <w:left w:val="single" w:sz="4" w:space="0" w:color="auto"/>
              <w:bottom w:val="single" w:sz="4" w:space="0" w:color="auto"/>
              <w:right w:val="single" w:sz="4" w:space="0" w:color="auto"/>
            </w:tcBorders>
          </w:tcPr>
          <w:p w14:paraId="7F18050D" w14:textId="2FC5A624" w:rsidR="00F50A42" w:rsidRPr="00B327D8" w:rsidRDefault="000021F2" w:rsidP="00F32516">
            <w:pPr>
              <w:pStyle w:val="InstructionsText"/>
              <w:rPr>
                <w:rStyle w:val="FormatvorlageInstructionsTabelleText"/>
                <w:rFonts w:asciiTheme="minorHAnsi" w:hAnsiTheme="minorHAnsi"/>
              </w:rPr>
            </w:pPr>
            <w:r>
              <w:rPr>
                <w:rStyle w:val="FormatvorlageInstructionsTabelleText"/>
                <w:rFonts w:asciiTheme="minorHAnsi" w:hAnsiTheme="minorHAnsi"/>
              </w:rPr>
              <w:t>C0060</w:t>
            </w:r>
          </w:p>
        </w:tc>
        <w:tc>
          <w:tcPr>
            <w:tcW w:w="7616" w:type="dxa"/>
            <w:tcBorders>
              <w:top w:val="nil"/>
              <w:left w:val="single" w:sz="4" w:space="0" w:color="000000" w:themeColor="text1"/>
              <w:bottom w:val="single" w:sz="4" w:space="0" w:color="auto"/>
              <w:right w:val="single" w:sz="4" w:space="0" w:color="000000" w:themeColor="text1"/>
            </w:tcBorders>
            <w:shd w:val="clear" w:color="auto" w:fill="FFFFFF" w:themeFill="background1"/>
            <w:vAlign w:val="center"/>
          </w:tcPr>
          <w:p w14:paraId="36ABBAE5" w14:textId="7B0915FB" w:rsidR="00F50A42" w:rsidRDefault="00FD5476" w:rsidP="00CF0F6F">
            <w:pPr>
              <w:pStyle w:val="InstructionsText2"/>
              <w:rPr>
                <w:rFonts w:ascii="Aptos" w:hAnsi="Aptos"/>
                <w:b/>
                <w:sz w:val="20"/>
                <w:szCs w:val="20"/>
                <w:u w:val="single"/>
                <w:lang w:val="en-US"/>
              </w:rPr>
            </w:pPr>
            <w:r w:rsidRPr="00FD5476">
              <w:rPr>
                <w:rFonts w:ascii="Aptos" w:hAnsi="Aptos"/>
                <w:b/>
                <w:sz w:val="20"/>
                <w:szCs w:val="20"/>
                <w:u w:val="single"/>
                <w:lang w:val="en-US"/>
              </w:rPr>
              <w:t xml:space="preserve">Entity Type </w:t>
            </w:r>
            <w:r w:rsidR="002145B7">
              <w:rPr>
                <w:rFonts w:ascii="Aptos" w:hAnsi="Aptos"/>
                <w:b/>
                <w:sz w:val="20"/>
                <w:szCs w:val="20"/>
                <w:u w:val="single"/>
                <w:lang w:val="en-US"/>
              </w:rPr>
              <w:t>–</w:t>
            </w:r>
            <w:r w:rsidRPr="00FD5476">
              <w:rPr>
                <w:rFonts w:ascii="Aptos" w:hAnsi="Aptos"/>
                <w:b/>
                <w:sz w:val="20"/>
                <w:szCs w:val="20"/>
                <w:u w:val="single"/>
                <w:lang w:val="en-US"/>
              </w:rPr>
              <w:t xml:space="preserve"> Description for</w:t>
            </w:r>
            <w:r w:rsidR="00BD14C7">
              <w:rPr>
                <w:rFonts w:ascii="Aptos" w:hAnsi="Aptos"/>
                <w:b/>
                <w:sz w:val="20"/>
                <w:szCs w:val="20"/>
                <w:u w:val="single"/>
                <w:lang w:val="en-US"/>
              </w:rPr>
              <w:t xml:space="preserve"> O</w:t>
            </w:r>
            <w:r w:rsidR="002145B7">
              <w:rPr>
                <w:rFonts w:ascii="Aptos" w:hAnsi="Aptos"/>
                <w:b/>
                <w:sz w:val="20"/>
                <w:szCs w:val="20"/>
                <w:u w:val="single"/>
                <w:lang w:val="en-US"/>
              </w:rPr>
              <w:t xml:space="preserve">ther </w:t>
            </w:r>
            <w:r w:rsidR="003376F1">
              <w:rPr>
                <w:rFonts w:ascii="Aptos" w:hAnsi="Aptos"/>
                <w:b/>
                <w:sz w:val="20"/>
                <w:szCs w:val="20"/>
                <w:u w:val="single"/>
                <w:lang w:val="en-US"/>
              </w:rPr>
              <w:t>FI</w:t>
            </w:r>
            <w:r w:rsidRPr="00FD5476">
              <w:rPr>
                <w:rFonts w:ascii="Aptos" w:hAnsi="Aptos"/>
                <w:b/>
                <w:sz w:val="20"/>
                <w:szCs w:val="20"/>
                <w:u w:val="single"/>
                <w:lang w:val="en-US"/>
              </w:rPr>
              <w:t xml:space="preserve"> </w:t>
            </w:r>
          </w:p>
          <w:p w14:paraId="5786CBDE" w14:textId="1E227D3E" w:rsidR="00F50A42" w:rsidRPr="006646C3" w:rsidRDefault="003469DD" w:rsidP="00CF0F6F">
            <w:pPr>
              <w:pStyle w:val="InstructionsText2"/>
              <w:rPr>
                <w:rFonts w:ascii="Aptos" w:hAnsi="Aptos"/>
                <w:b/>
                <w:sz w:val="20"/>
                <w:szCs w:val="20"/>
                <w:u w:val="single"/>
                <w:lang w:val="en-US"/>
              </w:rPr>
            </w:pPr>
            <w:r>
              <w:rPr>
                <w:rFonts w:ascii="Aptos" w:hAnsi="Aptos"/>
                <w:bCs/>
                <w:sz w:val="20"/>
                <w:szCs w:val="20"/>
                <w:lang w:val="en-US"/>
              </w:rPr>
              <w:t>In case the</w:t>
            </w:r>
            <w:r w:rsidR="009E77B3">
              <w:rPr>
                <w:rFonts w:ascii="Aptos" w:hAnsi="Aptos"/>
                <w:bCs/>
                <w:sz w:val="20"/>
                <w:szCs w:val="20"/>
                <w:lang w:val="en-US"/>
              </w:rPr>
              <w:t xml:space="preserve"> reporting entity does not fit into any of the above categories</w:t>
            </w:r>
            <w:r w:rsidR="00BD14C7">
              <w:rPr>
                <w:rFonts w:ascii="Aptos" w:hAnsi="Aptos"/>
                <w:bCs/>
                <w:sz w:val="20"/>
                <w:szCs w:val="20"/>
                <w:lang w:val="en-US"/>
              </w:rPr>
              <w:t xml:space="preserve"> and has chosen “other”</w:t>
            </w:r>
            <w:r>
              <w:rPr>
                <w:rFonts w:ascii="Aptos" w:hAnsi="Aptos"/>
                <w:bCs/>
                <w:sz w:val="20"/>
                <w:szCs w:val="20"/>
                <w:lang w:val="en-US"/>
              </w:rPr>
              <w:t xml:space="preserve">, please </w:t>
            </w:r>
            <w:r w:rsidR="009E77B3">
              <w:rPr>
                <w:rFonts w:ascii="Aptos" w:hAnsi="Aptos"/>
                <w:bCs/>
                <w:sz w:val="20"/>
                <w:szCs w:val="20"/>
                <w:lang w:val="en-US"/>
              </w:rPr>
              <w:t>use</w:t>
            </w:r>
            <w:r>
              <w:rPr>
                <w:rFonts w:ascii="Aptos" w:hAnsi="Aptos"/>
                <w:bCs/>
                <w:sz w:val="20"/>
                <w:szCs w:val="20"/>
                <w:lang w:val="en-US"/>
              </w:rPr>
              <w:t xml:space="preserve"> </w:t>
            </w:r>
            <w:r w:rsidR="009E77B3">
              <w:rPr>
                <w:rFonts w:ascii="Aptos" w:hAnsi="Aptos"/>
                <w:bCs/>
                <w:sz w:val="20"/>
                <w:szCs w:val="20"/>
                <w:lang w:val="en-US"/>
              </w:rPr>
              <w:t>this column to provide</w:t>
            </w:r>
            <w:r>
              <w:rPr>
                <w:rFonts w:ascii="Aptos" w:hAnsi="Aptos"/>
                <w:bCs/>
                <w:sz w:val="20"/>
                <w:szCs w:val="20"/>
                <w:lang w:val="en-US"/>
              </w:rPr>
              <w:t xml:space="preserve"> a description of the</w:t>
            </w:r>
            <w:r w:rsidR="00BF0A0F">
              <w:rPr>
                <w:rFonts w:ascii="Aptos" w:hAnsi="Aptos"/>
                <w:bCs/>
                <w:sz w:val="20"/>
                <w:szCs w:val="20"/>
                <w:lang w:val="en-US"/>
              </w:rPr>
              <w:t xml:space="preserve"> relevant</w:t>
            </w:r>
            <w:r>
              <w:rPr>
                <w:rFonts w:ascii="Aptos" w:hAnsi="Aptos"/>
                <w:bCs/>
                <w:sz w:val="20"/>
                <w:szCs w:val="20"/>
                <w:lang w:val="en-US"/>
              </w:rPr>
              <w:t xml:space="preserve"> regulated/supervised activity.</w:t>
            </w:r>
          </w:p>
        </w:tc>
      </w:tr>
      <w:tr w:rsidR="00A10CBD" w:rsidRPr="009B282E" w14:paraId="2F3A2BBF" w14:textId="77777777" w:rsidTr="00B719EF">
        <w:tc>
          <w:tcPr>
            <w:tcW w:w="1673" w:type="dxa"/>
            <w:tcBorders>
              <w:top w:val="single" w:sz="4" w:space="0" w:color="auto"/>
              <w:left w:val="single" w:sz="4" w:space="0" w:color="auto"/>
              <w:bottom w:val="single" w:sz="4" w:space="0" w:color="auto"/>
              <w:right w:val="single" w:sz="4" w:space="0" w:color="auto"/>
            </w:tcBorders>
          </w:tcPr>
          <w:p w14:paraId="50EB7840" w14:textId="3E524019" w:rsidR="00CF0F6F" w:rsidRPr="00B327D8" w:rsidRDefault="003E4C62" w:rsidP="00F32516">
            <w:pPr>
              <w:pStyle w:val="InstructionsText"/>
              <w:rPr>
                <w:rStyle w:val="FormatvorlageInstructionsTabelleText"/>
                <w:rFonts w:asciiTheme="minorHAnsi" w:hAnsiTheme="minorHAnsi"/>
              </w:rPr>
            </w:pPr>
            <w:r w:rsidRPr="00B327D8">
              <w:rPr>
                <w:rStyle w:val="FormatvorlageInstructionsTabelleText"/>
                <w:rFonts w:asciiTheme="minorHAnsi" w:hAnsiTheme="minorHAnsi"/>
              </w:rPr>
              <w:t>C00</w:t>
            </w:r>
            <w:r w:rsidR="000021F2">
              <w:rPr>
                <w:rStyle w:val="FormatvorlageInstructionsTabelleText"/>
                <w:rFonts w:asciiTheme="minorHAnsi" w:hAnsiTheme="minorHAnsi"/>
              </w:rPr>
              <w:t>7</w:t>
            </w:r>
            <w:r w:rsidRPr="00B327D8">
              <w:rPr>
                <w:rStyle w:val="FormatvorlageInstructionsTabelleText"/>
                <w:rFonts w:asciiTheme="minorHAnsi" w:hAnsiTheme="minorHAnsi"/>
              </w:rPr>
              <w:t>0</w:t>
            </w:r>
          </w:p>
        </w:tc>
        <w:tc>
          <w:tcPr>
            <w:tcW w:w="7616" w:type="dxa"/>
            <w:tcBorders>
              <w:top w:val="nil"/>
              <w:left w:val="single" w:sz="4" w:space="0" w:color="000000" w:themeColor="text1"/>
              <w:bottom w:val="single" w:sz="4" w:space="0" w:color="auto"/>
              <w:right w:val="single" w:sz="4" w:space="0" w:color="000000" w:themeColor="text1"/>
            </w:tcBorders>
            <w:shd w:val="clear" w:color="auto" w:fill="FFFFFF" w:themeFill="background1"/>
            <w:vAlign w:val="center"/>
          </w:tcPr>
          <w:p w14:paraId="30C69488" w14:textId="77777777" w:rsidR="00491899" w:rsidRDefault="00491899" w:rsidP="00CF0F6F">
            <w:pPr>
              <w:pStyle w:val="InstructionsText2"/>
              <w:rPr>
                <w:rFonts w:asciiTheme="minorHAnsi" w:hAnsiTheme="minorHAnsi"/>
                <w:sz w:val="20"/>
                <w:szCs w:val="20"/>
                <w:lang w:val="en-US"/>
              </w:rPr>
            </w:pPr>
            <w:r w:rsidRPr="006646C3">
              <w:rPr>
                <w:rFonts w:ascii="Aptos" w:hAnsi="Aptos"/>
                <w:b/>
                <w:sz w:val="20"/>
                <w:szCs w:val="20"/>
                <w:u w:val="single"/>
                <w:lang w:val="en-US"/>
              </w:rPr>
              <w:t>Country of Establishment</w:t>
            </w:r>
          </w:p>
          <w:p w14:paraId="74710783" w14:textId="4E3F10E9" w:rsidR="002F5ABD" w:rsidRPr="00EC7C0A" w:rsidRDefault="0032630D" w:rsidP="00CF0F6F">
            <w:pPr>
              <w:pStyle w:val="InstructionsText2"/>
              <w:rPr>
                <w:rFonts w:asciiTheme="minorHAnsi" w:hAnsiTheme="minorHAnsi"/>
                <w:sz w:val="20"/>
                <w:szCs w:val="20"/>
                <w:lang w:val="en-US"/>
              </w:rPr>
            </w:pPr>
            <w:r w:rsidRPr="00EC7C0A">
              <w:rPr>
                <w:rFonts w:asciiTheme="minorHAnsi" w:hAnsiTheme="minorHAnsi"/>
                <w:sz w:val="20"/>
                <w:szCs w:val="20"/>
                <w:lang w:val="en-US"/>
              </w:rPr>
              <w:t>Country where the</w:t>
            </w:r>
            <w:r w:rsidR="00E40494">
              <w:rPr>
                <w:rFonts w:asciiTheme="minorHAnsi" w:hAnsiTheme="minorHAnsi"/>
                <w:sz w:val="20"/>
                <w:szCs w:val="20"/>
                <w:lang w:val="en-US"/>
              </w:rPr>
              <w:t xml:space="preserve"> reporting </w:t>
            </w:r>
            <w:r w:rsidRPr="00EC7C0A">
              <w:rPr>
                <w:rFonts w:asciiTheme="minorHAnsi" w:hAnsiTheme="minorHAnsi"/>
                <w:sz w:val="20"/>
                <w:szCs w:val="20"/>
                <w:lang w:val="en-US"/>
              </w:rPr>
              <w:t>entity is established</w:t>
            </w:r>
            <w:r w:rsidR="00273E91">
              <w:rPr>
                <w:rFonts w:asciiTheme="minorHAnsi" w:hAnsiTheme="minorHAnsi"/>
                <w:sz w:val="20"/>
                <w:szCs w:val="20"/>
                <w:lang w:val="en-US"/>
              </w:rPr>
              <w:t>. For</w:t>
            </w:r>
            <w:r w:rsidR="00B66CB2">
              <w:rPr>
                <w:rFonts w:asciiTheme="minorHAnsi" w:hAnsiTheme="minorHAnsi"/>
                <w:sz w:val="20"/>
                <w:szCs w:val="20"/>
                <w:lang w:val="en-US"/>
              </w:rPr>
              <w:t xml:space="preserve"> reporting</w:t>
            </w:r>
            <w:r w:rsidR="00273E91">
              <w:rPr>
                <w:rFonts w:asciiTheme="minorHAnsi" w:hAnsiTheme="minorHAnsi"/>
                <w:sz w:val="20"/>
                <w:szCs w:val="20"/>
                <w:lang w:val="en-US"/>
              </w:rPr>
              <w:t xml:space="preserve"> branches</w:t>
            </w:r>
            <w:r w:rsidR="00511C4E">
              <w:rPr>
                <w:rFonts w:asciiTheme="minorHAnsi" w:hAnsiTheme="minorHAnsi"/>
                <w:sz w:val="20"/>
                <w:szCs w:val="20"/>
                <w:lang w:val="en-US"/>
              </w:rPr>
              <w:t xml:space="preserve">, this is the country where the branch is established </w:t>
            </w:r>
            <w:r w:rsidR="00B66CB2">
              <w:rPr>
                <w:rFonts w:asciiTheme="minorHAnsi" w:hAnsiTheme="minorHAnsi"/>
                <w:sz w:val="20"/>
                <w:szCs w:val="20"/>
                <w:lang w:val="en-US"/>
              </w:rPr>
              <w:t>(</w:t>
            </w:r>
            <w:r w:rsidR="00A00D83">
              <w:rPr>
                <w:rFonts w:asciiTheme="minorHAnsi" w:hAnsiTheme="minorHAnsi"/>
                <w:sz w:val="20"/>
                <w:szCs w:val="20"/>
                <w:lang w:val="en-US"/>
              </w:rPr>
              <w:t>in opposition to the country where</w:t>
            </w:r>
            <w:r w:rsidR="00B66CB2">
              <w:rPr>
                <w:rFonts w:asciiTheme="minorHAnsi" w:hAnsiTheme="minorHAnsi"/>
                <w:sz w:val="20"/>
                <w:szCs w:val="20"/>
                <w:lang w:val="en-US"/>
              </w:rPr>
              <w:t xml:space="preserve"> head</w:t>
            </w:r>
            <w:r w:rsidR="00B646D2">
              <w:rPr>
                <w:rFonts w:asciiTheme="minorHAnsi" w:hAnsiTheme="minorHAnsi"/>
                <w:sz w:val="20"/>
                <w:szCs w:val="20"/>
                <w:lang w:val="en-US"/>
              </w:rPr>
              <w:t>-</w:t>
            </w:r>
            <w:r w:rsidR="00B66CB2">
              <w:rPr>
                <w:rFonts w:asciiTheme="minorHAnsi" w:hAnsiTheme="minorHAnsi"/>
                <w:sz w:val="20"/>
                <w:szCs w:val="20"/>
                <w:lang w:val="en-US"/>
              </w:rPr>
              <w:t>office</w:t>
            </w:r>
            <w:r w:rsidR="00A00D83">
              <w:rPr>
                <w:rFonts w:asciiTheme="minorHAnsi" w:hAnsiTheme="minorHAnsi"/>
                <w:sz w:val="20"/>
                <w:szCs w:val="20"/>
                <w:lang w:val="en-US"/>
              </w:rPr>
              <w:t xml:space="preserve"> is established</w:t>
            </w:r>
            <w:r w:rsidR="00B66CB2">
              <w:rPr>
                <w:rFonts w:asciiTheme="minorHAnsi" w:hAnsiTheme="minorHAnsi"/>
                <w:sz w:val="20"/>
                <w:szCs w:val="20"/>
                <w:lang w:val="en-US"/>
              </w:rPr>
              <w:t>).</w:t>
            </w:r>
          </w:p>
        </w:tc>
      </w:tr>
      <w:tr w:rsidR="00A10CBD" w:rsidRPr="009B282E" w14:paraId="776E2027" w14:textId="77777777" w:rsidTr="00B719EF">
        <w:tc>
          <w:tcPr>
            <w:tcW w:w="1673" w:type="dxa"/>
            <w:tcBorders>
              <w:top w:val="single" w:sz="4" w:space="0" w:color="auto"/>
              <w:left w:val="single" w:sz="4" w:space="0" w:color="auto"/>
              <w:bottom w:val="single" w:sz="4" w:space="0" w:color="auto"/>
              <w:right w:val="single" w:sz="4" w:space="0" w:color="auto"/>
            </w:tcBorders>
          </w:tcPr>
          <w:p w14:paraId="489F6494" w14:textId="5375DF97" w:rsidR="00B719EF" w:rsidRPr="00B327D8" w:rsidRDefault="00B719EF" w:rsidP="00F32516">
            <w:pPr>
              <w:pStyle w:val="InstructionsText"/>
              <w:rPr>
                <w:rStyle w:val="FormatvorlageInstructionsTabelleText"/>
                <w:rFonts w:asciiTheme="minorHAnsi" w:hAnsiTheme="minorHAnsi"/>
              </w:rPr>
            </w:pPr>
            <w:r>
              <w:rPr>
                <w:rStyle w:val="FormatvorlageInstructionsTabelleText"/>
                <w:rFonts w:asciiTheme="minorHAnsi" w:hAnsiTheme="minorHAnsi"/>
              </w:rPr>
              <w:t>C00</w:t>
            </w:r>
            <w:r w:rsidR="000021F2">
              <w:rPr>
                <w:rStyle w:val="FormatvorlageInstructionsTabelleText"/>
                <w:rFonts w:asciiTheme="minorHAnsi" w:hAnsiTheme="minorHAnsi"/>
              </w:rPr>
              <w:t>8</w:t>
            </w:r>
            <w:r>
              <w:rPr>
                <w:rStyle w:val="FormatvorlageInstructionsTabelleText"/>
                <w:rFonts w:asciiTheme="minorHAnsi" w:hAnsiTheme="minorHAnsi"/>
              </w:rPr>
              <w:t>0</w:t>
            </w:r>
          </w:p>
        </w:tc>
        <w:tc>
          <w:tcPr>
            <w:tcW w:w="7616"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3810A95" w14:textId="0DACAF8A" w:rsidR="00491899" w:rsidRDefault="00B06D09" w:rsidP="00CF0F6F">
            <w:pPr>
              <w:pStyle w:val="InstructionsText2"/>
              <w:rPr>
                <w:rFonts w:asciiTheme="minorHAnsi" w:hAnsiTheme="minorHAnsi"/>
                <w:b/>
                <w:bCs/>
                <w:sz w:val="20"/>
                <w:szCs w:val="20"/>
                <w:u w:val="single"/>
                <w:lang w:val="en-US"/>
              </w:rPr>
            </w:pPr>
            <w:r>
              <w:rPr>
                <w:rFonts w:asciiTheme="minorHAnsi" w:hAnsiTheme="minorHAnsi"/>
                <w:b/>
                <w:bCs/>
                <w:sz w:val="20"/>
                <w:szCs w:val="20"/>
                <w:u w:val="single"/>
                <w:lang w:val="en-US"/>
              </w:rPr>
              <w:t>Currency of reporting</w:t>
            </w:r>
          </w:p>
          <w:p w14:paraId="25E2589C" w14:textId="1816ADC1" w:rsidR="00B719EF" w:rsidRPr="00B327D8" w:rsidRDefault="00491899" w:rsidP="00F8062A">
            <w:pPr>
              <w:pStyle w:val="InstructionsText2"/>
              <w:rPr>
                <w:rFonts w:asciiTheme="minorHAnsi" w:hAnsiTheme="minorHAnsi"/>
                <w:b/>
                <w:bCs/>
                <w:sz w:val="20"/>
                <w:szCs w:val="20"/>
                <w:u w:val="single"/>
                <w:lang w:val="en-US"/>
              </w:rPr>
            </w:pPr>
            <w:r w:rsidRPr="00DE0F1D">
              <w:rPr>
                <w:rFonts w:asciiTheme="minorHAnsi" w:hAnsiTheme="minorHAnsi"/>
                <w:sz w:val="20"/>
                <w:szCs w:val="20"/>
                <w:lang w:val="en-US"/>
              </w:rPr>
              <w:t xml:space="preserve">Currency used for the reporting of all monetary values across this and all subsequent templates. All values in monetary columns must be converted to this currency if </w:t>
            </w:r>
            <w:r w:rsidR="00124A3A" w:rsidRPr="00DE0F1D">
              <w:rPr>
                <w:rFonts w:asciiTheme="minorHAnsi" w:hAnsiTheme="minorHAnsi"/>
                <w:sz w:val="20"/>
                <w:szCs w:val="20"/>
                <w:lang w:val="en-US"/>
              </w:rPr>
              <w:t>they are denominated</w:t>
            </w:r>
            <w:r w:rsidRPr="00DE0F1D">
              <w:rPr>
                <w:rFonts w:asciiTheme="minorHAnsi" w:hAnsiTheme="minorHAnsi"/>
                <w:sz w:val="20"/>
                <w:szCs w:val="20"/>
                <w:lang w:val="en-US"/>
              </w:rPr>
              <w:t xml:space="preserve"> in a different currency.</w:t>
            </w:r>
            <w:r w:rsidR="00124A3A" w:rsidRPr="00DE0F1D">
              <w:rPr>
                <w:rFonts w:asciiTheme="minorHAnsi" w:hAnsiTheme="minorHAnsi"/>
                <w:sz w:val="20"/>
                <w:szCs w:val="20"/>
                <w:lang w:val="en-US"/>
              </w:rPr>
              <w:t xml:space="preserve"> </w:t>
            </w:r>
          </w:p>
        </w:tc>
      </w:tr>
    </w:tbl>
    <w:p w14:paraId="05DA73D5" w14:textId="25D684B2" w:rsidR="00773391" w:rsidRPr="00EC7C0A" w:rsidRDefault="00773391" w:rsidP="00773391">
      <w:pPr>
        <w:rPr>
          <w:rFonts w:asciiTheme="minorHAnsi" w:hAnsiTheme="minorHAnsi"/>
        </w:rPr>
      </w:pPr>
    </w:p>
    <w:p w14:paraId="5ADE661C" w14:textId="6FAAA2C3" w:rsidR="005E052E" w:rsidRPr="00EC7C0A" w:rsidRDefault="003E105D" w:rsidP="005E052E">
      <w:pPr>
        <w:rPr>
          <w:rFonts w:asciiTheme="minorHAnsi" w:hAnsiTheme="minorHAnsi"/>
        </w:rPr>
      </w:pPr>
      <w:r w:rsidRPr="00EC7C0A">
        <w:rPr>
          <w:rFonts w:asciiTheme="minorHAnsi" w:hAnsiTheme="minorHAnsi"/>
        </w:rPr>
        <w:t xml:space="preserve">Content </w:t>
      </w:r>
      <w:r w:rsidR="00585D7B" w:rsidRPr="00EC7C0A">
        <w:rPr>
          <w:rFonts w:asciiTheme="minorHAnsi" w:hAnsiTheme="minorHAnsi"/>
        </w:rPr>
        <w:t xml:space="preserve">Template </w:t>
      </w:r>
      <w:r w:rsidRPr="00EC7C0A">
        <w:rPr>
          <w:rFonts w:asciiTheme="minorHAnsi" w:hAnsiTheme="minorHAnsi"/>
        </w:rPr>
        <w:t xml:space="preserve">- </w:t>
      </w:r>
      <w:r w:rsidR="005E052E" w:rsidRPr="00EC7C0A">
        <w:rPr>
          <w:rFonts w:asciiTheme="minorHAnsi" w:hAnsiTheme="minorHAnsi"/>
        </w:rPr>
        <w:t xml:space="preserve">Products </w:t>
      </w:r>
      <w:r w:rsidR="00FD54A5" w:rsidRPr="00EC7C0A">
        <w:rPr>
          <w:rFonts w:asciiTheme="minorHAnsi" w:hAnsiTheme="minorHAnsi"/>
        </w:rPr>
        <w:t xml:space="preserve">and Services </w:t>
      </w:r>
      <w:r w:rsidR="005E052E" w:rsidRPr="00EC7C0A">
        <w:rPr>
          <w:rFonts w:asciiTheme="minorHAnsi" w:hAnsiTheme="minorHAnsi"/>
        </w:rPr>
        <w:t>Offered</w:t>
      </w:r>
    </w:p>
    <w:tbl>
      <w:tblPr>
        <w:tblW w:w="92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3"/>
        <w:gridCol w:w="7616"/>
      </w:tblGrid>
      <w:tr w:rsidR="005E211E" w:rsidRPr="009B282E" w14:paraId="665E019D" w14:textId="77777777">
        <w:tc>
          <w:tcPr>
            <w:tcW w:w="16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002EFE" w14:textId="77777777" w:rsidR="005E052E" w:rsidRPr="009275BC" w:rsidRDefault="005E052E" w:rsidP="00F32516">
            <w:pPr>
              <w:pStyle w:val="InstructionsText"/>
              <w:rPr>
                <w:rStyle w:val="InstructionsTabelleText"/>
                <w:rFonts w:asciiTheme="minorHAnsi" w:hAnsiTheme="minorHAnsi"/>
                <w:bCs w:val="0"/>
                <w:lang w:eastAsia="en-US"/>
              </w:rPr>
            </w:pPr>
            <w:r w:rsidRPr="009275BC">
              <w:rPr>
                <w:rStyle w:val="InstructionsTabelleText"/>
                <w:rFonts w:asciiTheme="minorHAnsi" w:hAnsiTheme="minorHAnsi"/>
              </w:rPr>
              <w:t>Column code</w:t>
            </w:r>
          </w:p>
        </w:tc>
        <w:tc>
          <w:tcPr>
            <w:tcW w:w="76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17928E" w14:textId="77777777" w:rsidR="005E052E" w:rsidRPr="009275BC" w:rsidRDefault="005E052E" w:rsidP="00F32516">
            <w:pPr>
              <w:pStyle w:val="InstructionsText"/>
              <w:rPr>
                <w:rStyle w:val="InstructionsTabelleText"/>
                <w:rFonts w:asciiTheme="minorHAnsi" w:hAnsiTheme="minorHAnsi"/>
                <w:bCs w:val="0"/>
                <w:lang w:eastAsia="en-US"/>
              </w:rPr>
            </w:pPr>
            <w:r w:rsidRPr="009275BC">
              <w:rPr>
                <w:rStyle w:val="InstructionsTabelleText"/>
                <w:rFonts w:asciiTheme="minorHAnsi" w:hAnsiTheme="minorHAnsi"/>
              </w:rPr>
              <w:t>Legal references and instructions</w:t>
            </w:r>
          </w:p>
        </w:tc>
      </w:tr>
      <w:tr w:rsidR="00A10CBD" w:rsidRPr="00327997" w14:paraId="2C9E5F1F" w14:textId="77777777">
        <w:tc>
          <w:tcPr>
            <w:tcW w:w="1673" w:type="dxa"/>
            <w:tcBorders>
              <w:top w:val="single" w:sz="4" w:space="0" w:color="auto"/>
              <w:left w:val="single" w:sz="4" w:space="0" w:color="auto"/>
              <w:bottom w:val="single" w:sz="4" w:space="0" w:color="auto"/>
              <w:right w:val="single" w:sz="4" w:space="0" w:color="auto"/>
            </w:tcBorders>
          </w:tcPr>
          <w:p w14:paraId="3F70CE6F" w14:textId="52684F8E" w:rsidR="001C7D15" w:rsidRPr="00B327D8" w:rsidRDefault="001C7D15" w:rsidP="00F32516">
            <w:pPr>
              <w:pStyle w:val="InstructionsText"/>
              <w:rPr>
                <w:rStyle w:val="FormatvorlageInstructionsTabelleText"/>
                <w:rFonts w:asciiTheme="minorHAnsi" w:hAnsiTheme="minorHAnsi"/>
              </w:rPr>
            </w:pPr>
            <w:r w:rsidRPr="00320966">
              <w:t>C00</w:t>
            </w:r>
            <w:r w:rsidR="007A10B9">
              <w:t>90</w:t>
            </w:r>
          </w:p>
        </w:tc>
        <w:tc>
          <w:tcPr>
            <w:tcW w:w="76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4A57BAC" w14:textId="77777777" w:rsidR="00491899" w:rsidRPr="007B4137" w:rsidRDefault="00491899" w:rsidP="001C7D15">
            <w:pPr>
              <w:pStyle w:val="InstructionsText2"/>
              <w:rPr>
                <w:rFonts w:asciiTheme="minorHAnsi" w:eastAsia="Verdana" w:hAnsiTheme="minorHAnsi" w:cs="Verdana"/>
                <w:b/>
                <w:bCs/>
                <w:sz w:val="20"/>
                <w:szCs w:val="20"/>
                <w:u w:val="single"/>
                <w:lang w:val="en-US"/>
              </w:rPr>
            </w:pPr>
            <w:r w:rsidRPr="00442B81">
              <w:rPr>
                <w:rFonts w:ascii="Aptos" w:eastAsia="Verdana" w:hAnsi="Aptos" w:cs="Verdana"/>
                <w:b/>
                <w:bCs/>
                <w:sz w:val="20"/>
                <w:szCs w:val="20"/>
                <w:lang w:val="en-US"/>
              </w:rPr>
              <w:t>Payment Accounts</w:t>
            </w:r>
          </w:p>
          <w:p w14:paraId="00392DCA" w14:textId="4A7F85FE" w:rsidR="001C7D15" w:rsidRPr="00B327D8" w:rsidRDefault="00491899" w:rsidP="000E62F3">
            <w:pPr>
              <w:pStyle w:val="InstructionsText2"/>
              <w:rPr>
                <w:rFonts w:asciiTheme="minorHAnsi" w:eastAsia="Verdana" w:hAnsiTheme="minorHAnsi" w:cs="Verdana"/>
                <w:sz w:val="20"/>
                <w:szCs w:val="20"/>
                <w:lang w:val="en-US"/>
              </w:rPr>
            </w:pPr>
            <w:r>
              <w:rPr>
                <w:rFonts w:asciiTheme="minorHAnsi" w:eastAsia="Verdana" w:hAnsiTheme="minorHAnsi" w:cs="Verdana"/>
                <w:sz w:val="20"/>
                <w:szCs w:val="20"/>
                <w:lang w:val="en-US"/>
              </w:rPr>
              <w:t>Indicate whether the entity offered payment accounts at any point during the reference year. This is a binary flag (Yes/No) to determine the scope of subsequent reporting tables.</w:t>
            </w:r>
          </w:p>
        </w:tc>
      </w:tr>
      <w:tr w:rsidR="00A10CBD" w:rsidRPr="00327997" w14:paraId="5408FAA0" w14:textId="77777777" w:rsidTr="00ED77D4">
        <w:tc>
          <w:tcPr>
            <w:tcW w:w="1673" w:type="dxa"/>
            <w:tcBorders>
              <w:top w:val="single" w:sz="4" w:space="0" w:color="auto"/>
              <w:left w:val="single" w:sz="4" w:space="0" w:color="auto"/>
              <w:bottom w:val="single" w:sz="4" w:space="0" w:color="auto"/>
              <w:right w:val="single" w:sz="4" w:space="0" w:color="auto"/>
            </w:tcBorders>
          </w:tcPr>
          <w:p w14:paraId="52B3FFB4" w14:textId="62D4C67D" w:rsidR="001C7D15" w:rsidRPr="00B327D8" w:rsidRDefault="001C7D15" w:rsidP="00F32516">
            <w:pPr>
              <w:pStyle w:val="InstructionsText"/>
              <w:rPr>
                <w:rStyle w:val="FormatvorlageInstructionsTabelleText"/>
                <w:rFonts w:asciiTheme="minorHAnsi" w:hAnsiTheme="minorHAnsi"/>
              </w:rPr>
            </w:pPr>
            <w:r w:rsidRPr="00320966">
              <w:t>C0</w:t>
            </w:r>
            <w:r w:rsidR="007A10B9">
              <w:t>100</w:t>
            </w:r>
          </w:p>
        </w:tc>
        <w:tc>
          <w:tcPr>
            <w:tcW w:w="7616"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A3CF444" w14:textId="77777777" w:rsidR="00491899" w:rsidRDefault="00491899" w:rsidP="001C7D15">
            <w:pPr>
              <w:pStyle w:val="InstructionsText2"/>
              <w:rPr>
                <w:rFonts w:asciiTheme="minorHAnsi" w:hAnsiTheme="minorHAnsi"/>
                <w:b/>
                <w:bCs/>
                <w:sz w:val="20"/>
                <w:szCs w:val="20"/>
                <w:u w:val="single"/>
                <w:lang w:val="en-US"/>
              </w:rPr>
            </w:pPr>
            <w:r w:rsidRPr="00442B81">
              <w:rPr>
                <w:rFonts w:ascii="Aptos" w:hAnsi="Aptos"/>
                <w:b/>
                <w:bCs/>
                <w:sz w:val="20"/>
                <w:szCs w:val="20"/>
                <w:u w:val="single"/>
                <w:lang w:val="en-US"/>
              </w:rPr>
              <w:t>Virtual IBANs</w:t>
            </w:r>
          </w:p>
          <w:p w14:paraId="77780FF4" w14:textId="65F4EACA" w:rsidR="001C7D15" w:rsidRPr="00B327D8" w:rsidRDefault="00491899" w:rsidP="000E62F3">
            <w:pPr>
              <w:pStyle w:val="InstructionsText2"/>
              <w:rPr>
                <w:rFonts w:asciiTheme="minorHAnsi" w:hAnsiTheme="minorHAnsi"/>
                <w:b/>
                <w:bCs/>
                <w:sz w:val="20"/>
                <w:szCs w:val="20"/>
                <w:u w:val="single"/>
                <w:lang w:val="en-US"/>
              </w:rPr>
            </w:pPr>
            <w:r w:rsidRPr="00442B81">
              <w:rPr>
                <w:rFonts w:asciiTheme="minorHAnsi" w:hAnsiTheme="minorHAnsi"/>
                <w:sz w:val="20"/>
              </w:rPr>
              <w:t>Indicate whether the entity offered virtual IBANS at any point during the reference year. This is a binary flag (Yes/No) to determine the scope of subsequent reporting tables.</w:t>
            </w:r>
          </w:p>
        </w:tc>
      </w:tr>
      <w:tr w:rsidR="00A10CBD" w:rsidRPr="00327997" w14:paraId="3AB88607" w14:textId="77777777" w:rsidTr="00ED77D4">
        <w:tc>
          <w:tcPr>
            <w:tcW w:w="1673" w:type="dxa"/>
            <w:tcBorders>
              <w:top w:val="single" w:sz="4" w:space="0" w:color="auto"/>
              <w:left w:val="single" w:sz="4" w:space="0" w:color="auto"/>
              <w:bottom w:val="single" w:sz="4" w:space="0" w:color="auto"/>
              <w:right w:val="single" w:sz="4" w:space="0" w:color="auto"/>
            </w:tcBorders>
          </w:tcPr>
          <w:p w14:paraId="7783B70B" w14:textId="22999C3D" w:rsidR="001C7D15" w:rsidRPr="00B327D8" w:rsidRDefault="007A10B9" w:rsidP="00F32516">
            <w:pPr>
              <w:pStyle w:val="InstructionsText"/>
              <w:rPr>
                <w:rStyle w:val="FormatvorlageInstructionsTabelleText"/>
                <w:rFonts w:asciiTheme="minorHAnsi" w:hAnsiTheme="minorHAnsi"/>
              </w:rPr>
            </w:pPr>
            <w:r w:rsidRPr="00320966">
              <w:t>C0110</w:t>
            </w:r>
          </w:p>
        </w:tc>
        <w:tc>
          <w:tcPr>
            <w:tcW w:w="7616"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0097BFA" w14:textId="77777777" w:rsidR="00491899" w:rsidRDefault="00491899" w:rsidP="001C7D15">
            <w:pPr>
              <w:pStyle w:val="InstructionsText2"/>
              <w:rPr>
                <w:rFonts w:asciiTheme="minorHAnsi" w:hAnsiTheme="minorHAnsi"/>
                <w:b/>
                <w:bCs/>
                <w:sz w:val="20"/>
                <w:szCs w:val="20"/>
                <w:u w:val="single"/>
                <w:lang w:val="en-US"/>
              </w:rPr>
            </w:pPr>
            <w:r w:rsidRPr="00B334A9">
              <w:rPr>
                <w:rFonts w:ascii="Aptos" w:hAnsi="Aptos"/>
                <w:b/>
                <w:bCs/>
                <w:sz w:val="20"/>
                <w:szCs w:val="20"/>
                <w:u w:val="single"/>
                <w:lang w:val="en-US"/>
              </w:rPr>
              <w:t>Prepaid Cards</w:t>
            </w:r>
          </w:p>
          <w:p w14:paraId="131228EB" w14:textId="0741D876" w:rsidR="001C7D15" w:rsidRPr="00B327D8" w:rsidRDefault="00491899" w:rsidP="000E62F3">
            <w:pPr>
              <w:pStyle w:val="InstructionsText2"/>
              <w:rPr>
                <w:rFonts w:asciiTheme="minorHAnsi" w:hAnsiTheme="minorHAnsi"/>
                <w:b/>
                <w:bCs/>
                <w:sz w:val="20"/>
                <w:szCs w:val="20"/>
                <w:u w:val="single"/>
                <w:lang w:val="en-US"/>
              </w:rPr>
            </w:pPr>
            <w:r w:rsidRPr="00B334A9">
              <w:rPr>
                <w:rFonts w:asciiTheme="minorHAnsi" w:hAnsiTheme="minorHAnsi"/>
                <w:sz w:val="20"/>
              </w:rPr>
              <w:t>Indicate whether the entity offered prepaid cards at any point during the reference year. This is a binary flag (Yes/No) to determine the scope of subsequent reporting tables.</w:t>
            </w:r>
          </w:p>
        </w:tc>
      </w:tr>
      <w:tr w:rsidR="00A10CBD" w:rsidRPr="00327997" w14:paraId="16DBB634" w14:textId="77777777" w:rsidTr="00ED77D4">
        <w:tc>
          <w:tcPr>
            <w:tcW w:w="1673" w:type="dxa"/>
            <w:tcBorders>
              <w:top w:val="single" w:sz="4" w:space="0" w:color="auto"/>
              <w:left w:val="single" w:sz="4" w:space="0" w:color="auto"/>
              <w:bottom w:val="single" w:sz="4" w:space="0" w:color="auto"/>
              <w:right w:val="single" w:sz="4" w:space="0" w:color="auto"/>
            </w:tcBorders>
          </w:tcPr>
          <w:p w14:paraId="0F687C86" w14:textId="5A774863" w:rsidR="001C7D15" w:rsidRPr="00B327D8" w:rsidRDefault="007A10B9" w:rsidP="00F32516">
            <w:pPr>
              <w:pStyle w:val="InstructionsText"/>
              <w:rPr>
                <w:rStyle w:val="FormatvorlageInstructionsTabelleText"/>
                <w:rFonts w:asciiTheme="minorHAnsi" w:hAnsiTheme="minorHAnsi"/>
              </w:rPr>
            </w:pPr>
            <w:r w:rsidRPr="00320966">
              <w:t>C0120</w:t>
            </w:r>
          </w:p>
        </w:tc>
        <w:tc>
          <w:tcPr>
            <w:tcW w:w="7616"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14:paraId="03C6CA5B" w14:textId="77777777" w:rsidR="00491899" w:rsidRDefault="00491899" w:rsidP="001C7D15">
            <w:pPr>
              <w:pStyle w:val="InstructionsText2"/>
              <w:jc w:val="left"/>
              <w:rPr>
                <w:rFonts w:asciiTheme="minorHAnsi" w:hAnsiTheme="minorHAnsi"/>
                <w:b/>
                <w:bCs/>
                <w:sz w:val="20"/>
                <w:szCs w:val="20"/>
                <w:u w:val="single"/>
              </w:rPr>
            </w:pPr>
            <w:r w:rsidRPr="00B334A9">
              <w:rPr>
                <w:rFonts w:ascii="Aptos" w:hAnsi="Aptos"/>
                <w:b/>
                <w:bCs/>
                <w:sz w:val="20"/>
                <w:szCs w:val="20"/>
                <w:u w:val="single"/>
              </w:rPr>
              <w:t>Lending/ Factoring</w:t>
            </w:r>
          </w:p>
          <w:p w14:paraId="367DE58A" w14:textId="5F8E8746" w:rsidR="001C7D15" w:rsidRPr="00B327D8" w:rsidRDefault="00491899" w:rsidP="000E62F3">
            <w:pPr>
              <w:pStyle w:val="InstructionsText2"/>
              <w:jc w:val="left"/>
              <w:rPr>
                <w:rFonts w:asciiTheme="minorHAnsi" w:hAnsiTheme="minorHAnsi"/>
                <w:b/>
                <w:bCs/>
                <w:sz w:val="20"/>
                <w:szCs w:val="20"/>
                <w:u w:val="single"/>
              </w:rPr>
            </w:pPr>
            <w:r w:rsidRPr="00B334A9">
              <w:rPr>
                <w:rFonts w:asciiTheme="minorHAnsi" w:hAnsiTheme="minorHAnsi"/>
                <w:sz w:val="20"/>
              </w:rPr>
              <w:t>Indicate whether the entity offered lending/ factoring at any point during the reference year. This is a binary flag (Yes/No) to determine the scope of subsequent reporting tables.</w:t>
            </w:r>
          </w:p>
        </w:tc>
      </w:tr>
      <w:tr w:rsidR="00A10CBD" w:rsidRPr="00327997" w14:paraId="1D18FB88" w14:textId="77777777" w:rsidTr="00ED77D4">
        <w:tc>
          <w:tcPr>
            <w:tcW w:w="1673" w:type="dxa"/>
            <w:tcBorders>
              <w:top w:val="single" w:sz="4" w:space="0" w:color="auto"/>
              <w:left w:val="single" w:sz="4" w:space="0" w:color="auto"/>
              <w:bottom w:val="single" w:sz="4" w:space="0" w:color="auto"/>
              <w:right w:val="single" w:sz="4" w:space="0" w:color="auto"/>
            </w:tcBorders>
          </w:tcPr>
          <w:p w14:paraId="6F0924B1" w14:textId="28E6BA39" w:rsidR="001C7D15" w:rsidRPr="00B327D8" w:rsidRDefault="007A10B9" w:rsidP="00F32516">
            <w:pPr>
              <w:pStyle w:val="InstructionsText"/>
              <w:rPr>
                <w:rStyle w:val="FormatvorlageInstructionsTabelleText"/>
                <w:rFonts w:asciiTheme="minorHAnsi" w:hAnsiTheme="minorHAnsi"/>
              </w:rPr>
            </w:pPr>
            <w:r w:rsidRPr="00320966">
              <w:t>C0130</w:t>
            </w:r>
          </w:p>
        </w:tc>
        <w:tc>
          <w:tcPr>
            <w:tcW w:w="7616"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14:paraId="018BCF41" w14:textId="77777777" w:rsidR="00491899" w:rsidRDefault="00491899" w:rsidP="001C7D15">
            <w:pPr>
              <w:pStyle w:val="InstructionsText2"/>
              <w:jc w:val="left"/>
              <w:rPr>
                <w:rFonts w:asciiTheme="minorHAnsi" w:hAnsiTheme="minorHAnsi"/>
                <w:b/>
                <w:bCs/>
                <w:sz w:val="20"/>
                <w:szCs w:val="20"/>
                <w:u w:val="single"/>
              </w:rPr>
            </w:pPr>
            <w:r w:rsidRPr="00B334A9">
              <w:rPr>
                <w:rFonts w:ascii="Aptos" w:hAnsi="Aptos"/>
                <w:b/>
                <w:bCs/>
                <w:sz w:val="20"/>
                <w:szCs w:val="20"/>
                <w:u w:val="single"/>
              </w:rPr>
              <w:t>Life Insurance Contracts</w:t>
            </w:r>
          </w:p>
          <w:p w14:paraId="4CD18646" w14:textId="2B788DE4" w:rsidR="001C7D15" w:rsidRPr="00B327D8" w:rsidRDefault="00491899" w:rsidP="001E3998">
            <w:pPr>
              <w:pStyle w:val="InstructionsText2"/>
              <w:jc w:val="left"/>
              <w:rPr>
                <w:rFonts w:asciiTheme="minorHAnsi" w:hAnsiTheme="minorHAnsi"/>
                <w:b/>
                <w:bCs/>
                <w:sz w:val="20"/>
                <w:szCs w:val="20"/>
                <w:u w:val="single"/>
              </w:rPr>
            </w:pPr>
            <w:r w:rsidRPr="00B334A9">
              <w:rPr>
                <w:rFonts w:asciiTheme="minorHAnsi" w:hAnsiTheme="minorHAnsi"/>
                <w:sz w:val="20"/>
              </w:rPr>
              <w:t>Indicate whether the entity offered life insurance contracts at any point during the reference year. This is a binary flag (Yes/No) to determine the scope of subsequent reporting tables.</w:t>
            </w:r>
          </w:p>
        </w:tc>
      </w:tr>
      <w:tr w:rsidR="00A10CBD" w:rsidRPr="00327997" w14:paraId="1126310F" w14:textId="77777777" w:rsidTr="00ED77D4">
        <w:tc>
          <w:tcPr>
            <w:tcW w:w="1673" w:type="dxa"/>
            <w:tcBorders>
              <w:top w:val="single" w:sz="4" w:space="0" w:color="auto"/>
              <w:left w:val="single" w:sz="4" w:space="0" w:color="auto"/>
              <w:bottom w:val="single" w:sz="4" w:space="0" w:color="auto"/>
              <w:right w:val="single" w:sz="4" w:space="0" w:color="auto"/>
            </w:tcBorders>
          </w:tcPr>
          <w:p w14:paraId="1772304D" w14:textId="26C3DC61" w:rsidR="001C7D15" w:rsidRPr="00B327D8" w:rsidRDefault="007A10B9" w:rsidP="00F32516">
            <w:pPr>
              <w:pStyle w:val="InstructionsText"/>
              <w:rPr>
                <w:rStyle w:val="FormatvorlageInstructionsTabelleText"/>
                <w:rFonts w:asciiTheme="minorHAnsi" w:hAnsiTheme="minorHAnsi"/>
              </w:rPr>
            </w:pPr>
            <w:r w:rsidRPr="00320966">
              <w:t>C0140</w:t>
            </w:r>
          </w:p>
        </w:tc>
        <w:tc>
          <w:tcPr>
            <w:tcW w:w="7616"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14:paraId="0300D866" w14:textId="77777777" w:rsidR="00491899" w:rsidRDefault="00491899" w:rsidP="001C7D15">
            <w:pPr>
              <w:pStyle w:val="InstructionsText2"/>
              <w:jc w:val="left"/>
              <w:rPr>
                <w:rFonts w:asciiTheme="minorHAnsi" w:hAnsiTheme="minorHAnsi"/>
                <w:b/>
                <w:bCs/>
                <w:sz w:val="20"/>
                <w:szCs w:val="20"/>
                <w:u w:val="single"/>
              </w:rPr>
            </w:pPr>
            <w:r w:rsidRPr="005E0FC2">
              <w:rPr>
                <w:rFonts w:ascii="Aptos" w:hAnsi="Aptos"/>
                <w:b/>
                <w:bCs/>
                <w:sz w:val="20"/>
                <w:szCs w:val="20"/>
                <w:u w:val="single"/>
              </w:rPr>
              <w:t>Currency Exchange Involving Cash</w:t>
            </w:r>
          </w:p>
          <w:p w14:paraId="12B3A74F" w14:textId="324B3845" w:rsidR="001C7D15" w:rsidRPr="00B327D8" w:rsidRDefault="00491899" w:rsidP="001E3998">
            <w:pPr>
              <w:pStyle w:val="InstructionsText2"/>
              <w:jc w:val="left"/>
              <w:rPr>
                <w:rFonts w:asciiTheme="minorHAnsi" w:hAnsiTheme="minorHAnsi"/>
                <w:b/>
                <w:bCs/>
                <w:sz w:val="20"/>
                <w:szCs w:val="20"/>
                <w:u w:val="single"/>
              </w:rPr>
            </w:pPr>
            <w:r w:rsidRPr="005E0FC2">
              <w:rPr>
                <w:rFonts w:asciiTheme="minorHAnsi" w:hAnsiTheme="minorHAnsi"/>
                <w:sz w:val="20"/>
              </w:rPr>
              <w:t>Indicate whether the entity offered currency exchange involving cash at any point during the reference year. This is a binary flag (Yes/No) to determine the scope of subsequent reporting tables.</w:t>
            </w:r>
          </w:p>
        </w:tc>
      </w:tr>
      <w:tr w:rsidR="00A10CBD" w:rsidRPr="00327997" w14:paraId="76637AFE" w14:textId="77777777" w:rsidTr="00ED77D4">
        <w:tc>
          <w:tcPr>
            <w:tcW w:w="1673" w:type="dxa"/>
            <w:tcBorders>
              <w:top w:val="single" w:sz="4" w:space="0" w:color="auto"/>
              <w:left w:val="single" w:sz="4" w:space="0" w:color="auto"/>
              <w:bottom w:val="single" w:sz="4" w:space="0" w:color="auto"/>
              <w:right w:val="single" w:sz="4" w:space="0" w:color="auto"/>
            </w:tcBorders>
          </w:tcPr>
          <w:p w14:paraId="75F30874" w14:textId="0194D34E" w:rsidR="001C7D15" w:rsidRPr="00B327D8" w:rsidRDefault="007A10B9" w:rsidP="00F32516">
            <w:pPr>
              <w:pStyle w:val="InstructionsText"/>
              <w:rPr>
                <w:rStyle w:val="FormatvorlageInstructionsTabelleText"/>
                <w:rFonts w:asciiTheme="minorHAnsi" w:hAnsiTheme="minorHAnsi"/>
              </w:rPr>
            </w:pPr>
            <w:r w:rsidRPr="00320966">
              <w:t>C0150</w:t>
            </w:r>
          </w:p>
        </w:tc>
        <w:tc>
          <w:tcPr>
            <w:tcW w:w="7616"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14:paraId="685C9A84" w14:textId="77777777" w:rsidR="00491899" w:rsidRDefault="00491899" w:rsidP="001C7D15">
            <w:pPr>
              <w:pStyle w:val="InstructionsText2"/>
              <w:jc w:val="left"/>
              <w:rPr>
                <w:rFonts w:asciiTheme="minorHAnsi" w:hAnsiTheme="minorHAnsi"/>
                <w:b/>
                <w:bCs/>
                <w:sz w:val="20"/>
                <w:szCs w:val="20"/>
                <w:u w:val="single"/>
              </w:rPr>
            </w:pPr>
            <w:r w:rsidRPr="005F762C">
              <w:rPr>
                <w:rFonts w:ascii="Aptos" w:hAnsi="Aptos"/>
                <w:b/>
                <w:bCs/>
                <w:sz w:val="20"/>
                <w:szCs w:val="20"/>
                <w:u w:val="single"/>
              </w:rPr>
              <w:t>Custody of Crypto Assets</w:t>
            </w:r>
          </w:p>
          <w:p w14:paraId="07983CDC" w14:textId="555C2041" w:rsidR="001C7D15" w:rsidRPr="00B327D8" w:rsidRDefault="00491899" w:rsidP="00CA54D9">
            <w:pPr>
              <w:pStyle w:val="InstructionsText2"/>
              <w:jc w:val="left"/>
              <w:rPr>
                <w:rFonts w:asciiTheme="minorHAnsi" w:hAnsiTheme="minorHAnsi"/>
                <w:b/>
                <w:bCs/>
                <w:sz w:val="20"/>
                <w:szCs w:val="20"/>
                <w:u w:val="single"/>
              </w:rPr>
            </w:pPr>
            <w:r w:rsidRPr="006903DE">
              <w:rPr>
                <w:rFonts w:asciiTheme="minorHAnsi" w:hAnsiTheme="minorHAnsi"/>
                <w:sz w:val="20"/>
              </w:rPr>
              <w:t>Indicate whether the entity offered custody of crypto assets at any point during the reference year. This is a binary flag (Yes/No) to determine the scope of subsequent reporting tables.</w:t>
            </w:r>
          </w:p>
        </w:tc>
      </w:tr>
      <w:tr w:rsidR="00A10CBD" w:rsidRPr="00327997" w14:paraId="5CFC4662" w14:textId="77777777" w:rsidTr="00ED77D4">
        <w:tc>
          <w:tcPr>
            <w:tcW w:w="1673" w:type="dxa"/>
            <w:tcBorders>
              <w:top w:val="single" w:sz="4" w:space="0" w:color="auto"/>
              <w:left w:val="single" w:sz="4" w:space="0" w:color="auto"/>
              <w:bottom w:val="single" w:sz="4" w:space="0" w:color="auto"/>
              <w:right w:val="single" w:sz="4" w:space="0" w:color="auto"/>
            </w:tcBorders>
          </w:tcPr>
          <w:p w14:paraId="3028CF07" w14:textId="03311A23" w:rsidR="001C7D15" w:rsidRPr="00B327D8" w:rsidRDefault="007A10B9" w:rsidP="00F32516">
            <w:pPr>
              <w:pStyle w:val="InstructionsText"/>
              <w:rPr>
                <w:rStyle w:val="FormatvorlageInstructionsTabelleText"/>
                <w:rFonts w:asciiTheme="minorHAnsi" w:hAnsiTheme="minorHAnsi"/>
              </w:rPr>
            </w:pPr>
            <w:r w:rsidRPr="00320966">
              <w:t>C0160</w:t>
            </w:r>
          </w:p>
        </w:tc>
        <w:tc>
          <w:tcPr>
            <w:tcW w:w="7616"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14:paraId="29EF37B7" w14:textId="77777777" w:rsidR="00491899" w:rsidRDefault="00491899" w:rsidP="001C7D15">
            <w:pPr>
              <w:pStyle w:val="InstructionsText2"/>
              <w:jc w:val="left"/>
              <w:rPr>
                <w:rFonts w:asciiTheme="minorHAnsi" w:hAnsiTheme="minorHAnsi"/>
                <w:b/>
                <w:bCs/>
                <w:sz w:val="20"/>
                <w:szCs w:val="20"/>
                <w:u w:val="single"/>
              </w:rPr>
            </w:pPr>
            <w:r w:rsidRPr="007970E2">
              <w:rPr>
                <w:rFonts w:ascii="Aptos" w:hAnsi="Aptos"/>
                <w:b/>
                <w:bCs/>
                <w:sz w:val="20"/>
                <w:szCs w:val="20"/>
                <w:u w:val="single"/>
              </w:rPr>
              <w:t>Investment Services</w:t>
            </w:r>
          </w:p>
          <w:p w14:paraId="289AFD83" w14:textId="18B670BE" w:rsidR="001C7D15" w:rsidRPr="00B327D8" w:rsidRDefault="00491899" w:rsidP="00CA54D9">
            <w:pPr>
              <w:pStyle w:val="InstructionsText2"/>
              <w:jc w:val="left"/>
              <w:rPr>
                <w:rFonts w:asciiTheme="minorHAnsi" w:hAnsiTheme="minorHAnsi"/>
                <w:b/>
                <w:bCs/>
                <w:sz w:val="20"/>
                <w:szCs w:val="20"/>
                <w:u w:val="single"/>
              </w:rPr>
            </w:pPr>
            <w:r w:rsidRPr="007970E2">
              <w:rPr>
                <w:rFonts w:asciiTheme="minorHAnsi" w:hAnsiTheme="minorHAnsi"/>
                <w:sz w:val="20"/>
              </w:rPr>
              <w:t>Indicate whether the entity offered investment services at any point during the reference year. This is a binary flag (Yes/No) to determine the scope of subsequent reporting tables.</w:t>
            </w:r>
          </w:p>
        </w:tc>
      </w:tr>
      <w:tr w:rsidR="00A10CBD" w:rsidRPr="00327997" w14:paraId="0796BF53" w14:textId="77777777" w:rsidTr="00ED77D4">
        <w:tc>
          <w:tcPr>
            <w:tcW w:w="1673" w:type="dxa"/>
            <w:tcBorders>
              <w:top w:val="single" w:sz="4" w:space="0" w:color="auto"/>
              <w:left w:val="single" w:sz="4" w:space="0" w:color="auto"/>
              <w:bottom w:val="single" w:sz="4" w:space="0" w:color="auto"/>
              <w:right w:val="single" w:sz="4" w:space="0" w:color="auto"/>
            </w:tcBorders>
          </w:tcPr>
          <w:p w14:paraId="53FA9F65" w14:textId="2183993E" w:rsidR="001C7D15" w:rsidRPr="00B327D8" w:rsidRDefault="007A10B9" w:rsidP="00F32516">
            <w:pPr>
              <w:pStyle w:val="InstructionsText"/>
              <w:rPr>
                <w:rStyle w:val="FormatvorlageInstructionsTabelleText"/>
                <w:rFonts w:asciiTheme="minorHAnsi" w:hAnsiTheme="minorHAnsi"/>
              </w:rPr>
            </w:pPr>
            <w:r w:rsidRPr="00320966">
              <w:t>C0170</w:t>
            </w:r>
          </w:p>
        </w:tc>
        <w:tc>
          <w:tcPr>
            <w:tcW w:w="7616"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14:paraId="1645F620" w14:textId="77777777" w:rsidR="00491899" w:rsidRDefault="00491899" w:rsidP="001C7D15">
            <w:pPr>
              <w:pStyle w:val="InstructionsText2"/>
              <w:jc w:val="left"/>
              <w:rPr>
                <w:rFonts w:asciiTheme="minorHAnsi" w:hAnsiTheme="minorHAnsi"/>
                <w:b/>
                <w:bCs/>
                <w:sz w:val="20"/>
                <w:szCs w:val="20"/>
                <w:u w:val="single"/>
              </w:rPr>
            </w:pPr>
            <w:r w:rsidRPr="00231741">
              <w:rPr>
                <w:rFonts w:ascii="Aptos" w:hAnsi="Aptos"/>
                <w:b/>
                <w:bCs/>
                <w:sz w:val="20"/>
                <w:szCs w:val="20"/>
                <w:u w:val="single"/>
              </w:rPr>
              <w:t>Money Remittance</w:t>
            </w:r>
          </w:p>
          <w:p w14:paraId="36AC35BF" w14:textId="4360591E" w:rsidR="001C7D15" w:rsidRPr="00B327D8" w:rsidRDefault="00491899" w:rsidP="00CA54D9">
            <w:pPr>
              <w:pStyle w:val="InstructionsText2"/>
              <w:jc w:val="left"/>
              <w:rPr>
                <w:rFonts w:asciiTheme="minorHAnsi" w:hAnsiTheme="minorHAnsi"/>
                <w:b/>
                <w:bCs/>
                <w:sz w:val="20"/>
                <w:szCs w:val="20"/>
                <w:u w:val="single"/>
              </w:rPr>
            </w:pPr>
            <w:r w:rsidRPr="00231741">
              <w:rPr>
                <w:rFonts w:asciiTheme="minorHAnsi" w:hAnsiTheme="minorHAnsi"/>
                <w:sz w:val="20"/>
              </w:rPr>
              <w:t>Indicate whether the entity offered money remittance at any point during the reference year. This is a binary flag (Yes/No) to determine the scope of subsequent reporting tables.</w:t>
            </w:r>
          </w:p>
        </w:tc>
      </w:tr>
      <w:tr w:rsidR="00A10CBD" w:rsidRPr="00327997" w14:paraId="129B3B9C" w14:textId="77777777" w:rsidTr="00ED77D4">
        <w:tc>
          <w:tcPr>
            <w:tcW w:w="1673" w:type="dxa"/>
            <w:tcBorders>
              <w:top w:val="single" w:sz="4" w:space="0" w:color="auto"/>
              <w:left w:val="single" w:sz="4" w:space="0" w:color="auto"/>
              <w:bottom w:val="single" w:sz="4" w:space="0" w:color="auto"/>
              <w:right w:val="single" w:sz="4" w:space="0" w:color="auto"/>
            </w:tcBorders>
          </w:tcPr>
          <w:p w14:paraId="3DDDCF15" w14:textId="5C5CE516" w:rsidR="001C7D15" w:rsidRPr="00B327D8" w:rsidRDefault="007A10B9" w:rsidP="00F32516">
            <w:pPr>
              <w:pStyle w:val="InstructionsText"/>
              <w:rPr>
                <w:rStyle w:val="FormatvorlageInstructionsTabelleText"/>
                <w:rFonts w:asciiTheme="minorHAnsi" w:hAnsiTheme="minorHAnsi"/>
              </w:rPr>
            </w:pPr>
            <w:r w:rsidRPr="00320966">
              <w:t>C0180</w:t>
            </w:r>
          </w:p>
        </w:tc>
        <w:tc>
          <w:tcPr>
            <w:tcW w:w="7616"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14:paraId="796F4C58" w14:textId="77777777" w:rsidR="00491899" w:rsidRDefault="00491899" w:rsidP="001C7D15">
            <w:pPr>
              <w:pStyle w:val="InstructionsText2"/>
              <w:jc w:val="left"/>
              <w:rPr>
                <w:rFonts w:asciiTheme="minorHAnsi" w:hAnsiTheme="minorHAnsi"/>
                <w:b/>
                <w:bCs/>
                <w:sz w:val="20"/>
                <w:szCs w:val="20"/>
                <w:u w:val="single"/>
              </w:rPr>
            </w:pPr>
            <w:r w:rsidRPr="00231741">
              <w:rPr>
                <w:rFonts w:ascii="Aptos" w:hAnsi="Aptos"/>
                <w:b/>
                <w:bCs/>
                <w:sz w:val="20"/>
                <w:szCs w:val="20"/>
                <w:u w:val="single"/>
              </w:rPr>
              <w:t>Wealth Management</w:t>
            </w:r>
          </w:p>
          <w:p w14:paraId="015E1D6B" w14:textId="781F7D2B" w:rsidR="001C7D15" w:rsidRPr="00B327D8" w:rsidRDefault="00491899" w:rsidP="0091157E">
            <w:pPr>
              <w:pStyle w:val="InstructionsText2"/>
              <w:jc w:val="left"/>
              <w:rPr>
                <w:rFonts w:asciiTheme="minorHAnsi" w:hAnsiTheme="minorHAnsi"/>
                <w:b/>
                <w:bCs/>
                <w:sz w:val="20"/>
                <w:szCs w:val="20"/>
                <w:u w:val="single"/>
                <w:lang w:val="en-US"/>
              </w:rPr>
            </w:pPr>
            <w:r w:rsidRPr="00231741">
              <w:rPr>
                <w:rFonts w:asciiTheme="minorHAnsi" w:hAnsiTheme="minorHAnsi"/>
                <w:sz w:val="20"/>
              </w:rPr>
              <w:t>Indicate whether the entity offered wealth management at any point during the reference year. This is a binary flag (Yes/No) to determine the scope of subsequent reporting tables.</w:t>
            </w:r>
          </w:p>
        </w:tc>
      </w:tr>
      <w:tr w:rsidR="00A10CBD" w:rsidRPr="00327997" w14:paraId="68E27730" w14:textId="77777777" w:rsidTr="00ED77D4">
        <w:tc>
          <w:tcPr>
            <w:tcW w:w="1673" w:type="dxa"/>
            <w:tcBorders>
              <w:top w:val="single" w:sz="4" w:space="0" w:color="auto"/>
              <w:left w:val="single" w:sz="4" w:space="0" w:color="auto"/>
              <w:bottom w:val="single" w:sz="4" w:space="0" w:color="auto"/>
              <w:right w:val="single" w:sz="4" w:space="0" w:color="auto"/>
            </w:tcBorders>
          </w:tcPr>
          <w:p w14:paraId="714389F7" w14:textId="52979CD5" w:rsidR="001C7D15" w:rsidRPr="00B327D8" w:rsidRDefault="007A10B9" w:rsidP="00F32516">
            <w:pPr>
              <w:pStyle w:val="InstructionsText"/>
              <w:rPr>
                <w:rStyle w:val="FormatvorlageInstructionsTabelleText"/>
                <w:rFonts w:asciiTheme="minorHAnsi" w:hAnsiTheme="minorHAnsi"/>
              </w:rPr>
            </w:pPr>
            <w:r w:rsidRPr="00320966">
              <w:t>C0190</w:t>
            </w:r>
          </w:p>
        </w:tc>
        <w:tc>
          <w:tcPr>
            <w:tcW w:w="7616"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14:paraId="41595FAF" w14:textId="77777777" w:rsidR="00491899" w:rsidRDefault="00491899" w:rsidP="001C7D15">
            <w:pPr>
              <w:pStyle w:val="InstructionsText2"/>
              <w:jc w:val="left"/>
              <w:rPr>
                <w:rFonts w:asciiTheme="minorHAnsi" w:hAnsiTheme="minorHAnsi"/>
                <w:b/>
                <w:bCs/>
                <w:sz w:val="20"/>
                <w:szCs w:val="20"/>
                <w:u w:val="single"/>
              </w:rPr>
            </w:pPr>
            <w:r w:rsidRPr="00390E99">
              <w:rPr>
                <w:rFonts w:ascii="Aptos" w:hAnsi="Aptos"/>
                <w:b/>
                <w:bCs/>
                <w:sz w:val="20"/>
                <w:szCs w:val="20"/>
                <w:u w:val="single"/>
              </w:rPr>
              <w:t>Correspondent Services</w:t>
            </w:r>
          </w:p>
          <w:p w14:paraId="4710C1AA" w14:textId="32454B8C" w:rsidR="001C7D15" w:rsidRPr="00B327D8" w:rsidRDefault="00491899" w:rsidP="006C3463">
            <w:pPr>
              <w:pStyle w:val="InstructionsText2"/>
              <w:jc w:val="left"/>
              <w:rPr>
                <w:rFonts w:asciiTheme="minorHAnsi" w:hAnsiTheme="minorHAnsi"/>
                <w:b/>
                <w:bCs/>
                <w:sz w:val="20"/>
                <w:szCs w:val="20"/>
                <w:u w:val="single"/>
                <w:lang w:val="en-US"/>
              </w:rPr>
            </w:pPr>
            <w:r w:rsidRPr="00390E99">
              <w:rPr>
                <w:rFonts w:asciiTheme="minorHAnsi" w:hAnsiTheme="minorHAnsi"/>
                <w:sz w:val="20"/>
              </w:rPr>
              <w:t>Indicate whether the entity offered correspondent services at any point during the reference year. This is a binary flag (Yes/No) to determine the scope of subsequent reporting tables.</w:t>
            </w:r>
          </w:p>
        </w:tc>
      </w:tr>
      <w:tr w:rsidR="00A10CBD" w:rsidRPr="00327997" w14:paraId="66E7886E" w14:textId="77777777" w:rsidTr="00ED77D4">
        <w:tc>
          <w:tcPr>
            <w:tcW w:w="1673" w:type="dxa"/>
            <w:tcBorders>
              <w:top w:val="single" w:sz="4" w:space="0" w:color="auto"/>
              <w:left w:val="single" w:sz="4" w:space="0" w:color="auto"/>
              <w:bottom w:val="single" w:sz="4" w:space="0" w:color="auto"/>
              <w:right w:val="single" w:sz="4" w:space="0" w:color="auto"/>
            </w:tcBorders>
          </w:tcPr>
          <w:p w14:paraId="530363DF" w14:textId="6D25CDD6" w:rsidR="001C7D15" w:rsidRPr="00B327D8" w:rsidRDefault="007A10B9" w:rsidP="00F32516">
            <w:pPr>
              <w:pStyle w:val="InstructionsText"/>
              <w:rPr>
                <w:rStyle w:val="FormatvorlageInstructionsTabelleText"/>
                <w:rFonts w:asciiTheme="minorHAnsi" w:hAnsiTheme="minorHAnsi"/>
              </w:rPr>
            </w:pPr>
            <w:r w:rsidRPr="00320966">
              <w:t>C0200</w:t>
            </w:r>
          </w:p>
        </w:tc>
        <w:tc>
          <w:tcPr>
            <w:tcW w:w="7616"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14:paraId="05C9E511" w14:textId="77777777" w:rsidR="00491899" w:rsidRDefault="00491899" w:rsidP="001C7D15">
            <w:pPr>
              <w:pStyle w:val="InstructionsText2"/>
              <w:jc w:val="left"/>
              <w:rPr>
                <w:rFonts w:asciiTheme="minorHAnsi" w:hAnsiTheme="minorHAnsi"/>
                <w:b/>
                <w:bCs/>
                <w:sz w:val="20"/>
                <w:szCs w:val="20"/>
                <w:u w:val="single"/>
              </w:rPr>
            </w:pPr>
            <w:r w:rsidRPr="00390E99">
              <w:rPr>
                <w:rFonts w:ascii="Aptos" w:hAnsi="Aptos"/>
                <w:b/>
                <w:bCs/>
                <w:sz w:val="20"/>
                <w:szCs w:val="20"/>
                <w:u w:val="single"/>
              </w:rPr>
              <w:t>Trade Finance</w:t>
            </w:r>
          </w:p>
          <w:p w14:paraId="441B5062" w14:textId="13D8E6D0" w:rsidR="001C7D15" w:rsidRPr="00B327D8" w:rsidRDefault="00491899" w:rsidP="006C3463">
            <w:pPr>
              <w:pStyle w:val="InstructionsText2"/>
              <w:jc w:val="left"/>
              <w:rPr>
                <w:rFonts w:asciiTheme="minorHAnsi" w:hAnsiTheme="minorHAnsi"/>
                <w:b/>
                <w:bCs/>
                <w:sz w:val="20"/>
                <w:szCs w:val="20"/>
                <w:u w:val="single"/>
                <w:lang w:val="en-US"/>
              </w:rPr>
            </w:pPr>
            <w:r w:rsidRPr="00390E99">
              <w:rPr>
                <w:rFonts w:asciiTheme="minorHAnsi" w:hAnsiTheme="minorHAnsi"/>
                <w:sz w:val="20"/>
              </w:rPr>
              <w:t>Indicate whether the entity offered trade finance at any point during the reference year. This is a binary flag (Yes/No) to determine the scope of subsequent reporting tables.</w:t>
            </w:r>
          </w:p>
        </w:tc>
      </w:tr>
      <w:tr w:rsidR="00A10CBD" w:rsidRPr="00327997" w14:paraId="200B64C8" w14:textId="77777777" w:rsidTr="00ED77D4">
        <w:tc>
          <w:tcPr>
            <w:tcW w:w="1673" w:type="dxa"/>
            <w:tcBorders>
              <w:top w:val="single" w:sz="4" w:space="0" w:color="auto"/>
              <w:left w:val="single" w:sz="4" w:space="0" w:color="auto"/>
              <w:bottom w:val="single" w:sz="4" w:space="0" w:color="auto"/>
              <w:right w:val="single" w:sz="4" w:space="0" w:color="auto"/>
            </w:tcBorders>
          </w:tcPr>
          <w:p w14:paraId="5B69D314" w14:textId="1A4B3077" w:rsidR="001C7D15" w:rsidRPr="00B327D8" w:rsidRDefault="007A10B9" w:rsidP="00F32516">
            <w:pPr>
              <w:pStyle w:val="InstructionsText"/>
              <w:rPr>
                <w:rStyle w:val="FormatvorlageInstructionsTabelleText"/>
                <w:rFonts w:asciiTheme="minorHAnsi" w:hAnsiTheme="minorHAnsi"/>
              </w:rPr>
            </w:pPr>
            <w:r w:rsidRPr="00320966">
              <w:t>C0210</w:t>
            </w:r>
          </w:p>
        </w:tc>
        <w:tc>
          <w:tcPr>
            <w:tcW w:w="7616"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14:paraId="5E6E1294" w14:textId="77777777" w:rsidR="00491899" w:rsidRDefault="00491899" w:rsidP="001C7D15">
            <w:pPr>
              <w:pStyle w:val="InstructionsText2"/>
              <w:jc w:val="left"/>
              <w:rPr>
                <w:rFonts w:asciiTheme="minorHAnsi" w:hAnsiTheme="minorHAnsi"/>
                <w:b/>
                <w:bCs/>
                <w:sz w:val="20"/>
                <w:szCs w:val="20"/>
                <w:u w:val="single"/>
              </w:rPr>
            </w:pPr>
            <w:r w:rsidRPr="00390E99">
              <w:rPr>
                <w:rFonts w:ascii="Aptos" w:hAnsi="Aptos"/>
                <w:b/>
                <w:bCs/>
                <w:sz w:val="20"/>
                <w:szCs w:val="20"/>
                <w:u w:val="single"/>
              </w:rPr>
              <w:t>E-money</w:t>
            </w:r>
          </w:p>
          <w:p w14:paraId="05D38E6B" w14:textId="2B9EF7FB" w:rsidR="001C7D15" w:rsidRPr="00B327D8" w:rsidRDefault="00491899" w:rsidP="001C7D15">
            <w:pPr>
              <w:pStyle w:val="InstructionsText2"/>
              <w:jc w:val="left"/>
              <w:rPr>
                <w:rFonts w:asciiTheme="minorHAnsi" w:hAnsiTheme="minorHAnsi"/>
                <w:b/>
                <w:bCs/>
                <w:sz w:val="20"/>
                <w:szCs w:val="20"/>
                <w:u w:val="single"/>
                <w:lang w:val="en-US"/>
              </w:rPr>
            </w:pPr>
            <w:r w:rsidRPr="00390E99">
              <w:rPr>
                <w:rFonts w:asciiTheme="minorHAnsi" w:hAnsiTheme="minorHAnsi"/>
                <w:sz w:val="20"/>
                <w:szCs w:val="20"/>
                <w:lang w:val="en-US"/>
              </w:rPr>
              <w:t>Indicate whether the entity offered e-money at any point during the reference year. This is a binary flag (Yes/No) to determine the scope of subsequent reporting tables.</w:t>
            </w:r>
          </w:p>
        </w:tc>
      </w:tr>
      <w:tr w:rsidR="00A10CBD" w:rsidRPr="00327997" w14:paraId="056B714C" w14:textId="77777777" w:rsidTr="00ED77D4">
        <w:tc>
          <w:tcPr>
            <w:tcW w:w="1673" w:type="dxa"/>
            <w:tcBorders>
              <w:top w:val="single" w:sz="4" w:space="0" w:color="auto"/>
              <w:left w:val="single" w:sz="4" w:space="0" w:color="auto"/>
              <w:bottom w:val="single" w:sz="4" w:space="0" w:color="auto"/>
              <w:right w:val="single" w:sz="4" w:space="0" w:color="auto"/>
            </w:tcBorders>
          </w:tcPr>
          <w:p w14:paraId="70261230" w14:textId="45A89B07" w:rsidR="001C7D15" w:rsidRPr="00B327D8" w:rsidRDefault="007A10B9" w:rsidP="00F32516">
            <w:pPr>
              <w:pStyle w:val="InstructionsText"/>
              <w:rPr>
                <w:rStyle w:val="FormatvorlageInstructionsTabelleText"/>
                <w:rFonts w:asciiTheme="minorHAnsi" w:hAnsiTheme="minorHAnsi"/>
              </w:rPr>
            </w:pPr>
            <w:r w:rsidRPr="00320966">
              <w:t>C0220</w:t>
            </w:r>
          </w:p>
        </w:tc>
        <w:tc>
          <w:tcPr>
            <w:tcW w:w="7616"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14:paraId="7869843B" w14:textId="77777777" w:rsidR="00491899" w:rsidRDefault="00491899" w:rsidP="001C7D15">
            <w:pPr>
              <w:pStyle w:val="InstructionsText2"/>
              <w:jc w:val="left"/>
              <w:rPr>
                <w:rFonts w:asciiTheme="minorHAnsi" w:hAnsiTheme="minorHAnsi"/>
                <w:b/>
                <w:bCs/>
                <w:sz w:val="20"/>
                <w:szCs w:val="20"/>
                <w:u w:val="single"/>
              </w:rPr>
            </w:pPr>
            <w:r w:rsidRPr="004A121F">
              <w:rPr>
                <w:rFonts w:ascii="Aptos" w:hAnsi="Aptos"/>
                <w:b/>
                <w:bCs/>
                <w:sz w:val="20"/>
                <w:szCs w:val="20"/>
                <w:u w:val="single"/>
              </w:rPr>
              <w:t>TCSP Services</w:t>
            </w:r>
          </w:p>
          <w:p w14:paraId="7F94AADA" w14:textId="1F568B38" w:rsidR="001C7D15" w:rsidRPr="00B327D8" w:rsidRDefault="00491899" w:rsidP="006C3463">
            <w:pPr>
              <w:pStyle w:val="InstructionsText2"/>
              <w:jc w:val="left"/>
              <w:rPr>
                <w:rFonts w:asciiTheme="minorHAnsi" w:hAnsiTheme="minorHAnsi"/>
                <w:b/>
                <w:bCs/>
                <w:sz w:val="20"/>
                <w:szCs w:val="20"/>
                <w:u w:val="single"/>
                <w:lang w:val="en-US"/>
              </w:rPr>
            </w:pPr>
            <w:r w:rsidRPr="004A121F">
              <w:rPr>
                <w:rFonts w:asciiTheme="minorHAnsi" w:hAnsiTheme="minorHAnsi"/>
                <w:sz w:val="20"/>
              </w:rPr>
              <w:t>Indicate whether the entity offered TCSP</w:t>
            </w:r>
            <w:r w:rsidR="00662CC7">
              <w:rPr>
                <w:rFonts w:asciiTheme="minorHAnsi" w:hAnsiTheme="minorHAnsi"/>
                <w:sz w:val="20"/>
              </w:rPr>
              <w:t xml:space="preserve"> (Trust </w:t>
            </w:r>
            <w:r w:rsidR="00976253">
              <w:rPr>
                <w:rFonts w:asciiTheme="minorHAnsi" w:hAnsiTheme="minorHAnsi"/>
                <w:sz w:val="20"/>
              </w:rPr>
              <w:t>company service provider)</w:t>
            </w:r>
            <w:r w:rsidRPr="004A121F">
              <w:rPr>
                <w:rFonts w:asciiTheme="minorHAnsi" w:hAnsiTheme="minorHAnsi"/>
                <w:sz w:val="20"/>
              </w:rPr>
              <w:t xml:space="preserve"> services at any point during the reference year. This is a binary flag (Yes/No) to determine the scope of subsequent reporting tables.</w:t>
            </w:r>
          </w:p>
        </w:tc>
      </w:tr>
      <w:tr w:rsidR="00A10CBD" w:rsidRPr="009B282E" w14:paraId="6B96C306" w14:textId="77777777" w:rsidTr="00ED77D4">
        <w:tc>
          <w:tcPr>
            <w:tcW w:w="1673" w:type="dxa"/>
            <w:tcBorders>
              <w:top w:val="single" w:sz="4" w:space="0" w:color="auto"/>
              <w:left w:val="single" w:sz="4" w:space="0" w:color="auto"/>
              <w:bottom w:val="single" w:sz="4" w:space="0" w:color="auto"/>
              <w:right w:val="single" w:sz="4" w:space="0" w:color="auto"/>
            </w:tcBorders>
          </w:tcPr>
          <w:p w14:paraId="05E62D15" w14:textId="498D32EE" w:rsidR="001C7D15" w:rsidRPr="00B327D8" w:rsidRDefault="007A10B9" w:rsidP="00F32516">
            <w:pPr>
              <w:pStyle w:val="InstructionsText"/>
              <w:rPr>
                <w:rStyle w:val="FormatvorlageInstructionsTabelleText"/>
                <w:rFonts w:asciiTheme="minorHAnsi" w:hAnsiTheme="minorHAnsi"/>
              </w:rPr>
            </w:pPr>
            <w:r w:rsidRPr="00320966">
              <w:t>C0230</w:t>
            </w:r>
          </w:p>
        </w:tc>
        <w:tc>
          <w:tcPr>
            <w:tcW w:w="7616"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14:paraId="4C59410A" w14:textId="77922DA6" w:rsidR="00491899" w:rsidRDefault="00491899" w:rsidP="001C7D15">
            <w:pPr>
              <w:pStyle w:val="InstructionsText2"/>
              <w:jc w:val="left"/>
              <w:rPr>
                <w:rFonts w:asciiTheme="minorHAnsi" w:hAnsiTheme="minorHAnsi"/>
                <w:b/>
                <w:bCs/>
                <w:sz w:val="20"/>
                <w:szCs w:val="20"/>
                <w:u w:val="single"/>
              </w:rPr>
            </w:pPr>
            <w:r w:rsidRPr="008F10A8">
              <w:rPr>
                <w:rFonts w:ascii="Aptos" w:hAnsi="Aptos"/>
                <w:b/>
                <w:bCs/>
                <w:sz w:val="20"/>
                <w:szCs w:val="20"/>
                <w:u w:val="single"/>
              </w:rPr>
              <w:t>Crypto Services (</w:t>
            </w:r>
            <w:r w:rsidR="00C50A21">
              <w:rPr>
                <w:rFonts w:ascii="Aptos" w:hAnsi="Aptos"/>
                <w:b/>
                <w:bCs/>
                <w:sz w:val="20"/>
                <w:szCs w:val="20"/>
                <w:u w:val="single"/>
              </w:rPr>
              <w:t>e</w:t>
            </w:r>
            <w:r w:rsidRPr="008F10A8">
              <w:rPr>
                <w:rFonts w:ascii="Aptos" w:hAnsi="Aptos"/>
                <w:b/>
                <w:bCs/>
                <w:sz w:val="20"/>
                <w:szCs w:val="20"/>
                <w:u w:val="single"/>
              </w:rPr>
              <w:t>xchange</w:t>
            </w:r>
            <w:r w:rsidR="00C50A21">
              <w:rPr>
                <w:rFonts w:ascii="Aptos" w:hAnsi="Aptos"/>
                <w:b/>
                <w:bCs/>
                <w:sz w:val="20"/>
                <w:szCs w:val="20"/>
                <w:u w:val="single"/>
              </w:rPr>
              <w:t>, transfer</w:t>
            </w:r>
            <w:r w:rsidRPr="008F10A8">
              <w:rPr>
                <w:rFonts w:ascii="Aptos" w:hAnsi="Aptos"/>
                <w:b/>
                <w:bCs/>
                <w:sz w:val="20"/>
                <w:szCs w:val="20"/>
                <w:u w:val="single"/>
              </w:rPr>
              <w:t>)</w:t>
            </w:r>
          </w:p>
          <w:p w14:paraId="6A5C2225" w14:textId="2E97DF16" w:rsidR="001C7D15" w:rsidRPr="00B327D8" w:rsidRDefault="00491899" w:rsidP="006C3463">
            <w:pPr>
              <w:pStyle w:val="InstructionsText2"/>
              <w:jc w:val="left"/>
              <w:rPr>
                <w:rFonts w:asciiTheme="minorHAnsi" w:hAnsiTheme="minorHAnsi"/>
                <w:b/>
                <w:bCs/>
                <w:sz w:val="20"/>
                <w:szCs w:val="20"/>
                <w:u w:val="single"/>
                <w:lang w:val="en-US"/>
              </w:rPr>
            </w:pPr>
            <w:r w:rsidRPr="008F10A8">
              <w:rPr>
                <w:rFonts w:asciiTheme="minorHAnsi" w:hAnsiTheme="minorHAnsi"/>
                <w:sz w:val="20"/>
              </w:rPr>
              <w:t>Indicate whether the entity offered Crypto services (exchange</w:t>
            </w:r>
            <w:r w:rsidR="00662CC7">
              <w:rPr>
                <w:rFonts w:asciiTheme="minorHAnsi" w:hAnsiTheme="minorHAnsi"/>
                <w:sz w:val="20"/>
              </w:rPr>
              <w:t>, transfer</w:t>
            </w:r>
            <w:r w:rsidRPr="008F10A8">
              <w:rPr>
                <w:rFonts w:asciiTheme="minorHAnsi" w:hAnsiTheme="minorHAnsi"/>
                <w:sz w:val="20"/>
              </w:rPr>
              <w:t>) at any point during the reference year. This is a binary flag (Yes/No) to determine the scope of subsequent reporting tables.</w:t>
            </w:r>
          </w:p>
        </w:tc>
      </w:tr>
      <w:tr w:rsidR="00A10CBD" w:rsidRPr="00327997" w14:paraId="381FA8AB" w14:textId="77777777" w:rsidTr="00ED77D4">
        <w:tc>
          <w:tcPr>
            <w:tcW w:w="1673" w:type="dxa"/>
            <w:tcBorders>
              <w:top w:val="single" w:sz="4" w:space="0" w:color="auto"/>
              <w:left w:val="single" w:sz="4" w:space="0" w:color="auto"/>
              <w:bottom w:val="single" w:sz="4" w:space="0" w:color="auto"/>
              <w:right w:val="single" w:sz="4" w:space="0" w:color="auto"/>
            </w:tcBorders>
          </w:tcPr>
          <w:p w14:paraId="2ED46AA5" w14:textId="66BE2E65" w:rsidR="001C7D15" w:rsidRPr="00B327D8" w:rsidRDefault="001C7D15" w:rsidP="00F32516">
            <w:pPr>
              <w:pStyle w:val="InstructionsText"/>
              <w:rPr>
                <w:rStyle w:val="FormatvorlageInstructionsTabelleText"/>
                <w:rFonts w:asciiTheme="minorHAnsi" w:hAnsiTheme="minorHAnsi"/>
              </w:rPr>
            </w:pPr>
            <w:r w:rsidRPr="00320966">
              <w:t>C02</w:t>
            </w:r>
            <w:r w:rsidR="007A10B9">
              <w:t>4</w:t>
            </w:r>
            <w:r w:rsidRPr="00320966">
              <w:t>0</w:t>
            </w:r>
          </w:p>
        </w:tc>
        <w:tc>
          <w:tcPr>
            <w:tcW w:w="7616"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14:paraId="2C3E4D5E" w14:textId="77777777" w:rsidR="00491899" w:rsidRDefault="00491899" w:rsidP="001C7D15">
            <w:pPr>
              <w:pStyle w:val="InstructionsText2"/>
              <w:jc w:val="left"/>
              <w:rPr>
                <w:rFonts w:asciiTheme="minorHAnsi" w:hAnsiTheme="minorHAnsi"/>
                <w:b/>
                <w:bCs/>
                <w:sz w:val="20"/>
                <w:szCs w:val="20"/>
                <w:u w:val="single"/>
              </w:rPr>
            </w:pPr>
            <w:r w:rsidRPr="00C50A21">
              <w:rPr>
                <w:rFonts w:ascii="Aptos" w:hAnsi="Aptos"/>
                <w:b/>
                <w:bCs/>
                <w:sz w:val="20"/>
                <w:szCs w:val="20"/>
                <w:u w:val="single"/>
              </w:rPr>
              <w:t>Management of UCITS</w:t>
            </w:r>
          </w:p>
          <w:p w14:paraId="260C121D" w14:textId="4EE85FC4" w:rsidR="001C7D15" w:rsidRPr="00B327D8" w:rsidRDefault="00491899" w:rsidP="007A5A8B">
            <w:pPr>
              <w:pStyle w:val="InstructionsText2"/>
              <w:jc w:val="left"/>
              <w:rPr>
                <w:rFonts w:asciiTheme="minorHAnsi" w:hAnsiTheme="minorHAnsi"/>
                <w:b/>
                <w:bCs/>
                <w:sz w:val="20"/>
                <w:szCs w:val="20"/>
                <w:u w:val="single"/>
                <w:lang w:val="en-US"/>
              </w:rPr>
            </w:pPr>
            <w:r w:rsidRPr="00C50A21">
              <w:rPr>
                <w:rFonts w:asciiTheme="minorHAnsi" w:hAnsiTheme="minorHAnsi"/>
                <w:sz w:val="20"/>
              </w:rPr>
              <w:t>Indicate whether the entity offered management of UCITS at any point during the reference year. This is a binary flag (Yes/No) to determine the scope of subsequent reporting tables.</w:t>
            </w:r>
          </w:p>
        </w:tc>
      </w:tr>
      <w:tr w:rsidR="00A10CBD" w:rsidRPr="00327997" w14:paraId="23F51751" w14:textId="77777777" w:rsidTr="00ED77D4">
        <w:tc>
          <w:tcPr>
            <w:tcW w:w="1673" w:type="dxa"/>
            <w:tcBorders>
              <w:top w:val="single" w:sz="4" w:space="0" w:color="auto"/>
              <w:left w:val="single" w:sz="4" w:space="0" w:color="auto"/>
              <w:bottom w:val="single" w:sz="4" w:space="0" w:color="auto"/>
              <w:right w:val="single" w:sz="4" w:space="0" w:color="auto"/>
            </w:tcBorders>
          </w:tcPr>
          <w:p w14:paraId="5151C052" w14:textId="6AD53F8E" w:rsidR="001C7D15" w:rsidRPr="00B327D8" w:rsidRDefault="001C7D15" w:rsidP="00F32516">
            <w:pPr>
              <w:pStyle w:val="InstructionsText"/>
              <w:rPr>
                <w:rStyle w:val="FormatvorlageInstructionsTabelleText"/>
                <w:rFonts w:asciiTheme="minorHAnsi" w:hAnsiTheme="minorHAnsi"/>
              </w:rPr>
            </w:pPr>
            <w:r w:rsidRPr="00320966">
              <w:t>C02</w:t>
            </w:r>
            <w:r w:rsidR="00677EE2">
              <w:t>5</w:t>
            </w:r>
            <w:r w:rsidRPr="00320966">
              <w:t>0</w:t>
            </w:r>
          </w:p>
        </w:tc>
        <w:tc>
          <w:tcPr>
            <w:tcW w:w="7616"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14:paraId="47C8FA36" w14:textId="77777777" w:rsidR="00491899" w:rsidRDefault="00491899" w:rsidP="001C7D15">
            <w:pPr>
              <w:pStyle w:val="InstructionsText2"/>
              <w:jc w:val="left"/>
              <w:rPr>
                <w:rFonts w:asciiTheme="minorHAnsi" w:hAnsiTheme="minorHAnsi"/>
                <w:b/>
                <w:bCs/>
                <w:sz w:val="20"/>
                <w:szCs w:val="20"/>
                <w:u w:val="single"/>
              </w:rPr>
            </w:pPr>
            <w:r w:rsidRPr="004A71FD">
              <w:rPr>
                <w:rFonts w:ascii="Aptos" w:hAnsi="Aptos"/>
                <w:b/>
                <w:bCs/>
                <w:sz w:val="20"/>
                <w:szCs w:val="20"/>
                <w:u w:val="single"/>
              </w:rPr>
              <w:t>Management of AIFs</w:t>
            </w:r>
          </w:p>
          <w:p w14:paraId="484BEDF8" w14:textId="271A443E" w:rsidR="001C7D15" w:rsidRPr="00B327D8" w:rsidRDefault="00491899" w:rsidP="00797FA0">
            <w:pPr>
              <w:pStyle w:val="InstructionsText2"/>
              <w:jc w:val="left"/>
              <w:rPr>
                <w:rFonts w:asciiTheme="minorHAnsi" w:hAnsiTheme="minorHAnsi"/>
                <w:b/>
                <w:bCs/>
                <w:sz w:val="20"/>
                <w:szCs w:val="20"/>
                <w:u w:val="single"/>
              </w:rPr>
            </w:pPr>
            <w:r w:rsidRPr="004A71FD">
              <w:rPr>
                <w:rFonts w:asciiTheme="minorHAnsi" w:hAnsiTheme="minorHAnsi"/>
                <w:sz w:val="20"/>
              </w:rPr>
              <w:t>Indicate whether the entity offered management of AIFS at any point during the reference year. This is a binary flag (Yes/No) to determine the scope of subsequent reporting tables.</w:t>
            </w:r>
          </w:p>
        </w:tc>
      </w:tr>
      <w:tr w:rsidR="00A10CBD" w:rsidRPr="00327997" w14:paraId="5A0E04AB" w14:textId="77777777" w:rsidTr="00ED77D4">
        <w:tc>
          <w:tcPr>
            <w:tcW w:w="1673" w:type="dxa"/>
            <w:tcBorders>
              <w:top w:val="single" w:sz="4" w:space="0" w:color="auto"/>
              <w:left w:val="single" w:sz="4" w:space="0" w:color="auto"/>
              <w:bottom w:val="single" w:sz="4" w:space="0" w:color="auto"/>
              <w:right w:val="single" w:sz="4" w:space="0" w:color="auto"/>
            </w:tcBorders>
          </w:tcPr>
          <w:p w14:paraId="12FCA316" w14:textId="04F9A0EA" w:rsidR="006C26A0" w:rsidRPr="00320966" w:rsidRDefault="006C26A0" w:rsidP="006C26A0">
            <w:pPr>
              <w:pStyle w:val="InstructionsText"/>
            </w:pPr>
            <w:r w:rsidRPr="00320966">
              <w:t>C02</w:t>
            </w:r>
            <w:r w:rsidR="005A41F6">
              <w:t>6</w:t>
            </w:r>
            <w:r w:rsidRPr="00320966">
              <w:t>0</w:t>
            </w:r>
          </w:p>
        </w:tc>
        <w:tc>
          <w:tcPr>
            <w:tcW w:w="7616"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14:paraId="7C025EC3" w14:textId="77777777" w:rsidR="006C26A0" w:rsidRDefault="006C26A0" w:rsidP="006C26A0">
            <w:pPr>
              <w:pStyle w:val="InstructionsText2"/>
              <w:jc w:val="left"/>
              <w:rPr>
                <w:rFonts w:ascii="Aptos" w:hAnsi="Aptos"/>
                <w:b/>
                <w:bCs/>
                <w:sz w:val="20"/>
                <w:szCs w:val="20"/>
                <w:u w:val="single"/>
              </w:rPr>
            </w:pPr>
            <w:r w:rsidRPr="006C26A0">
              <w:rPr>
                <w:rFonts w:ascii="Aptos" w:hAnsi="Aptos"/>
                <w:b/>
                <w:bCs/>
                <w:sz w:val="20"/>
                <w:szCs w:val="20"/>
                <w:u w:val="single"/>
              </w:rPr>
              <w:t>Crypto FIAT Cards</w:t>
            </w:r>
          </w:p>
          <w:p w14:paraId="01093A4B" w14:textId="267EE626" w:rsidR="006C26A0" w:rsidRPr="004A71FD" w:rsidRDefault="00E27F07" w:rsidP="006C26A0">
            <w:pPr>
              <w:pStyle w:val="InstructionsText2"/>
              <w:jc w:val="left"/>
              <w:rPr>
                <w:rFonts w:ascii="Aptos" w:hAnsi="Aptos"/>
                <w:b/>
                <w:bCs/>
                <w:sz w:val="20"/>
                <w:szCs w:val="20"/>
                <w:u w:val="single"/>
              </w:rPr>
            </w:pPr>
            <w:r w:rsidRPr="004A71FD">
              <w:rPr>
                <w:rFonts w:asciiTheme="minorHAnsi" w:hAnsiTheme="minorHAnsi"/>
                <w:sz w:val="20"/>
              </w:rPr>
              <w:t xml:space="preserve">Indicate whether the entity offered </w:t>
            </w:r>
            <w:r>
              <w:rPr>
                <w:rFonts w:asciiTheme="minorHAnsi" w:hAnsiTheme="minorHAnsi"/>
                <w:sz w:val="20"/>
              </w:rPr>
              <w:t xml:space="preserve">Crypto FIAT cards </w:t>
            </w:r>
            <w:r w:rsidRPr="004A71FD">
              <w:rPr>
                <w:rFonts w:asciiTheme="minorHAnsi" w:hAnsiTheme="minorHAnsi"/>
                <w:sz w:val="20"/>
              </w:rPr>
              <w:t>at any point during the reference year. This is a binary flag (Yes/No) to determine the scope of subsequent reporting tables.</w:t>
            </w:r>
          </w:p>
        </w:tc>
      </w:tr>
      <w:tr w:rsidR="00A10CBD" w:rsidRPr="00327997" w14:paraId="631AB63F" w14:textId="77777777" w:rsidTr="00ED77D4">
        <w:tc>
          <w:tcPr>
            <w:tcW w:w="1673" w:type="dxa"/>
            <w:tcBorders>
              <w:top w:val="single" w:sz="4" w:space="0" w:color="auto"/>
              <w:left w:val="single" w:sz="4" w:space="0" w:color="auto"/>
              <w:bottom w:val="single" w:sz="4" w:space="0" w:color="auto"/>
              <w:right w:val="single" w:sz="4" w:space="0" w:color="auto"/>
            </w:tcBorders>
          </w:tcPr>
          <w:p w14:paraId="39A2F1F7" w14:textId="44E92BD9" w:rsidR="001C7D15" w:rsidRPr="00B327D8" w:rsidRDefault="006C26A0" w:rsidP="00F32516">
            <w:pPr>
              <w:pStyle w:val="InstructionsText"/>
              <w:rPr>
                <w:rStyle w:val="FormatvorlageInstructionsTabelleText"/>
                <w:rFonts w:asciiTheme="minorHAnsi" w:hAnsiTheme="minorHAnsi"/>
              </w:rPr>
            </w:pPr>
            <w:r w:rsidRPr="00320966">
              <w:t>C02</w:t>
            </w:r>
            <w:r w:rsidR="005A41F6">
              <w:t>7</w:t>
            </w:r>
            <w:r w:rsidRPr="00320966">
              <w:t>0</w:t>
            </w:r>
          </w:p>
        </w:tc>
        <w:tc>
          <w:tcPr>
            <w:tcW w:w="7616"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14:paraId="162EDF92" w14:textId="77777777" w:rsidR="00491899" w:rsidRDefault="00491899" w:rsidP="001C7D15">
            <w:pPr>
              <w:pStyle w:val="InstructionsText2"/>
              <w:jc w:val="left"/>
              <w:rPr>
                <w:rFonts w:asciiTheme="minorHAnsi" w:hAnsiTheme="minorHAnsi"/>
                <w:b/>
                <w:bCs/>
                <w:sz w:val="20"/>
                <w:szCs w:val="20"/>
                <w:u w:val="single"/>
              </w:rPr>
            </w:pPr>
            <w:r w:rsidRPr="008834A2">
              <w:rPr>
                <w:rFonts w:ascii="Aptos" w:hAnsi="Aptos"/>
                <w:b/>
                <w:bCs/>
                <w:sz w:val="20"/>
                <w:szCs w:val="20"/>
                <w:u w:val="single"/>
              </w:rPr>
              <w:t>Safe Custody Services</w:t>
            </w:r>
          </w:p>
          <w:p w14:paraId="3B296361" w14:textId="21F86DB0" w:rsidR="001C7D15" w:rsidRPr="00B327D8" w:rsidRDefault="00491899" w:rsidP="00797FA0">
            <w:pPr>
              <w:pStyle w:val="InstructionsText2"/>
              <w:jc w:val="left"/>
              <w:rPr>
                <w:rFonts w:asciiTheme="minorHAnsi" w:hAnsiTheme="minorHAnsi"/>
                <w:b/>
                <w:bCs/>
                <w:sz w:val="20"/>
                <w:szCs w:val="20"/>
                <w:u w:val="single"/>
                <w:lang w:val="en-US"/>
              </w:rPr>
            </w:pPr>
            <w:r w:rsidRPr="008834A2">
              <w:rPr>
                <w:rFonts w:asciiTheme="minorHAnsi" w:hAnsiTheme="minorHAnsi"/>
                <w:sz w:val="20"/>
              </w:rPr>
              <w:t>Indicate whether the entity offered safe custody services at any point during the reference year. This is a binary flag (Yes/No) to determine the scope of subsequent reporting tables.</w:t>
            </w:r>
          </w:p>
        </w:tc>
      </w:tr>
      <w:tr w:rsidR="00A10CBD" w:rsidRPr="00327997" w14:paraId="7D2D9428" w14:textId="77777777" w:rsidTr="00ED77D4">
        <w:tc>
          <w:tcPr>
            <w:tcW w:w="1673" w:type="dxa"/>
            <w:tcBorders>
              <w:top w:val="single" w:sz="4" w:space="0" w:color="auto"/>
              <w:left w:val="single" w:sz="4" w:space="0" w:color="auto"/>
              <w:bottom w:val="single" w:sz="4" w:space="0" w:color="auto"/>
              <w:right w:val="single" w:sz="4" w:space="0" w:color="auto"/>
            </w:tcBorders>
          </w:tcPr>
          <w:p w14:paraId="3D87EC55" w14:textId="64103E0C" w:rsidR="001C7D15" w:rsidRPr="00B327D8" w:rsidRDefault="006C26A0" w:rsidP="00F32516">
            <w:pPr>
              <w:pStyle w:val="InstructionsText"/>
              <w:rPr>
                <w:rStyle w:val="FormatvorlageInstructionsTabelleText"/>
                <w:rFonts w:asciiTheme="minorHAnsi" w:hAnsiTheme="minorHAnsi"/>
              </w:rPr>
            </w:pPr>
            <w:r w:rsidRPr="00320966">
              <w:t>C02</w:t>
            </w:r>
            <w:r w:rsidR="005A41F6">
              <w:t>8</w:t>
            </w:r>
            <w:r w:rsidRPr="00320966">
              <w:t>0</w:t>
            </w:r>
          </w:p>
        </w:tc>
        <w:tc>
          <w:tcPr>
            <w:tcW w:w="7616"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14:paraId="4FA8B280" w14:textId="77777777" w:rsidR="00491899" w:rsidRDefault="00491899" w:rsidP="001C7D15">
            <w:pPr>
              <w:pStyle w:val="InstructionsText2"/>
              <w:jc w:val="left"/>
              <w:rPr>
                <w:rFonts w:asciiTheme="minorHAnsi" w:hAnsiTheme="minorHAnsi"/>
                <w:b/>
                <w:bCs/>
                <w:sz w:val="20"/>
                <w:szCs w:val="20"/>
                <w:u w:val="single"/>
              </w:rPr>
            </w:pPr>
            <w:r w:rsidRPr="008834A2">
              <w:rPr>
                <w:rFonts w:ascii="Aptos" w:hAnsi="Aptos"/>
                <w:b/>
                <w:bCs/>
                <w:sz w:val="20"/>
                <w:szCs w:val="20"/>
                <w:u w:val="single"/>
              </w:rPr>
              <w:t>Crowdfunding</w:t>
            </w:r>
          </w:p>
          <w:p w14:paraId="22825618" w14:textId="28402BAD" w:rsidR="001C7D15" w:rsidRPr="00B327D8" w:rsidRDefault="00491899" w:rsidP="00797FA0">
            <w:pPr>
              <w:pStyle w:val="InstructionsText2"/>
              <w:jc w:val="left"/>
              <w:rPr>
                <w:rFonts w:asciiTheme="minorHAnsi" w:hAnsiTheme="minorHAnsi"/>
                <w:b/>
                <w:bCs/>
                <w:sz w:val="20"/>
                <w:szCs w:val="20"/>
                <w:u w:val="single"/>
                <w:lang w:val="en-US"/>
              </w:rPr>
            </w:pPr>
            <w:r w:rsidRPr="008834A2">
              <w:rPr>
                <w:rFonts w:asciiTheme="minorHAnsi" w:hAnsiTheme="minorHAnsi"/>
                <w:sz w:val="20"/>
              </w:rPr>
              <w:t>Indicate whether the entity offered crowdfunding at any point during the reference year. This is a binary flag (Yes/No) to determine the scope of subsequent reporting tables.</w:t>
            </w:r>
          </w:p>
        </w:tc>
      </w:tr>
      <w:tr w:rsidR="00A10CBD" w:rsidRPr="009B282E" w14:paraId="51E6896A" w14:textId="77777777" w:rsidTr="00ED77D4">
        <w:tc>
          <w:tcPr>
            <w:tcW w:w="1673" w:type="dxa"/>
            <w:tcBorders>
              <w:top w:val="single" w:sz="4" w:space="0" w:color="auto"/>
              <w:left w:val="single" w:sz="4" w:space="0" w:color="auto"/>
              <w:bottom w:val="single" w:sz="4" w:space="0" w:color="auto"/>
              <w:right w:val="single" w:sz="4" w:space="0" w:color="auto"/>
            </w:tcBorders>
          </w:tcPr>
          <w:p w14:paraId="5899C0A2" w14:textId="3B4337B9" w:rsidR="001C7D15" w:rsidRPr="00B327D8" w:rsidRDefault="001C7D15" w:rsidP="00F32516">
            <w:pPr>
              <w:pStyle w:val="InstructionsText"/>
              <w:rPr>
                <w:rStyle w:val="FormatvorlageInstructionsTabelleText"/>
                <w:rFonts w:asciiTheme="minorHAnsi" w:hAnsiTheme="minorHAnsi"/>
              </w:rPr>
            </w:pPr>
            <w:r w:rsidRPr="00320966">
              <w:t>C02</w:t>
            </w:r>
            <w:r w:rsidR="005A41F6">
              <w:t>9</w:t>
            </w:r>
            <w:r w:rsidR="006C26A0">
              <w:t>0</w:t>
            </w:r>
          </w:p>
        </w:tc>
        <w:tc>
          <w:tcPr>
            <w:tcW w:w="7616"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14:paraId="51F258F6" w14:textId="77777777" w:rsidR="00491899" w:rsidRDefault="00491899" w:rsidP="001C7D15">
            <w:pPr>
              <w:pStyle w:val="InstructionsText2"/>
              <w:jc w:val="left"/>
              <w:rPr>
                <w:rFonts w:asciiTheme="minorHAnsi" w:hAnsiTheme="minorHAnsi"/>
                <w:b/>
                <w:bCs/>
                <w:sz w:val="20"/>
                <w:szCs w:val="20"/>
                <w:u w:val="single"/>
              </w:rPr>
            </w:pPr>
            <w:r w:rsidRPr="00AB4EFD">
              <w:rPr>
                <w:rFonts w:ascii="Aptos" w:hAnsi="Aptos"/>
                <w:b/>
                <w:bCs/>
                <w:sz w:val="20"/>
                <w:szCs w:val="20"/>
                <w:u w:val="single"/>
              </w:rPr>
              <w:t>Cash Transactions</w:t>
            </w:r>
          </w:p>
          <w:p w14:paraId="1D7FFBAB" w14:textId="4B17772D" w:rsidR="001C7D15" w:rsidRPr="00B327D8" w:rsidRDefault="00491899" w:rsidP="00797FA0">
            <w:pPr>
              <w:pStyle w:val="InstructionsText2"/>
              <w:jc w:val="left"/>
              <w:rPr>
                <w:rFonts w:asciiTheme="minorHAnsi" w:hAnsiTheme="minorHAnsi"/>
                <w:b/>
                <w:bCs/>
                <w:sz w:val="20"/>
                <w:szCs w:val="20"/>
                <w:u w:val="single"/>
                <w:lang w:val="en-US"/>
              </w:rPr>
            </w:pPr>
            <w:r w:rsidRPr="00AB4EFD">
              <w:rPr>
                <w:rFonts w:asciiTheme="minorHAnsi" w:hAnsiTheme="minorHAnsi"/>
                <w:sz w:val="20"/>
              </w:rPr>
              <w:t>Indicate whether the entity offered cash transactions at any point during the reference year. This is a binary flag (Yes/No) to determine the scope of subsequent reporting tables.</w:t>
            </w:r>
          </w:p>
        </w:tc>
      </w:tr>
    </w:tbl>
    <w:p w14:paraId="66307800" w14:textId="32286E61" w:rsidR="00930FAE" w:rsidRPr="00EC7C0A" w:rsidRDefault="00930FAE" w:rsidP="00930FAE">
      <w:pPr>
        <w:pStyle w:val="Heading2nonumber"/>
        <w:rPr>
          <w:rFonts w:asciiTheme="minorHAnsi" w:hAnsiTheme="minorHAnsi"/>
          <w:lang w:val="en-IE"/>
        </w:rPr>
      </w:pPr>
      <w:bookmarkStart w:id="69" w:name="_Toc221355964"/>
      <w:bookmarkStart w:id="70" w:name="_Toc223104830"/>
      <w:r w:rsidRPr="00EC7C0A">
        <w:rPr>
          <w:rFonts w:asciiTheme="minorHAnsi" w:hAnsiTheme="minorHAnsi"/>
          <w:lang w:val="en-GB"/>
        </w:rPr>
        <w:t>AML.01.0</w:t>
      </w:r>
      <w:r w:rsidR="00696305" w:rsidRPr="00EC7C0A">
        <w:rPr>
          <w:rFonts w:asciiTheme="minorHAnsi" w:hAnsiTheme="minorHAnsi"/>
          <w:lang w:val="en-GB"/>
        </w:rPr>
        <w:t>2</w:t>
      </w:r>
      <w:r w:rsidRPr="00EC7C0A">
        <w:rPr>
          <w:rFonts w:asciiTheme="minorHAnsi" w:hAnsiTheme="minorHAnsi"/>
          <w:lang w:val="en-GB"/>
        </w:rPr>
        <w:t xml:space="preserve"> Comments</w:t>
      </w:r>
      <w:bookmarkEnd w:id="69"/>
      <w:bookmarkEnd w:id="70"/>
      <w:r w:rsidRPr="00EC7C0A">
        <w:rPr>
          <w:rFonts w:asciiTheme="minorHAnsi" w:hAnsiTheme="minorHAnsi"/>
          <w:lang w:val="en-GB"/>
        </w:rPr>
        <w:t xml:space="preserve"> </w:t>
      </w:r>
    </w:p>
    <w:p w14:paraId="7965703D" w14:textId="77777777" w:rsidR="00F72D95" w:rsidRDefault="00F72D95" w:rsidP="00F72D95">
      <w:pPr>
        <w:rPr>
          <w:rFonts w:asciiTheme="minorHAnsi" w:hAnsiTheme="minorHAnsi"/>
          <w:b/>
          <w:bCs/>
          <w:sz w:val="24"/>
          <w:szCs w:val="24"/>
        </w:rPr>
      </w:pPr>
      <w:r w:rsidRPr="00A20427">
        <w:rPr>
          <w:rFonts w:asciiTheme="minorHAnsi" w:hAnsiTheme="minorHAnsi"/>
          <w:b/>
          <w:bCs/>
          <w:sz w:val="24"/>
          <w:szCs w:val="24"/>
        </w:rPr>
        <w:t>Template Remarks</w:t>
      </w:r>
    </w:p>
    <w:p w14:paraId="77E1CFF0" w14:textId="0459AC2A" w:rsidR="00BC46AF" w:rsidRPr="00BC46AF" w:rsidRDefault="00BC46AF" w:rsidP="00BC46AF">
      <w:pPr>
        <w:rPr>
          <w:rFonts w:asciiTheme="minorHAnsi" w:hAnsiTheme="minorHAnsi"/>
          <w:bCs/>
          <w:iCs/>
          <w:szCs w:val="22"/>
        </w:rPr>
      </w:pPr>
      <w:r w:rsidRPr="00BC46AF">
        <w:rPr>
          <w:rFonts w:asciiTheme="minorHAnsi" w:hAnsiTheme="minorHAnsi"/>
          <w:bCs/>
          <w:iCs/>
          <w:szCs w:val="22"/>
        </w:rPr>
        <w:t xml:space="preserve">This template (cluster of datapoints) is applicable for all sectors </w:t>
      </w:r>
    </w:p>
    <w:p w14:paraId="0B3CC45B" w14:textId="5885DC61" w:rsidR="00160352" w:rsidRPr="00D51AF2" w:rsidRDefault="008E244F" w:rsidP="00F54292">
      <w:pPr>
        <w:jc w:val="both"/>
        <w:rPr>
          <w:rFonts w:asciiTheme="minorHAnsi" w:hAnsiTheme="minorHAnsi"/>
          <w:szCs w:val="22"/>
        </w:rPr>
      </w:pPr>
      <w:r w:rsidRPr="00D51AF2">
        <w:rPr>
          <w:rFonts w:asciiTheme="minorHAnsi" w:hAnsiTheme="minorHAnsi"/>
          <w:szCs w:val="22"/>
        </w:rPr>
        <w:t xml:space="preserve">Use this template </w:t>
      </w:r>
      <w:r w:rsidRPr="00D51AF2">
        <w:rPr>
          <w:rFonts w:asciiTheme="minorHAnsi" w:hAnsiTheme="minorHAnsi"/>
          <w:szCs w:val="22"/>
          <w:u w:val="single"/>
        </w:rPr>
        <w:t>only</w:t>
      </w:r>
      <w:r w:rsidRPr="00D51AF2" w:rsidDel="00C237FF">
        <w:rPr>
          <w:rFonts w:asciiTheme="minorHAnsi" w:hAnsiTheme="minorHAnsi"/>
          <w:szCs w:val="22"/>
        </w:rPr>
        <w:t xml:space="preserve"> </w:t>
      </w:r>
      <w:r w:rsidRPr="00D51AF2">
        <w:rPr>
          <w:rFonts w:asciiTheme="minorHAnsi" w:hAnsiTheme="minorHAnsi"/>
          <w:szCs w:val="22"/>
        </w:rPr>
        <w:t xml:space="preserve">to report comments related to the testing exercise or the information submitted. Please note that comments must not change or reinterpret the reported data. They should only </w:t>
      </w:r>
      <w:r w:rsidR="005E268C" w:rsidRPr="00D51AF2">
        <w:rPr>
          <w:rFonts w:asciiTheme="minorHAnsi" w:hAnsiTheme="minorHAnsi"/>
          <w:szCs w:val="22"/>
        </w:rPr>
        <w:t xml:space="preserve">serve to </w:t>
      </w:r>
      <w:r w:rsidRPr="00D51AF2">
        <w:rPr>
          <w:rFonts w:asciiTheme="minorHAnsi" w:hAnsiTheme="minorHAnsi"/>
          <w:szCs w:val="22"/>
        </w:rPr>
        <w:t>clarify methodologies applied, assumptions made, or issues encountered during the preparation of the testing exercise information</w:t>
      </w:r>
      <w:r w:rsidR="00E46CBE" w:rsidRPr="00D51AF2">
        <w:rPr>
          <w:rFonts w:asciiTheme="minorHAnsi" w:hAnsiTheme="minorHAnsi"/>
          <w:szCs w:val="22"/>
        </w:rPr>
        <w:t>.</w:t>
      </w:r>
    </w:p>
    <w:tbl>
      <w:tblPr>
        <w:tblW w:w="92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3"/>
        <w:gridCol w:w="7616"/>
      </w:tblGrid>
      <w:tr w:rsidR="005E211E" w:rsidRPr="009B282E" w14:paraId="2F360AF0" w14:textId="77777777">
        <w:tc>
          <w:tcPr>
            <w:tcW w:w="16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C04D60" w14:textId="77777777" w:rsidR="003343BD" w:rsidRPr="009275BC" w:rsidRDefault="003343BD" w:rsidP="00F32516">
            <w:pPr>
              <w:pStyle w:val="InstructionsText"/>
              <w:rPr>
                <w:rStyle w:val="InstructionsTabelleText"/>
                <w:rFonts w:asciiTheme="minorHAnsi" w:hAnsiTheme="minorHAnsi"/>
                <w:bCs w:val="0"/>
                <w:lang w:eastAsia="en-US"/>
              </w:rPr>
            </w:pPr>
            <w:r w:rsidRPr="009275BC">
              <w:rPr>
                <w:rStyle w:val="InstructionsTabelleText"/>
                <w:rFonts w:asciiTheme="minorHAnsi" w:hAnsiTheme="minorHAnsi"/>
              </w:rPr>
              <w:t>Column code</w:t>
            </w:r>
          </w:p>
        </w:tc>
        <w:tc>
          <w:tcPr>
            <w:tcW w:w="76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6509CF" w14:textId="77777777" w:rsidR="003343BD" w:rsidRPr="009275BC" w:rsidRDefault="003343BD" w:rsidP="00F32516">
            <w:pPr>
              <w:pStyle w:val="InstructionsText"/>
              <w:rPr>
                <w:rStyle w:val="InstructionsTabelleText"/>
                <w:rFonts w:asciiTheme="minorHAnsi" w:hAnsiTheme="minorHAnsi"/>
                <w:bCs w:val="0"/>
                <w:lang w:eastAsia="en-US"/>
              </w:rPr>
            </w:pPr>
            <w:r w:rsidRPr="009275BC">
              <w:rPr>
                <w:rStyle w:val="InstructionsTabelleText"/>
                <w:rFonts w:asciiTheme="minorHAnsi" w:hAnsiTheme="minorHAnsi"/>
              </w:rPr>
              <w:t>Legal references and instructions</w:t>
            </w:r>
          </w:p>
        </w:tc>
      </w:tr>
      <w:tr w:rsidR="00A10CBD" w:rsidRPr="009B282E" w14:paraId="3DCDEC40" w14:textId="77777777">
        <w:tc>
          <w:tcPr>
            <w:tcW w:w="1673" w:type="dxa"/>
            <w:tcBorders>
              <w:top w:val="single" w:sz="4" w:space="0" w:color="auto"/>
              <w:left w:val="single" w:sz="4" w:space="0" w:color="auto"/>
              <w:bottom w:val="single" w:sz="4" w:space="0" w:color="auto"/>
              <w:right w:val="single" w:sz="4" w:space="0" w:color="auto"/>
            </w:tcBorders>
          </w:tcPr>
          <w:p w14:paraId="474E70A1" w14:textId="2EA0CF71" w:rsidR="003343BD" w:rsidRPr="009275BC" w:rsidRDefault="003343BD"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w:t>
            </w:r>
            <w:r w:rsidR="009F252D" w:rsidRPr="009275BC">
              <w:rPr>
                <w:rStyle w:val="FormatvorlageInstructionsTabelleText"/>
                <w:rFonts w:asciiTheme="minorHAnsi" w:hAnsiTheme="minorHAnsi"/>
              </w:rPr>
              <w:t>10</w:t>
            </w:r>
          </w:p>
        </w:tc>
        <w:tc>
          <w:tcPr>
            <w:tcW w:w="76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0F6F42C" w14:textId="77777777" w:rsidR="00491899" w:rsidRDefault="00491899">
            <w:pPr>
              <w:pStyle w:val="InstructionsText2"/>
              <w:rPr>
                <w:rFonts w:asciiTheme="minorHAnsi" w:eastAsia="Verdana" w:hAnsiTheme="minorHAnsi"/>
                <w:sz w:val="20"/>
                <w:szCs w:val="20"/>
                <w:lang w:val="en-US"/>
              </w:rPr>
            </w:pPr>
            <w:r w:rsidRPr="0040293E">
              <w:rPr>
                <w:rFonts w:ascii="Aptos" w:eastAsia="Verdana" w:hAnsi="Aptos"/>
                <w:b/>
                <w:sz w:val="20"/>
                <w:szCs w:val="20"/>
                <w:u w:val="single"/>
                <w:lang w:val="en-US"/>
              </w:rPr>
              <w:t>Template Reference</w:t>
            </w:r>
          </w:p>
          <w:p w14:paraId="69C4CBDE" w14:textId="20A9A2DB" w:rsidR="003343BD" w:rsidRPr="00EC7C0A" w:rsidRDefault="009E4685">
            <w:pPr>
              <w:pStyle w:val="InstructionsText2"/>
              <w:rPr>
                <w:rFonts w:asciiTheme="minorHAnsi" w:eastAsia="Verdana" w:hAnsiTheme="minorHAnsi"/>
                <w:sz w:val="20"/>
                <w:szCs w:val="20"/>
                <w:lang w:val="en-US"/>
              </w:rPr>
            </w:pPr>
            <w:r w:rsidRPr="00EC7C0A">
              <w:rPr>
                <w:rFonts w:asciiTheme="minorHAnsi" w:eastAsia="Verdana" w:hAnsiTheme="minorHAnsi"/>
                <w:sz w:val="20"/>
                <w:szCs w:val="20"/>
                <w:lang w:val="en-US"/>
              </w:rPr>
              <w:t>Indicate</w:t>
            </w:r>
            <w:r w:rsidR="00A1282A" w:rsidRPr="00EC7C0A">
              <w:rPr>
                <w:rFonts w:asciiTheme="minorHAnsi" w:eastAsia="Verdana" w:hAnsiTheme="minorHAnsi"/>
                <w:sz w:val="20"/>
                <w:szCs w:val="20"/>
                <w:lang w:val="en-US"/>
              </w:rPr>
              <w:t xml:space="preserve"> the specific template the comment relate</w:t>
            </w:r>
            <w:r w:rsidR="006913AC">
              <w:rPr>
                <w:rFonts w:asciiTheme="minorHAnsi" w:eastAsia="Verdana" w:hAnsiTheme="minorHAnsi"/>
                <w:sz w:val="20"/>
                <w:szCs w:val="20"/>
                <w:lang w:val="en-US"/>
              </w:rPr>
              <w:t xml:space="preserve"> to</w:t>
            </w:r>
            <w:r w:rsidRPr="00EC7C0A">
              <w:rPr>
                <w:rFonts w:asciiTheme="minorHAnsi" w:eastAsia="Verdana" w:hAnsiTheme="minorHAnsi"/>
                <w:sz w:val="20"/>
                <w:szCs w:val="20"/>
                <w:lang w:val="en-US"/>
              </w:rPr>
              <w:t>.</w:t>
            </w:r>
            <w:r w:rsidR="0033334A">
              <w:rPr>
                <w:rFonts w:asciiTheme="minorHAnsi" w:eastAsia="Verdana" w:hAnsiTheme="minorHAnsi"/>
                <w:sz w:val="20"/>
                <w:szCs w:val="20"/>
                <w:lang w:val="en-US"/>
              </w:rPr>
              <w:t xml:space="preserve"> If the comment refers to the whole reporting obligation, leave it blank.</w:t>
            </w:r>
          </w:p>
        </w:tc>
      </w:tr>
      <w:tr w:rsidR="00A10CBD" w:rsidRPr="009B282E" w14:paraId="29692871" w14:textId="77777777">
        <w:tc>
          <w:tcPr>
            <w:tcW w:w="1673" w:type="dxa"/>
            <w:tcBorders>
              <w:top w:val="single" w:sz="4" w:space="0" w:color="auto"/>
              <w:left w:val="single" w:sz="4" w:space="0" w:color="auto"/>
              <w:bottom w:val="single" w:sz="4" w:space="0" w:color="auto"/>
              <w:right w:val="single" w:sz="4" w:space="0" w:color="auto"/>
            </w:tcBorders>
          </w:tcPr>
          <w:p w14:paraId="1FED1C9B" w14:textId="29FC959C" w:rsidR="003343BD" w:rsidRPr="009275BC" w:rsidRDefault="003343BD"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w:t>
            </w:r>
            <w:r w:rsidR="009F252D" w:rsidRPr="009275BC">
              <w:rPr>
                <w:rStyle w:val="FormatvorlageInstructionsTabelleText"/>
                <w:rFonts w:asciiTheme="minorHAnsi" w:hAnsiTheme="minorHAnsi"/>
              </w:rPr>
              <w:t>20</w:t>
            </w:r>
          </w:p>
        </w:tc>
        <w:tc>
          <w:tcPr>
            <w:tcW w:w="7616"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C1BCCC2" w14:textId="77777777" w:rsidR="00491899" w:rsidRDefault="00491899">
            <w:pPr>
              <w:pStyle w:val="InstructionsText2"/>
              <w:rPr>
                <w:rFonts w:asciiTheme="minorHAnsi" w:eastAsia="Verdana" w:hAnsiTheme="minorHAnsi"/>
                <w:sz w:val="20"/>
                <w:szCs w:val="20"/>
                <w:lang w:val="en-US"/>
              </w:rPr>
            </w:pPr>
            <w:r w:rsidRPr="004426E1">
              <w:rPr>
                <w:rFonts w:ascii="Aptos" w:eastAsia="Verdana" w:hAnsi="Aptos"/>
                <w:b/>
                <w:sz w:val="20"/>
                <w:szCs w:val="20"/>
                <w:u w:val="single"/>
                <w:lang w:val="en-US"/>
              </w:rPr>
              <w:t>Column Reference</w:t>
            </w:r>
          </w:p>
          <w:p w14:paraId="53FCEEFC" w14:textId="4957BB5F" w:rsidR="003343BD" w:rsidRPr="00EC7C0A" w:rsidRDefault="00836214" w:rsidP="00B83DAB">
            <w:pPr>
              <w:pStyle w:val="InstructionsText2"/>
              <w:rPr>
                <w:rFonts w:asciiTheme="minorHAnsi" w:hAnsiTheme="minorHAnsi"/>
                <w:b/>
                <w:bCs/>
                <w:sz w:val="20"/>
                <w:szCs w:val="20"/>
                <w:u w:val="single"/>
                <w:lang w:val="en-US"/>
              </w:rPr>
            </w:pPr>
            <w:r>
              <w:rPr>
                <w:rFonts w:asciiTheme="minorHAnsi" w:eastAsia="Verdana" w:hAnsiTheme="minorHAnsi"/>
                <w:sz w:val="20"/>
                <w:szCs w:val="20"/>
                <w:lang w:val="en-US"/>
              </w:rPr>
              <w:t xml:space="preserve">Choose </w:t>
            </w:r>
            <w:r w:rsidR="009E4685" w:rsidRPr="00EC7C0A">
              <w:rPr>
                <w:rFonts w:asciiTheme="minorHAnsi" w:eastAsia="Verdana" w:hAnsiTheme="minorHAnsi"/>
                <w:sz w:val="20"/>
                <w:szCs w:val="20"/>
                <w:lang w:val="en-US"/>
              </w:rPr>
              <w:t>the specific column where the comments relate</w:t>
            </w:r>
            <w:r w:rsidR="006913AC">
              <w:rPr>
                <w:rFonts w:asciiTheme="minorHAnsi" w:eastAsia="Verdana" w:hAnsiTheme="minorHAnsi"/>
                <w:sz w:val="20"/>
                <w:szCs w:val="20"/>
                <w:lang w:val="en-US"/>
              </w:rPr>
              <w:t xml:space="preserve"> to</w:t>
            </w:r>
            <w:r w:rsidR="009E4685" w:rsidRPr="00EC7C0A">
              <w:rPr>
                <w:rFonts w:asciiTheme="minorHAnsi" w:eastAsia="Verdana" w:hAnsiTheme="minorHAnsi"/>
                <w:sz w:val="20"/>
                <w:szCs w:val="20"/>
                <w:lang w:val="en-US"/>
              </w:rPr>
              <w:t>.</w:t>
            </w:r>
            <w:r w:rsidR="00B83DAB">
              <w:rPr>
                <w:rFonts w:asciiTheme="minorHAnsi" w:eastAsia="Verdana" w:hAnsiTheme="minorHAnsi"/>
                <w:sz w:val="20"/>
                <w:szCs w:val="20"/>
                <w:lang w:val="en-US"/>
              </w:rPr>
              <w:t xml:space="preserve"> </w:t>
            </w:r>
            <w:r w:rsidR="0033334A">
              <w:rPr>
                <w:rFonts w:asciiTheme="minorHAnsi" w:eastAsia="Verdana" w:hAnsiTheme="minorHAnsi"/>
                <w:sz w:val="20"/>
                <w:szCs w:val="20"/>
                <w:lang w:val="en-US"/>
              </w:rPr>
              <w:t xml:space="preserve">If the comment refers to the whole reporting </w:t>
            </w:r>
            <w:r w:rsidR="00826C9B">
              <w:rPr>
                <w:rFonts w:asciiTheme="minorHAnsi" w:eastAsia="Verdana" w:hAnsiTheme="minorHAnsi"/>
                <w:sz w:val="20"/>
                <w:szCs w:val="20"/>
                <w:lang w:val="en-US"/>
              </w:rPr>
              <w:t>template</w:t>
            </w:r>
            <w:r w:rsidR="0033334A">
              <w:rPr>
                <w:rFonts w:asciiTheme="minorHAnsi" w:eastAsia="Verdana" w:hAnsiTheme="minorHAnsi"/>
                <w:sz w:val="20"/>
                <w:szCs w:val="20"/>
                <w:lang w:val="en-US"/>
              </w:rPr>
              <w:t>, leave it blank.</w:t>
            </w:r>
          </w:p>
        </w:tc>
      </w:tr>
      <w:tr w:rsidR="00A10CBD" w:rsidRPr="009B282E" w14:paraId="62565E35" w14:textId="77777777">
        <w:tc>
          <w:tcPr>
            <w:tcW w:w="1673" w:type="dxa"/>
            <w:tcBorders>
              <w:top w:val="single" w:sz="4" w:space="0" w:color="auto"/>
              <w:left w:val="single" w:sz="4" w:space="0" w:color="auto"/>
              <w:bottom w:val="single" w:sz="4" w:space="0" w:color="auto"/>
              <w:right w:val="single" w:sz="4" w:space="0" w:color="auto"/>
            </w:tcBorders>
          </w:tcPr>
          <w:p w14:paraId="42414A4C" w14:textId="55451433" w:rsidR="003343BD" w:rsidRPr="009275BC" w:rsidRDefault="003343BD"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w:t>
            </w:r>
            <w:r w:rsidR="009F252D" w:rsidRPr="009275BC">
              <w:rPr>
                <w:rStyle w:val="FormatvorlageInstructionsTabelleText"/>
                <w:rFonts w:asciiTheme="minorHAnsi" w:hAnsiTheme="minorHAnsi"/>
              </w:rPr>
              <w:t>30</w:t>
            </w:r>
          </w:p>
        </w:tc>
        <w:tc>
          <w:tcPr>
            <w:tcW w:w="7616"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F253D8D" w14:textId="77777777" w:rsidR="00491899" w:rsidRDefault="00491899">
            <w:pPr>
              <w:pStyle w:val="InstructionsText2"/>
              <w:rPr>
                <w:rFonts w:asciiTheme="minorHAnsi" w:eastAsia="Verdana" w:hAnsiTheme="minorHAnsi"/>
                <w:sz w:val="20"/>
                <w:szCs w:val="20"/>
                <w:lang w:val="en-US"/>
              </w:rPr>
            </w:pPr>
            <w:r w:rsidRPr="003D0A36">
              <w:rPr>
                <w:rFonts w:ascii="Aptos" w:eastAsia="Verdana" w:hAnsi="Aptos"/>
                <w:b/>
                <w:sz w:val="20"/>
                <w:szCs w:val="20"/>
                <w:u w:val="single"/>
                <w:lang w:val="en-US"/>
              </w:rPr>
              <w:t>Country Reference</w:t>
            </w:r>
          </w:p>
          <w:p w14:paraId="79BCFD82" w14:textId="60502E18" w:rsidR="009E4685" w:rsidRPr="00EC7C0A" w:rsidRDefault="00826C9B">
            <w:pPr>
              <w:pStyle w:val="InstructionsText2"/>
              <w:rPr>
                <w:rFonts w:asciiTheme="minorHAnsi" w:hAnsiTheme="minorHAnsi"/>
                <w:b/>
                <w:bCs/>
                <w:sz w:val="20"/>
                <w:szCs w:val="20"/>
                <w:u w:val="single"/>
                <w:lang w:val="en-US"/>
              </w:rPr>
            </w:pPr>
            <w:r>
              <w:rPr>
                <w:rFonts w:asciiTheme="minorHAnsi" w:eastAsia="Verdana" w:hAnsiTheme="minorHAnsi"/>
                <w:sz w:val="20"/>
                <w:szCs w:val="20"/>
                <w:lang w:val="en-US"/>
              </w:rPr>
              <w:t xml:space="preserve">If the comment relates to a specific line of the </w:t>
            </w:r>
            <w:r w:rsidR="00C95746" w:rsidRPr="00EC7C0A">
              <w:rPr>
                <w:rFonts w:asciiTheme="minorHAnsi" w:eastAsia="Verdana" w:hAnsiTheme="minorHAnsi"/>
                <w:sz w:val="20"/>
                <w:szCs w:val="20"/>
                <w:lang w:val="en-US"/>
              </w:rPr>
              <w:t>templates</w:t>
            </w:r>
            <w:r w:rsidR="009E4685" w:rsidRPr="00EC7C0A">
              <w:rPr>
                <w:rFonts w:asciiTheme="minorHAnsi" w:eastAsia="Verdana" w:hAnsiTheme="minorHAnsi"/>
                <w:sz w:val="20"/>
                <w:szCs w:val="20"/>
                <w:lang w:val="en-US"/>
              </w:rPr>
              <w:t xml:space="preserve"> AML.0</w:t>
            </w:r>
            <w:r w:rsidR="00C95746" w:rsidRPr="00EC7C0A">
              <w:rPr>
                <w:rFonts w:asciiTheme="minorHAnsi" w:eastAsia="Verdana" w:hAnsiTheme="minorHAnsi"/>
                <w:sz w:val="20"/>
                <w:szCs w:val="20"/>
                <w:lang w:val="en-US"/>
              </w:rPr>
              <w:t>5.01 Geographies and AML.06.01 Distribution channels</w:t>
            </w:r>
            <w:r w:rsidR="009E4685" w:rsidRPr="00EC7C0A">
              <w:rPr>
                <w:rFonts w:asciiTheme="minorHAnsi" w:eastAsia="Verdana" w:hAnsiTheme="minorHAnsi"/>
                <w:sz w:val="20"/>
                <w:szCs w:val="20"/>
                <w:lang w:val="en-US"/>
              </w:rPr>
              <w:t xml:space="preserve">, </w:t>
            </w:r>
            <w:r w:rsidR="00C95746" w:rsidRPr="00EC7C0A">
              <w:rPr>
                <w:rFonts w:asciiTheme="minorHAnsi" w:eastAsia="Verdana" w:hAnsiTheme="minorHAnsi"/>
                <w:sz w:val="20"/>
                <w:szCs w:val="20"/>
                <w:lang w:val="en-US"/>
              </w:rPr>
              <w:t xml:space="preserve">specific country </w:t>
            </w:r>
            <w:r>
              <w:rPr>
                <w:rFonts w:asciiTheme="minorHAnsi" w:eastAsia="Verdana" w:hAnsiTheme="minorHAnsi"/>
                <w:sz w:val="20"/>
                <w:szCs w:val="20"/>
                <w:lang w:val="en-US"/>
              </w:rPr>
              <w:t xml:space="preserve">of the row </w:t>
            </w:r>
            <w:r w:rsidR="00C95746" w:rsidRPr="00EC7C0A">
              <w:rPr>
                <w:rFonts w:asciiTheme="minorHAnsi" w:eastAsia="Verdana" w:hAnsiTheme="minorHAnsi"/>
                <w:sz w:val="20"/>
                <w:szCs w:val="20"/>
                <w:lang w:val="en-US"/>
              </w:rPr>
              <w:t>that the comments relate</w:t>
            </w:r>
            <w:r w:rsidR="00673AC6">
              <w:rPr>
                <w:rFonts w:asciiTheme="minorHAnsi" w:eastAsia="Verdana" w:hAnsiTheme="minorHAnsi"/>
                <w:sz w:val="20"/>
                <w:szCs w:val="20"/>
                <w:lang w:val="en-US"/>
              </w:rPr>
              <w:t xml:space="preserve"> to</w:t>
            </w:r>
            <w:r w:rsidR="009F252D" w:rsidRPr="00EC7C0A">
              <w:rPr>
                <w:rFonts w:asciiTheme="minorHAnsi" w:eastAsia="Verdana" w:hAnsiTheme="minorHAnsi"/>
                <w:sz w:val="20"/>
                <w:szCs w:val="20"/>
                <w:lang w:val="en-US"/>
              </w:rPr>
              <w:t>.</w:t>
            </w:r>
            <w:r>
              <w:rPr>
                <w:rFonts w:asciiTheme="minorHAnsi" w:eastAsia="Verdana" w:hAnsiTheme="minorHAnsi"/>
                <w:sz w:val="20"/>
                <w:szCs w:val="20"/>
                <w:lang w:val="en-US"/>
              </w:rPr>
              <w:t xml:space="preserve"> If the comment refers to </w:t>
            </w:r>
            <w:r w:rsidR="00C77339">
              <w:rPr>
                <w:rFonts w:asciiTheme="minorHAnsi" w:eastAsia="Verdana" w:hAnsiTheme="minorHAnsi"/>
                <w:sz w:val="20"/>
                <w:szCs w:val="20"/>
                <w:lang w:val="en-US"/>
              </w:rPr>
              <w:t>all the lines</w:t>
            </w:r>
            <w:r>
              <w:rPr>
                <w:rFonts w:asciiTheme="minorHAnsi" w:eastAsia="Verdana" w:hAnsiTheme="minorHAnsi"/>
                <w:sz w:val="20"/>
                <w:szCs w:val="20"/>
                <w:lang w:val="en-US"/>
              </w:rPr>
              <w:t>, leave it blank.</w:t>
            </w:r>
          </w:p>
        </w:tc>
      </w:tr>
      <w:tr w:rsidR="00A10CBD" w:rsidRPr="009B282E" w14:paraId="1D3F20EC" w14:textId="77777777">
        <w:tc>
          <w:tcPr>
            <w:tcW w:w="1673" w:type="dxa"/>
            <w:tcBorders>
              <w:top w:val="single" w:sz="4" w:space="0" w:color="auto"/>
              <w:left w:val="single" w:sz="4" w:space="0" w:color="auto"/>
              <w:bottom w:val="single" w:sz="4" w:space="0" w:color="auto"/>
              <w:right w:val="single" w:sz="4" w:space="0" w:color="auto"/>
            </w:tcBorders>
          </w:tcPr>
          <w:p w14:paraId="26690C5E" w14:textId="6BA3D1B2" w:rsidR="003343BD" w:rsidRPr="00F545D7" w:rsidRDefault="003343BD" w:rsidP="00F32516">
            <w:pPr>
              <w:pStyle w:val="InstructionsText"/>
              <w:rPr>
                <w:rStyle w:val="FormatvorlageInstructionsTabelleText"/>
                <w:rFonts w:asciiTheme="minorHAnsi" w:hAnsiTheme="minorHAnsi"/>
              </w:rPr>
            </w:pPr>
            <w:r w:rsidRPr="00F545D7">
              <w:t>C0</w:t>
            </w:r>
            <w:r w:rsidR="009F252D" w:rsidRPr="00F545D7">
              <w:t>040</w:t>
            </w:r>
          </w:p>
        </w:tc>
        <w:tc>
          <w:tcPr>
            <w:tcW w:w="7616"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14:paraId="27B5AE07" w14:textId="77777777" w:rsidR="00491899" w:rsidRDefault="00491899">
            <w:pPr>
              <w:pStyle w:val="InstructionsText2"/>
              <w:jc w:val="left"/>
              <w:rPr>
                <w:rFonts w:asciiTheme="minorHAnsi" w:hAnsiTheme="minorHAnsi"/>
                <w:sz w:val="20"/>
                <w:szCs w:val="20"/>
              </w:rPr>
            </w:pPr>
            <w:r w:rsidRPr="003D0A36">
              <w:rPr>
                <w:rFonts w:ascii="Aptos" w:hAnsi="Aptos"/>
                <w:b/>
                <w:sz w:val="20"/>
                <w:szCs w:val="20"/>
                <w:u w:val="single"/>
              </w:rPr>
              <w:t>Comment Content</w:t>
            </w:r>
          </w:p>
          <w:p w14:paraId="270C4851" w14:textId="42349E60" w:rsidR="00A04951" w:rsidRPr="00EC7C0A" w:rsidRDefault="0097062B">
            <w:pPr>
              <w:pStyle w:val="InstructionsText2"/>
              <w:jc w:val="left"/>
              <w:rPr>
                <w:rFonts w:asciiTheme="minorHAnsi" w:hAnsiTheme="minorHAnsi"/>
                <w:sz w:val="20"/>
                <w:szCs w:val="20"/>
              </w:rPr>
            </w:pPr>
            <w:r w:rsidRPr="00EC7C0A">
              <w:rPr>
                <w:rFonts w:asciiTheme="minorHAnsi" w:hAnsiTheme="minorHAnsi"/>
                <w:sz w:val="20"/>
                <w:szCs w:val="20"/>
              </w:rPr>
              <w:t>Text for the comment to be submitted in relation to the testing calibration exercise. While any official EU language is permitted, please include the comment in English whenever possible</w:t>
            </w:r>
            <w:r w:rsidR="00C77339">
              <w:rPr>
                <w:rFonts w:asciiTheme="minorHAnsi" w:hAnsiTheme="minorHAnsi"/>
                <w:sz w:val="20"/>
                <w:szCs w:val="20"/>
              </w:rPr>
              <w:t>.</w:t>
            </w:r>
          </w:p>
        </w:tc>
      </w:tr>
    </w:tbl>
    <w:p w14:paraId="0B8385DC" w14:textId="77777777" w:rsidR="005A767C" w:rsidRPr="00EC7C0A" w:rsidRDefault="005A767C" w:rsidP="00CF60A4">
      <w:pPr>
        <w:rPr>
          <w:rFonts w:asciiTheme="minorHAnsi" w:hAnsiTheme="minorHAnsi"/>
        </w:rPr>
      </w:pPr>
    </w:p>
    <w:p w14:paraId="021DFC76" w14:textId="77777777" w:rsidR="00F8062A" w:rsidRDefault="00F8062A">
      <w:pPr>
        <w:spacing w:before="0" w:after="0" w:line="240" w:lineRule="auto"/>
        <w:rPr>
          <w:rFonts w:asciiTheme="minorHAnsi" w:hAnsiTheme="minorHAnsi"/>
          <w:b/>
          <w:color w:val="132D4E" w:themeColor="text2"/>
          <w:sz w:val="32"/>
          <w:szCs w:val="36"/>
        </w:rPr>
      </w:pPr>
      <w:bookmarkStart w:id="71" w:name="_Toc221355965"/>
      <w:r>
        <w:rPr>
          <w:rFonts w:asciiTheme="minorHAnsi" w:hAnsiTheme="minorHAnsi"/>
        </w:rPr>
        <w:br w:type="page"/>
      </w:r>
    </w:p>
    <w:p w14:paraId="3182A007" w14:textId="235800A8" w:rsidR="00CF53AB" w:rsidRPr="00EC7C0A" w:rsidRDefault="002A521B" w:rsidP="002A521B">
      <w:pPr>
        <w:pStyle w:val="Heading2"/>
        <w:numPr>
          <w:ilvl w:val="0"/>
          <w:numId w:val="0"/>
        </w:numPr>
        <w:rPr>
          <w:rFonts w:asciiTheme="minorHAnsi" w:hAnsiTheme="minorHAnsi"/>
        </w:rPr>
      </w:pPr>
      <w:bookmarkStart w:id="72" w:name="_Toc223104831"/>
      <w:r w:rsidRPr="00EC7C0A">
        <w:rPr>
          <w:rFonts w:asciiTheme="minorHAnsi" w:hAnsiTheme="minorHAnsi"/>
        </w:rPr>
        <w:t>SECTION A: AML/CFT INHERENT RISK DATA POINTS</w:t>
      </w:r>
      <w:bookmarkEnd w:id="71"/>
      <w:bookmarkEnd w:id="72"/>
    </w:p>
    <w:p w14:paraId="7F081751" w14:textId="36367F4B" w:rsidR="00775E3A" w:rsidRPr="00EC7C0A" w:rsidRDefault="007F05DA" w:rsidP="002D7DA0">
      <w:pPr>
        <w:pStyle w:val="Heading2"/>
        <w:rPr>
          <w:rFonts w:asciiTheme="minorHAnsi" w:hAnsiTheme="minorHAnsi"/>
          <w:lang w:val="en-GB"/>
        </w:rPr>
      </w:pPr>
      <w:bookmarkStart w:id="73" w:name="_Toc360188322"/>
      <w:bookmarkStart w:id="74" w:name="_Toc473560870"/>
      <w:bookmarkStart w:id="75" w:name="_Toc103869212"/>
      <w:bookmarkStart w:id="76" w:name="_Toc221355966"/>
      <w:bookmarkStart w:id="77" w:name="_Toc223104832"/>
      <w:r w:rsidRPr="00EC7C0A">
        <w:rPr>
          <w:rFonts w:asciiTheme="minorHAnsi" w:hAnsiTheme="minorHAnsi"/>
          <w:lang w:val="en-GB"/>
        </w:rPr>
        <w:t>AML.02.01</w:t>
      </w:r>
      <w:r w:rsidR="00775E3A" w:rsidRPr="00EC7C0A">
        <w:rPr>
          <w:rFonts w:asciiTheme="minorHAnsi" w:hAnsiTheme="minorHAnsi"/>
          <w:lang w:val="en-GB"/>
        </w:rPr>
        <w:t xml:space="preserve"> </w:t>
      </w:r>
      <w:r w:rsidR="00C74985">
        <w:rPr>
          <w:rFonts w:asciiTheme="minorHAnsi" w:hAnsiTheme="minorHAnsi"/>
          <w:lang w:val="en-GB"/>
        </w:rPr>
        <w:t>Customers</w:t>
      </w:r>
      <w:r w:rsidRPr="00EC7C0A">
        <w:rPr>
          <w:rFonts w:asciiTheme="minorHAnsi" w:hAnsiTheme="minorHAnsi"/>
          <w:lang w:val="en-GB"/>
        </w:rPr>
        <w:t xml:space="preserve"> </w:t>
      </w:r>
      <w:r w:rsidR="00C74985">
        <w:rPr>
          <w:rFonts w:asciiTheme="minorHAnsi" w:hAnsiTheme="minorHAnsi"/>
          <w:lang w:val="en-GB"/>
        </w:rPr>
        <w:t xml:space="preserve">Template </w:t>
      </w:r>
      <w:bookmarkEnd w:id="73"/>
      <w:bookmarkEnd w:id="74"/>
      <w:bookmarkEnd w:id="75"/>
      <w:r w:rsidR="00C74985">
        <w:rPr>
          <w:rFonts w:asciiTheme="minorHAnsi" w:hAnsiTheme="minorHAnsi"/>
          <w:lang w:val="en-GB"/>
        </w:rPr>
        <w:t>Instructions</w:t>
      </w:r>
      <w:bookmarkEnd w:id="76"/>
      <w:bookmarkEnd w:id="77"/>
    </w:p>
    <w:p w14:paraId="441941EB" w14:textId="77777777" w:rsidR="00A14F39" w:rsidRPr="0010242B" w:rsidRDefault="00A14F39" w:rsidP="0010242B">
      <w:pPr>
        <w:rPr>
          <w:rFonts w:eastAsia="Times New Roman"/>
          <w:color w:val="auto"/>
          <w:kern w:val="0"/>
          <w:sz w:val="20"/>
          <w:lang w:val="en-GB" w:eastAsia="de-DE" w:bidi="ne-NP"/>
        </w:rPr>
      </w:pPr>
      <w:bookmarkStart w:id="78" w:name="_Hlk222854202"/>
      <w:bookmarkStart w:id="79" w:name="_Hlk222816651"/>
      <w:r w:rsidRPr="0010242B">
        <w:rPr>
          <w:rFonts w:asciiTheme="minorHAnsi" w:eastAsia="Times New Roman" w:hAnsiTheme="minorHAnsi"/>
          <w:b/>
          <w:color w:val="auto"/>
          <w:kern w:val="0"/>
          <w:sz w:val="20"/>
          <w:lang w:val="en-GB" w:eastAsia="de-DE" w:bidi="ne-NP"/>
        </w:rPr>
        <w:t>Template Remarks</w:t>
      </w:r>
    </w:p>
    <w:bookmarkEnd w:id="78"/>
    <w:p w14:paraId="23A59438" w14:textId="37D75641" w:rsidR="00AC26A9" w:rsidRPr="0010242B" w:rsidRDefault="00C44A44" w:rsidP="00003055">
      <w:pPr>
        <w:jc w:val="both"/>
        <w:rPr>
          <w:rFonts w:eastAsia="Times New Roman"/>
          <w:b/>
          <w:color w:val="auto"/>
          <w:kern w:val="0"/>
          <w:sz w:val="20"/>
          <w:lang w:val="en-GB" w:eastAsia="de-DE" w:bidi="ne-NP"/>
        </w:rPr>
      </w:pPr>
      <w:r w:rsidRPr="0010242B">
        <w:rPr>
          <w:rFonts w:asciiTheme="minorHAnsi" w:eastAsia="Times New Roman" w:hAnsiTheme="minorHAnsi"/>
          <w:color w:val="auto"/>
          <w:kern w:val="0"/>
          <w:sz w:val="20"/>
          <w:lang w:val="en-GB" w:eastAsia="de-DE" w:bidi="ne-NP"/>
        </w:rPr>
        <w:t>This</w:t>
      </w:r>
      <w:r w:rsidR="00212534" w:rsidRPr="0010242B">
        <w:rPr>
          <w:rFonts w:asciiTheme="minorHAnsi" w:eastAsia="Times New Roman" w:hAnsiTheme="minorHAnsi"/>
          <w:color w:val="auto"/>
          <w:kern w:val="0"/>
          <w:sz w:val="20"/>
          <w:lang w:val="en-GB" w:eastAsia="de-DE" w:bidi="ne-NP"/>
        </w:rPr>
        <w:t xml:space="preserve"> </w:t>
      </w:r>
      <w:r w:rsidR="007D5D30" w:rsidRPr="0010242B">
        <w:rPr>
          <w:rFonts w:asciiTheme="minorHAnsi" w:eastAsia="Times New Roman" w:hAnsiTheme="minorHAnsi"/>
          <w:color w:val="auto"/>
          <w:kern w:val="0"/>
          <w:sz w:val="20"/>
          <w:lang w:val="en-GB" w:eastAsia="de-DE" w:bidi="ne-NP"/>
        </w:rPr>
        <w:t>template (</w:t>
      </w:r>
      <w:r w:rsidR="00212534" w:rsidRPr="0010242B">
        <w:rPr>
          <w:rFonts w:asciiTheme="minorHAnsi" w:eastAsia="Times New Roman" w:hAnsiTheme="minorHAnsi"/>
          <w:color w:val="auto"/>
          <w:kern w:val="0"/>
          <w:sz w:val="20"/>
          <w:lang w:val="en-GB" w:eastAsia="de-DE" w:bidi="ne-NP"/>
        </w:rPr>
        <w:t>cluster of datapoints</w:t>
      </w:r>
      <w:r w:rsidR="007D5D30" w:rsidRPr="0010242B">
        <w:rPr>
          <w:rFonts w:asciiTheme="minorHAnsi" w:eastAsia="Times New Roman" w:hAnsiTheme="minorHAnsi"/>
          <w:color w:val="auto"/>
          <w:kern w:val="0"/>
          <w:sz w:val="20"/>
          <w:lang w:val="en-GB" w:eastAsia="de-DE" w:bidi="ne-NP"/>
        </w:rPr>
        <w:t>)</w:t>
      </w:r>
      <w:r w:rsidR="00212534" w:rsidRPr="0010242B">
        <w:rPr>
          <w:rFonts w:asciiTheme="minorHAnsi" w:eastAsia="Times New Roman" w:hAnsiTheme="minorHAnsi"/>
          <w:color w:val="auto"/>
          <w:kern w:val="0"/>
          <w:sz w:val="20"/>
          <w:lang w:val="en-GB" w:eastAsia="de-DE" w:bidi="ne-NP"/>
        </w:rPr>
        <w:t xml:space="preserve"> is applicable for all sectors</w:t>
      </w:r>
      <w:r w:rsidR="00B529F8" w:rsidRPr="0010242B">
        <w:rPr>
          <w:rFonts w:asciiTheme="minorHAnsi" w:eastAsia="Times New Roman" w:hAnsiTheme="minorHAnsi"/>
          <w:color w:val="auto"/>
          <w:kern w:val="0"/>
          <w:sz w:val="20"/>
          <w:lang w:val="en-GB" w:eastAsia="de-DE" w:bidi="ne-NP"/>
        </w:rPr>
        <w:t xml:space="preserve"> (unless </w:t>
      </w:r>
      <w:r w:rsidR="008C7E8C" w:rsidRPr="0010242B">
        <w:rPr>
          <w:rFonts w:asciiTheme="minorHAnsi" w:eastAsia="Times New Roman" w:hAnsiTheme="minorHAnsi"/>
          <w:color w:val="auto"/>
          <w:kern w:val="0"/>
          <w:sz w:val="20"/>
          <w:lang w:val="en-GB" w:eastAsia="de-DE" w:bidi="ne-NP"/>
        </w:rPr>
        <w:t>otherwise</w:t>
      </w:r>
      <w:r w:rsidR="00E10962" w:rsidRPr="0010242B">
        <w:rPr>
          <w:rFonts w:asciiTheme="minorHAnsi" w:eastAsia="Times New Roman" w:hAnsiTheme="minorHAnsi"/>
          <w:color w:val="auto"/>
          <w:kern w:val="0"/>
          <w:sz w:val="20"/>
          <w:lang w:val="en-GB" w:eastAsia="de-DE" w:bidi="ne-NP"/>
        </w:rPr>
        <w:t xml:space="preserve"> mentioned in the </w:t>
      </w:r>
      <w:r w:rsidR="008C7E8C" w:rsidRPr="0010242B">
        <w:rPr>
          <w:rFonts w:asciiTheme="minorHAnsi" w:eastAsia="Times New Roman" w:hAnsiTheme="minorHAnsi"/>
          <w:color w:val="auto"/>
          <w:kern w:val="0"/>
          <w:sz w:val="20"/>
          <w:lang w:val="en-GB" w:eastAsia="de-DE" w:bidi="ne-NP"/>
        </w:rPr>
        <w:t xml:space="preserve">definition of the </w:t>
      </w:r>
      <w:r w:rsidR="0095173B" w:rsidRPr="0010242B">
        <w:rPr>
          <w:rFonts w:asciiTheme="minorHAnsi" w:eastAsia="Times New Roman" w:hAnsiTheme="minorHAnsi"/>
          <w:color w:val="auto"/>
          <w:kern w:val="0"/>
          <w:sz w:val="20"/>
          <w:lang w:val="en-GB" w:eastAsia="de-DE" w:bidi="ne-NP"/>
        </w:rPr>
        <w:t>datapoint)</w:t>
      </w:r>
      <w:r w:rsidR="00212534" w:rsidRPr="0010242B">
        <w:rPr>
          <w:rFonts w:asciiTheme="minorHAnsi" w:eastAsia="Times New Roman" w:hAnsiTheme="minorHAnsi"/>
          <w:color w:val="auto"/>
          <w:kern w:val="0"/>
          <w:sz w:val="20"/>
          <w:lang w:val="en-GB" w:eastAsia="de-DE" w:bidi="ne-NP"/>
        </w:rPr>
        <w:t xml:space="preserve">. </w:t>
      </w:r>
    </w:p>
    <w:bookmarkEnd w:id="79"/>
    <w:p w14:paraId="7639D22C" w14:textId="7D3EDEE8" w:rsidR="006457BF" w:rsidRPr="00E0426F" w:rsidRDefault="00C92AD7" w:rsidP="00335881">
      <w:pPr>
        <w:jc w:val="both"/>
      </w:pPr>
      <w:r w:rsidRPr="0010242B">
        <w:rPr>
          <w:rFonts w:asciiTheme="minorHAnsi" w:eastAsia="Times New Roman" w:hAnsiTheme="minorHAnsi"/>
          <w:color w:val="auto"/>
          <w:kern w:val="0"/>
          <w:sz w:val="20"/>
          <w:lang w:val="en-GB" w:eastAsia="de-DE" w:bidi="ne-NP"/>
        </w:rPr>
        <w:t>In the RTS the data</w:t>
      </w:r>
      <w:r w:rsidR="0025629A" w:rsidRPr="0010242B">
        <w:rPr>
          <w:rFonts w:asciiTheme="minorHAnsi" w:eastAsia="Times New Roman" w:hAnsiTheme="minorHAnsi"/>
          <w:color w:val="auto"/>
          <w:kern w:val="0"/>
          <w:sz w:val="20"/>
          <w:lang w:val="en-GB" w:eastAsia="de-DE" w:bidi="ne-NP"/>
        </w:rPr>
        <w:t xml:space="preserve">points </w:t>
      </w:r>
      <w:r w:rsidR="007E505F">
        <w:rPr>
          <w:rFonts w:asciiTheme="minorHAnsi" w:eastAsia="Times New Roman" w:hAnsiTheme="minorHAnsi"/>
          <w:color w:val="auto"/>
          <w:kern w:val="0"/>
          <w:sz w:val="20"/>
          <w:lang w:val="en-GB" w:eastAsia="de-DE" w:bidi="ne-NP"/>
        </w:rPr>
        <w:t xml:space="preserve">from </w:t>
      </w:r>
      <w:r w:rsidR="008D0820" w:rsidRPr="0010242B">
        <w:rPr>
          <w:rFonts w:asciiTheme="minorHAnsi" w:eastAsia="Times New Roman" w:hAnsiTheme="minorHAnsi"/>
          <w:color w:val="auto"/>
          <w:kern w:val="0"/>
          <w:sz w:val="20"/>
          <w:lang w:val="en-GB" w:eastAsia="de-DE" w:bidi="ne-NP"/>
        </w:rPr>
        <w:t>C00</w:t>
      </w:r>
      <w:r w:rsidR="00FA6F7B" w:rsidRPr="0010242B">
        <w:rPr>
          <w:rFonts w:asciiTheme="minorHAnsi" w:eastAsia="Times New Roman" w:hAnsiTheme="minorHAnsi"/>
          <w:color w:val="auto"/>
          <w:kern w:val="0"/>
          <w:sz w:val="20"/>
          <w:lang w:val="en-GB" w:eastAsia="de-DE" w:bidi="ne-NP"/>
        </w:rPr>
        <w:t>2</w:t>
      </w:r>
      <w:r w:rsidR="008D0820" w:rsidRPr="0010242B">
        <w:rPr>
          <w:rFonts w:asciiTheme="minorHAnsi" w:eastAsia="Times New Roman" w:hAnsiTheme="minorHAnsi"/>
          <w:color w:val="auto"/>
          <w:kern w:val="0"/>
          <w:sz w:val="20"/>
          <w:lang w:val="en-GB" w:eastAsia="de-DE" w:bidi="ne-NP"/>
        </w:rPr>
        <w:t xml:space="preserve">0 </w:t>
      </w:r>
      <w:r w:rsidR="007E505F">
        <w:rPr>
          <w:rFonts w:asciiTheme="minorHAnsi" w:eastAsia="Times New Roman" w:hAnsiTheme="minorHAnsi"/>
          <w:color w:val="auto"/>
          <w:kern w:val="0"/>
          <w:sz w:val="20"/>
          <w:lang w:val="en-GB" w:eastAsia="de-DE" w:bidi="ne-NP"/>
        </w:rPr>
        <w:t>to</w:t>
      </w:r>
      <w:r w:rsidR="008D0820" w:rsidRPr="0010242B">
        <w:rPr>
          <w:rFonts w:asciiTheme="minorHAnsi" w:eastAsia="Times New Roman" w:hAnsiTheme="minorHAnsi"/>
          <w:color w:val="auto"/>
          <w:kern w:val="0"/>
          <w:sz w:val="20"/>
          <w:lang w:val="en-GB" w:eastAsia="de-DE" w:bidi="ne-NP"/>
        </w:rPr>
        <w:t xml:space="preserve"> C00</w:t>
      </w:r>
      <w:r w:rsidR="00CF246E" w:rsidRPr="0010242B">
        <w:rPr>
          <w:rFonts w:asciiTheme="minorHAnsi" w:eastAsia="Times New Roman" w:hAnsiTheme="minorHAnsi"/>
          <w:color w:val="auto"/>
          <w:kern w:val="0"/>
          <w:sz w:val="20"/>
          <w:lang w:val="en-GB" w:eastAsia="de-DE" w:bidi="ne-NP"/>
        </w:rPr>
        <w:t>50 are required per country</w:t>
      </w:r>
      <w:r w:rsidR="0067438D" w:rsidRPr="0010242B">
        <w:rPr>
          <w:rFonts w:asciiTheme="minorHAnsi" w:eastAsia="Times New Roman" w:hAnsiTheme="minorHAnsi"/>
          <w:color w:val="auto"/>
          <w:kern w:val="0"/>
          <w:sz w:val="20"/>
          <w:lang w:val="en-GB" w:eastAsia="de-DE" w:bidi="ne-NP"/>
        </w:rPr>
        <w:t xml:space="preserve"> (see </w:t>
      </w:r>
      <w:r w:rsidR="002F053D" w:rsidRPr="0010242B">
        <w:rPr>
          <w:rFonts w:asciiTheme="minorHAnsi" w:eastAsia="Times New Roman" w:hAnsiTheme="minorHAnsi"/>
          <w:color w:val="auto"/>
          <w:kern w:val="0"/>
          <w:sz w:val="20"/>
          <w:lang w:val="en-GB" w:eastAsia="de-DE" w:bidi="ne-NP"/>
        </w:rPr>
        <w:t xml:space="preserve">also </w:t>
      </w:r>
      <w:r w:rsidR="0067438D" w:rsidRPr="0010242B">
        <w:rPr>
          <w:rFonts w:asciiTheme="minorHAnsi" w:eastAsia="Times New Roman" w:hAnsiTheme="minorHAnsi"/>
          <w:color w:val="auto"/>
          <w:kern w:val="0"/>
          <w:sz w:val="20"/>
          <w:lang w:val="en-GB" w:eastAsia="de-DE" w:bidi="ne-NP"/>
        </w:rPr>
        <w:t xml:space="preserve">mapping in </w:t>
      </w:r>
      <w:r w:rsidR="00D5042F">
        <w:rPr>
          <w:rFonts w:asciiTheme="minorHAnsi" w:eastAsia="Times New Roman" w:hAnsiTheme="minorHAnsi"/>
          <w:color w:val="auto"/>
          <w:kern w:val="0"/>
          <w:sz w:val="20"/>
          <w:lang w:val="en-GB" w:eastAsia="de-DE" w:bidi="ne-NP"/>
        </w:rPr>
        <w:t>A</w:t>
      </w:r>
      <w:r w:rsidR="0067438D" w:rsidRPr="0010242B">
        <w:rPr>
          <w:rFonts w:asciiTheme="minorHAnsi" w:eastAsia="Times New Roman" w:hAnsiTheme="minorHAnsi"/>
          <w:color w:val="auto"/>
          <w:kern w:val="0"/>
          <w:sz w:val="20"/>
          <w:lang w:val="en-GB" w:eastAsia="de-DE" w:bidi="ne-NP"/>
        </w:rPr>
        <w:t>nnex 1)</w:t>
      </w:r>
      <w:r w:rsidR="00CF246E" w:rsidRPr="0010242B">
        <w:rPr>
          <w:rFonts w:asciiTheme="minorHAnsi" w:eastAsia="Times New Roman" w:hAnsiTheme="minorHAnsi"/>
          <w:color w:val="auto"/>
          <w:kern w:val="0"/>
          <w:sz w:val="20"/>
          <w:lang w:val="en-GB" w:eastAsia="de-DE" w:bidi="ne-NP"/>
        </w:rPr>
        <w:t xml:space="preserve">. </w:t>
      </w:r>
      <w:r w:rsidR="0035202E" w:rsidRPr="0010242B">
        <w:rPr>
          <w:rFonts w:asciiTheme="minorHAnsi" w:eastAsia="Times New Roman" w:hAnsiTheme="minorHAnsi"/>
          <w:color w:val="auto"/>
          <w:kern w:val="0"/>
          <w:sz w:val="20"/>
          <w:lang w:val="en-GB" w:eastAsia="de-DE" w:bidi="ne-NP"/>
        </w:rPr>
        <w:t xml:space="preserve">These datapoints </w:t>
      </w:r>
      <w:r w:rsidR="00720C51" w:rsidRPr="0010242B">
        <w:rPr>
          <w:rFonts w:asciiTheme="minorHAnsi" w:eastAsia="Times New Roman" w:hAnsiTheme="minorHAnsi"/>
          <w:color w:val="auto"/>
          <w:kern w:val="0"/>
          <w:sz w:val="20"/>
          <w:lang w:val="en-GB" w:eastAsia="de-DE" w:bidi="ne-NP"/>
        </w:rPr>
        <w:t xml:space="preserve">are moved to the Geography </w:t>
      </w:r>
      <w:r w:rsidR="00DF0063" w:rsidRPr="0010242B">
        <w:rPr>
          <w:rFonts w:asciiTheme="minorHAnsi" w:eastAsia="Times New Roman" w:hAnsiTheme="minorHAnsi"/>
          <w:color w:val="auto"/>
          <w:kern w:val="0"/>
          <w:sz w:val="20"/>
          <w:lang w:val="en-GB" w:eastAsia="de-DE" w:bidi="ne-NP"/>
        </w:rPr>
        <w:t>template (AML</w:t>
      </w:r>
      <w:r w:rsidR="009A621C" w:rsidRPr="0010242B">
        <w:rPr>
          <w:rFonts w:asciiTheme="minorHAnsi" w:eastAsia="Times New Roman" w:hAnsiTheme="minorHAnsi"/>
          <w:color w:val="auto"/>
          <w:kern w:val="0"/>
          <w:sz w:val="20"/>
          <w:lang w:val="en-GB" w:eastAsia="de-DE" w:bidi="ne-NP"/>
        </w:rPr>
        <w:t>.</w:t>
      </w:r>
      <w:r w:rsidR="00A75AC0" w:rsidRPr="0010242B">
        <w:rPr>
          <w:rFonts w:asciiTheme="minorHAnsi" w:eastAsia="Times New Roman" w:hAnsiTheme="minorHAnsi"/>
          <w:color w:val="auto"/>
          <w:kern w:val="0"/>
          <w:sz w:val="20"/>
          <w:lang w:val="en-GB" w:eastAsia="de-DE" w:bidi="ne-NP"/>
        </w:rPr>
        <w:t>05.01)</w:t>
      </w:r>
      <w:r w:rsidR="009B3458" w:rsidRPr="0010242B">
        <w:rPr>
          <w:rFonts w:asciiTheme="minorHAnsi" w:eastAsia="Times New Roman" w:hAnsiTheme="minorHAnsi"/>
          <w:color w:val="auto"/>
          <w:kern w:val="0"/>
          <w:sz w:val="20"/>
          <w:lang w:val="en-GB" w:eastAsia="de-DE" w:bidi="ne-NP"/>
        </w:rPr>
        <w:t>.</w:t>
      </w:r>
      <w:r w:rsidR="00720C51" w:rsidRPr="0010242B">
        <w:rPr>
          <w:rFonts w:asciiTheme="minorHAnsi" w:eastAsia="Times New Roman" w:hAnsiTheme="minorHAnsi"/>
          <w:color w:val="auto"/>
          <w:kern w:val="0"/>
          <w:sz w:val="20"/>
          <w:lang w:val="en-GB" w:eastAsia="de-DE" w:bidi="ne-NP"/>
        </w:rPr>
        <w:t xml:space="preserve"> For the purpose of </w:t>
      </w:r>
      <w:r w:rsidR="00B44811" w:rsidRPr="0010242B">
        <w:rPr>
          <w:rFonts w:asciiTheme="minorHAnsi" w:eastAsia="Times New Roman" w:hAnsiTheme="minorHAnsi"/>
          <w:color w:val="auto"/>
          <w:kern w:val="0"/>
          <w:sz w:val="20"/>
          <w:lang w:val="en-GB" w:eastAsia="de-DE" w:bidi="ne-NP"/>
        </w:rPr>
        <w:t>completeness</w:t>
      </w:r>
      <w:r w:rsidR="00054BB3">
        <w:rPr>
          <w:rFonts w:asciiTheme="minorHAnsi" w:eastAsia="Times New Roman" w:hAnsiTheme="minorHAnsi"/>
          <w:color w:val="auto"/>
          <w:kern w:val="0"/>
          <w:sz w:val="20"/>
          <w:lang w:val="en-GB" w:eastAsia="de-DE" w:bidi="ne-NP"/>
        </w:rPr>
        <w:t>,</w:t>
      </w:r>
      <w:r w:rsidR="00B44811" w:rsidRPr="0010242B">
        <w:rPr>
          <w:rFonts w:asciiTheme="minorHAnsi" w:eastAsia="Times New Roman" w:hAnsiTheme="minorHAnsi"/>
          <w:color w:val="auto"/>
          <w:kern w:val="0"/>
          <w:sz w:val="20"/>
          <w:lang w:val="en-GB" w:eastAsia="de-DE" w:bidi="ne-NP"/>
        </w:rPr>
        <w:t xml:space="preserve"> these datapoints </w:t>
      </w:r>
      <w:r w:rsidR="00714321" w:rsidRPr="0010242B">
        <w:rPr>
          <w:rFonts w:asciiTheme="minorHAnsi" w:eastAsia="Times New Roman" w:hAnsiTheme="minorHAnsi"/>
          <w:color w:val="auto"/>
          <w:kern w:val="0"/>
          <w:sz w:val="20"/>
          <w:lang w:val="en-GB" w:eastAsia="de-DE" w:bidi="ne-NP"/>
        </w:rPr>
        <w:t xml:space="preserve">are mentioned in this template </w:t>
      </w:r>
      <w:r w:rsidR="006C66DA" w:rsidRPr="0010242B">
        <w:rPr>
          <w:rFonts w:asciiTheme="minorHAnsi" w:eastAsia="Times New Roman" w:hAnsiTheme="minorHAnsi"/>
          <w:color w:val="auto"/>
          <w:kern w:val="0"/>
          <w:sz w:val="20"/>
          <w:lang w:val="en-GB" w:eastAsia="de-DE" w:bidi="ne-NP"/>
        </w:rPr>
        <w:t>as well, but now as totals</w:t>
      </w:r>
      <w:r w:rsidR="00524E24" w:rsidRPr="0010242B">
        <w:rPr>
          <w:rFonts w:asciiTheme="minorHAnsi" w:eastAsia="Times New Roman" w:hAnsiTheme="minorHAnsi"/>
          <w:color w:val="auto"/>
          <w:kern w:val="0"/>
          <w:sz w:val="20"/>
          <w:lang w:val="en-GB" w:eastAsia="de-DE" w:bidi="ne-NP"/>
        </w:rPr>
        <w:t xml:space="preserve"> within an obliged entity. </w:t>
      </w:r>
    </w:p>
    <w:tbl>
      <w:tblPr>
        <w:tblW w:w="92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3"/>
        <w:gridCol w:w="7616"/>
      </w:tblGrid>
      <w:tr w:rsidR="00534BBD" w:rsidRPr="009B282E" w14:paraId="2D3E8FF9" w14:textId="77777777" w:rsidTr="76547198">
        <w:tc>
          <w:tcPr>
            <w:tcW w:w="16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72C14D" w14:textId="26B48BCE" w:rsidR="00534BBD" w:rsidRPr="009275BC" w:rsidRDefault="00534BBD" w:rsidP="00F32516">
            <w:pPr>
              <w:pStyle w:val="InstructionsText"/>
              <w:rPr>
                <w:rStyle w:val="InstructionsTabelleText"/>
                <w:rFonts w:asciiTheme="minorHAnsi" w:hAnsiTheme="minorHAnsi"/>
                <w:bCs w:val="0"/>
                <w:lang w:eastAsia="en-US"/>
              </w:rPr>
            </w:pPr>
            <w:bookmarkStart w:id="80" w:name="_Hlk219371800"/>
            <w:r w:rsidRPr="009275BC">
              <w:rPr>
                <w:rStyle w:val="InstructionsTabelleText"/>
                <w:rFonts w:asciiTheme="minorHAnsi" w:hAnsiTheme="minorHAnsi"/>
              </w:rPr>
              <w:t>Column code</w:t>
            </w:r>
          </w:p>
        </w:tc>
        <w:tc>
          <w:tcPr>
            <w:tcW w:w="76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6E9B0A" w14:textId="77777777" w:rsidR="00534BBD" w:rsidRPr="009275BC" w:rsidRDefault="00534BBD" w:rsidP="00F32516">
            <w:pPr>
              <w:pStyle w:val="InstructionsText"/>
              <w:rPr>
                <w:rStyle w:val="InstructionsTabelleText"/>
                <w:rFonts w:asciiTheme="minorHAnsi" w:hAnsiTheme="minorHAnsi"/>
                <w:bCs w:val="0"/>
                <w:lang w:eastAsia="en-US"/>
              </w:rPr>
            </w:pPr>
            <w:r w:rsidRPr="009275BC">
              <w:rPr>
                <w:rStyle w:val="InstructionsTabelleText"/>
                <w:rFonts w:asciiTheme="minorHAnsi" w:hAnsiTheme="minorHAnsi"/>
              </w:rPr>
              <w:t>Legal references and instructions</w:t>
            </w:r>
          </w:p>
        </w:tc>
      </w:tr>
      <w:tr w:rsidR="00534BBD" w:rsidRPr="00F545D7" w14:paraId="3B2F59A1" w14:textId="77777777" w:rsidTr="002D7DA0">
        <w:tc>
          <w:tcPr>
            <w:tcW w:w="1673" w:type="dxa"/>
            <w:tcBorders>
              <w:top w:val="single" w:sz="4" w:space="0" w:color="auto"/>
              <w:left w:val="single" w:sz="4" w:space="0" w:color="auto"/>
              <w:bottom w:val="single" w:sz="4" w:space="0" w:color="auto"/>
              <w:right w:val="single" w:sz="4" w:space="0" w:color="auto"/>
            </w:tcBorders>
            <w:hideMark/>
          </w:tcPr>
          <w:p w14:paraId="542605EB" w14:textId="71A4C100" w:rsidR="00534BBD" w:rsidRPr="009275BC" w:rsidRDefault="00D53B5B"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C0010</w:t>
            </w:r>
          </w:p>
        </w:tc>
        <w:tc>
          <w:tcPr>
            <w:tcW w:w="7616" w:type="dxa"/>
            <w:tcBorders>
              <w:top w:val="single" w:sz="4" w:space="0" w:color="auto"/>
              <w:left w:val="single" w:sz="4" w:space="0" w:color="auto"/>
              <w:bottom w:val="single" w:sz="4" w:space="0" w:color="auto"/>
              <w:right w:val="single" w:sz="4" w:space="0" w:color="auto"/>
            </w:tcBorders>
            <w:hideMark/>
          </w:tcPr>
          <w:p w14:paraId="1CC4572D" w14:textId="2361CD45" w:rsidR="00491899" w:rsidRDefault="00491899" w:rsidP="00492EA7">
            <w:pPr>
              <w:pStyle w:val="InstructionsText2"/>
              <w:rPr>
                <w:rFonts w:asciiTheme="minorHAnsi" w:hAnsiTheme="minorHAnsi"/>
                <w:sz w:val="20"/>
                <w:szCs w:val="20"/>
                <w:lang w:bidi="ne-NP"/>
              </w:rPr>
            </w:pPr>
            <w:r w:rsidRPr="00E76F04">
              <w:rPr>
                <w:rFonts w:ascii="Aptos" w:hAnsi="Aptos"/>
                <w:b/>
                <w:sz w:val="20"/>
                <w:szCs w:val="20"/>
                <w:u w:val="single"/>
                <w:lang w:bidi="ne-NP"/>
              </w:rPr>
              <w:t xml:space="preserve">Total </w:t>
            </w:r>
            <w:r w:rsidRPr="00E76F04">
              <w:rPr>
                <w:rStyle w:val="FormatvorlageInstructionsTabelleText"/>
                <w:rFonts w:ascii="Aptos" w:hAnsi="Aptos"/>
                <w:b/>
                <w:bCs w:val="0"/>
                <w:u w:val="single"/>
              </w:rPr>
              <w:t>Customers</w:t>
            </w:r>
          </w:p>
          <w:p w14:paraId="0FA7157F" w14:textId="6768BDFA" w:rsidR="00492EA7" w:rsidRDefault="5F058342" w:rsidP="01D45472">
            <w:pPr>
              <w:pStyle w:val="InstructionsText2"/>
              <w:rPr>
                <w:rFonts w:asciiTheme="minorHAnsi" w:hAnsiTheme="minorHAnsi"/>
                <w:sz w:val="20"/>
                <w:szCs w:val="20"/>
                <w:lang w:val="en-IE"/>
              </w:rPr>
            </w:pPr>
            <w:r w:rsidRPr="01D45472">
              <w:rPr>
                <w:rFonts w:asciiTheme="minorHAnsi" w:hAnsiTheme="minorHAnsi"/>
                <w:sz w:val="20"/>
                <w:szCs w:val="20"/>
                <w:lang w:bidi="ne-NP"/>
              </w:rPr>
              <w:t>Indicate number of customers</w:t>
            </w:r>
            <w:r w:rsidR="4D544D3C" w:rsidRPr="1F3198C7">
              <w:rPr>
                <w:rFonts w:asciiTheme="minorHAnsi" w:hAnsiTheme="minorHAnsi"/>
                <w:sz w:val="20"/>
                <w:szCs w:val="20"/>
                <w:lang w:bidi="ne-NP"/>
              </w:rPr>
              <w:t xml:space="preserve"> </w:t>
            </w:r>
            <w:r w:rsidR="4D544D3C" w:rsidRPr="1F3198C7">
              <w:rPr>
                <w:rFonts w:asciiTheme="minorHAnsi" w:hAnsiTheme="minorHAnsi"/>
                <w:sz w:val="20"/>
                <w:szCs w:val="20"/>
                <w:lang w:val="en-IE"/>
              </w:rPr>
              <w:t>as of end of the reference year</w:t>
            </w:r>
            <w:r w:rsidR="4D544D3C" w:rsidRPr="01D45472">
              <w:rPr>
                <w:rFonts w:asciiTheme="minorHAnsi" w:hAnsiTheme="minorHAnsi"/>
                <w:sz w:val="20"/>
                <w:szCs w:val="20"/>
                <w:lang w:val="en-IE"/>
              </w:rPr>
              <w:t>.</w:t>
            </w:r>
            <w:r w:rsidR="00E80B97">
              <w:rPr>
                <w:rFonts w:asciiTheme="minorHAnsi" w:hAnsiTheme="minorHAnsi"/>
                <w:sz w:val="20"/>
                <w:szCs w:val="20"/>
                <w:lang w:val="en-IE"/>
              </w:rPr>
              <w:t xml:space="preserve"> See </w:t>
            </w:r>
            <w:r w:rsidR="00942ED4">
              <w:rPr>
                <w:rFonts w:asciiTheme="minorHAnsi" w:hAnsiTheme="minorHAnsi"/>
                <w:sz w:val="20"/>
                <w:szCs w:val="20"/>
                <w:lang w:val="en-IE"/>
              </w:rPr>
              <w:t xml:space="preserve">the </w:t>
            </w:r>
            <w:r w:rsidR="00E80B97">
              <w:rPr>
                <w:rFonts w:asciiTheme="minorHAnsi" w:hAnsiTheme="minorHAnsi"/>
                <w:sz w:val="20"/>
                <w:szCs w:val="20"/>
                <w:lang w:val="en-IE"/>
              </w:rPr>
              <w:t xml:space="preserve">definition of customer in the </w:t>
            </w:r>
            <w:r w:rsidR="00942ED4">
              <w:rPr>
                <w:rFonts w:asciiTheme="minorHAnsi" w:hAnsiTheme="minorHAnsi"/>
                <w:sz w:val="20"/>
                <w:szCs w:val="20"/>
                <w:lang w:val="en-IE"/>
              </w:rPr>
              <w:t>A</w:t>
            </w:r>
            <w:r w:rsidR="00BF3B64">
              <w:rPr>
                <w:rFonts w:asciiTheme="minorHAnsi" w:hAnsiTheme="minorHAnsi"/>
                <w:sz w:val="20"/>
                <w:szCs w:val="20"/>
                <w:lang w:val="en-IE"/>
              </w:rPr>
              <w:t>nnex</w:t>
            </w:r>
            <w:r w:rsidR="00C147E1">
              <w:rPr>
                <w:rFonts w:asciiTheme="minorHAnsi" w:hAnsiTheme="minorHAnsi"/>
                <w:sz w:val="20"/>
                <w:szCs w:val="20"/>
                <w:lang w:val="en-IE"/>
              </w:rPr>
              <w:t>.</w:t>
            </w:r>
          </w:p>
          <w:p w14:paraId="2F284E04" w14:textId="56ED5DE9" w:rsidR="00BF3B64" w:rsidRPr="00F545D7" w:rsidRDefault="00E21A09" w:rsidP="01D45472">
            <w:pPr>
              <w:pStyle w:val="InstructionsText2"/>
              <w:rPr>
                <w:rFonts w:asciiTheme="minorHAnsi" w:hAnsiTheme="minorHAnsi"/>
                <w:sz w:val="20"/>
                <w:szCs w:val="20"/>
                <w:lang w:bidi="ne-NP"/>
              </w:rPr>
            </w:pPr>
            <w:r>
              <w:rPr>
                <w:rFonts w:asciiTheme="minorHAnsi" w:hAnsiTheme="minorHAnsi"/>
                <w:sz w:val="20"/>
                <w:szCs w:val="20"/>
                <w:lang w:val="en-IE"/>
              </w:rPr>
              <w:t>‘</w:t>
            </w:r>
            <w:r w:rsidR="00BF3B64">
              <w:rPr>
                <w:rFonts w:asciiTheme="minorHAnsi" w:hAnsiTheme="minorHAnsi"/>
                <w:sz w:val="20"/>
                <w:szCs w:val="20"/>
                <w:lang w:val="en-IE"/>
              </w:rPr>
              <w:t>Walk-in customers</w:t>
            </w:r>
            <w:r>
              <w:rPr>
                <w:rFonts w:asciiTheme="minorHAnsi" w:hAnsiTheme="minorHAnsi"/>
                <w:sz w:val="20"/>
                <w:szCs w:val="20"/>
                <w:lang w:val="en-IE"/>
              </w:rPr>
              <w:t>’</w:t>
            </w:r>
            <w:r w:rsidR="00BF3B64">
              <w:rPr>
                <w:rFonts w:asciiTheme="minorHAnsi" w:hAnsiTheme="minorHAnsi"/>
                <w:sz w:val="20"/>
                <w:szCs w:val="20"/>
                <w:lang w:val="en-IE"/>
              </w:rPr>
              <w:t xml:space="preserve"> should be excluded (see C0</w:t>
            </w:r>
            <w:r w:rsidR="00735C6C">
              <w:rPr>
                <w:rFonts w:asciiTheme="minorHAnsi" w:hAnsiTheme="minorHAnsi"/>
                <w:sz w:val="20"/>
                <w:szCs w:val="20"/>
                <w:lang w:val="en-IE"/>
              </w:rPr>
              <w:t xml:space="preserve">120) </w:t>
            </w:r>
            <w:r w:rsidR="00F85064">
              <w:rPr>
                <w:rFonts w:asciiTheme="minorHAnsi" w:hAnsiTheme="minorHAnsi"/>
                <w:sz w:val="20"/>
                <w:szCs w:val="20"/>
                <w:lang w:val="en-IE"/>
              </w:rPr>
              <w:t>from this datapoint</w:t>
            </w:r>
            <w:r w:rsidR="005973A7">
              <w:rPr>
                <w:rFonts w:asciiTheme="minorHAnsi" w:hAnsiTheme="minorHAnsi"/>
                <w:sz w:val="20"/>
                <w:szCs w:val="20"/>
                <w:lang w:val="en-IE"/>
              </w:rPr>
              <w:t xml:space="preserve"> for the purpose of this </w:t>
            </w:r>
            <w:r w:rsidR="00EC7196">
              <w:rPr>
                <w:rFonts w:asciiTheme="minorHAnsi" w:hAnsiTheme="minorHAnsi"/>
                <w:sz w:val="20"/>
                <w:szCs w:val="20"/>
                <w:lang w:val="en-IE"/>
              </w:rPr>
              <w:t>testing exercise</w:t>
            </w:r>
            <w:r w:rsidR="00F85064">
              <w:rPr>
                <w:rFonts w:asciiTheme="minorHAnsi" w:hAnsiTheme="minorHAnsi"/>
                <w:sz w:val="20"/>
                <w:szCs w:val="20"/>
                <w:lang w:val="en-IE"/>
              </w:rPr>
              <w:t xml:space="preserve">. </w:t>
            </w:r>
          </w:p>
          <w:p w14:paraId="04B5529F" w14:textId="1E491169" w:rsidR="00534BBD" w:rsidRPr="00F545D7" w:rsidRDefault="00534BBD" w:rsidP="00B971EE">
            <w:pPr>
              <w:pStyle w:val="InstructionsText2"/>
              <w:rPr>
                <w:rStyle w:val="InstructionsTabelleberschrift"/>
                <w:rFonts w:asciiTheme="minorHAnsi" w:hAnsiTheme="minorHAnsi"/>
              </w:rPr>
            </w:pPr>
          </w:p>
        </w:tc>
      </w:tr>
      <w:tr w:rsidR="00534BBD" w:rsidRPr="009275BC" w14:paraId="383B9081" w14:textId="77777777" w:rsidTr="001C7444">
        <w:tc>
          <w:tcPr>
            <w:tcW w:w="1673" w:type="dxa"/>
            <w:tcBorders>
              <w:top w:val="single" w:sz="4" w:space="0" w:color="auto"/>
              <w:left w:val="single" w:sz="4" w:space="0" w:color="auto"/>
              <w:bottom w:val="single" w:sz="4" w:space="0" w:color="auto"/>
              <w:right w:val="single" w:sz="4" w:space="0" w:color="auto"/>
            </w:tcBorders>
          </w:tcPr>
          <w:p w14:paraId="228E545A" w14:textId="4A251B9C" w:rsidR="00534BBD" w:rsidRPr="009275BC" w:rsidRDefault="00CF25F7"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C0020</w:t>
            </w:r>
          </w:p>
        </w:tc>
        <w:tc>
          <w:tcPr>
            <w:tcW w:w="7616" w:type="dxa"/>
            <w:tcBorders>
              <w:top w:val="single" w:sz="4" w:space="0" w:color="auto"/>
              <w:left w:val="single" w:sz="4" w:space="0" w:color="auto"/>
              <w:bottom w:val="single" w:sz="4" w:space="0" w:color="auto"/>
              <w:right w:val="single" w:sz="4" w:space="0" w:color="auto"/>
            </w:tcBorders>
          </w:tcPr>
          <w:p w14:paraId="4BFA978F" w14:textId="5970C615" w:rsidR="00491899" w:rsidRDefault="00491899" w:rsidP="005B35E9">
            <w:pPr>
              <w:pStyle w:val="InstructionsText2"/>
              <w:rPr>
                <w:rStyle w:val="FormatvorlageInstructionsTabelleText"/>
                <w:rFonts w:asciiTheme="minorHAnsi" w:eastAsia="Cambria" w:hAnsiTheme="minorHAnsi"/>
                <w:color w:val="262626" w:themeColor="text1" w:themeTint="D9"/>
                <w:kern w:val="20"/>
                <w:lang w:val="en-US" w:eastAsia="ja-JP"/>
              </w:rPr>
            </w:pPr>
            <w:r w:rsidRPr="005B35E9">
              <w:rPr>
                <w:rStyle w:val="FormatvorlageInstructionsTabelleText"/>
                <w:rFonts w:ascii="Aptos" w:hAnsi="Aptos"/>
                <w:b/>
                <w:u w:val="single"/>
              </w:rPr>
              <w:t>Natural Persons</w:t>
            </w:r>
            <w:r w:rsidR="0096183F">
              <w:rPr>
                <w:rStyle w:val="FormatvorlageInstructionsTabelleText"/>
                <w:rFonts w:ascii="Aptos" w:hAnsi="Aptos"/>
                <w:b/>
                <w:u w:val="single"/>
              </w:rPr>
              <w:t xml:space="preserve"> </w:t>
            </w:r>
          </w:p>
          <w:p w14:paraId="343E7018" w14:textId="5514138C" w:rsidR="009275BC" w:rsidRDefault="53E39A5B" w:rsidP="00F32516">
            <w:pPr>
              <w:pStyle w:val="InstructionsText"/>
              <w:rPr>
                <w:lang w:val="en-IE"/>
              </w:rPr>
            </w:pPr>
            <w:r w:rsidRPr="40DD2F54">
              <w:rPr>
                <w:rStyle w:val="FormatvorlageInstructionsTabelleText"/>
                <w:rFonts w:asciiTheme="minorHAnsi" w:hAnsiTheme="minorHAnsi"/>
              </w:rPr>
              <w:t xml:space="preserve">Total of </w:t>
            </w:r>
            <w:r w:rsidR="006C644D">
              <w:rPr>
                <w:rStyle w:val="FormatvorlageInstructionsTabelleText"/>
                <w:rFonts w:asciiTheme="minorHAnsi" w:hAnsiTheme="minorHAnsi"/>
              </w:rPr>
              <w:t xml:space="preserve">Natural Persons </w:t>
            </w:r>
            <w:r w:rsidRPr="40DD2F54">
              <w:rPr>
                <w:rStyle w:val="FormatvorlageInstructionsTabelleText"/>
                <w:rFonts w:asciiTheme="minorHAnsi" w:hAnsiTheme="minorHAnsi"/>
              </w:rPr>
              <w:t>customers</w:t>
            </w:r>
            <w:r w:rsidR="003251F3">
              <w:rPr>
                <w:rStyle w:val="FormatvorlageInstructionsTabelleText"/>
                <w:rFonts w:asciiTheme="minorHAnsi" w:hAnsiTheme="minorHAnsi"/>
              </w:rPr>
              <w:t>,</w:t>
            </w:r>
            <w:r w:rsidR="00B32530" w:rsidRPr="009275BC">
              <w:rPr>
                <w:rStyle w:val="FormatvorlageInstructionsTabelleText"/>
                <w:rFonts w:asciiTheme="minorHAnsi" w:hAnsiTheme="minorHAnsi"/>
              </w:rPr>
              <w:t xml:space="preserve"> </w:t>
            </w:r>
            <w:r w:rsidR="0040293E" w:rsidRPr="2D55A1C4">
              <w:rPr>
                <w:lang w:val="en-IE"/>
              </w:rPr>
              <w:t>a</w:t>
            </w:r>
            <w:r w:rsidR="0040293E">
              <w:rPr>
                <w:lang w:val="en-IE"/>
              </w:rPr>
              <w:t>s</w:t>
            </w:r>
            <w:r w:rsidR="23F0C4BC" w:rsidRPr="2D55A1C4">
              <w:rPr>
                <w:lang w:val="en-IE"/>
              </w:rPr>
              <w:t xml:space="preserve"> of end of the reference year.</w:t>
            </w:r>
          </w:p>
          <w:p w14:paraId="451D60B5" w14:textId="77777777" w:rsidR="0096749C" w:rsidRDefault="0096749C" w:rsidP="00F32516">
            <w:pPr>
              <w:pStyle w:val="InstructionsText"/>
            </w:pPr>
          </w:p>
          <w:p w14:paraId="6A0E7BDD" w14:textId="2B457B45" w:rsidR="0096749C" w:rsidRPr="0096749C" w:rsidRDefault="0096749C" w:rsidP="00F32516">
            <w:pPr>
              <w:pStyle w:val="InstructionsText"/>
            </w:pPr>
            <w:r w:rsidRPr="0096749C">
              <w:t xml:space="preserve">Clients can be treated as natural persons unless they are legally registered as a Legal Entity. This refers to </w:t>
            </w:r>
            <w:r w:rsidR="00C64527">
              <w:t xml:space="preserve">amongst others </w:t>
            </w:r>
            <w:r w:rsidRPr="0096749C">
              <w:t>f</w:t>
            </w:r>
            <w:r w:rsidRPr="0096749C">
              <w:rPr>
                <w:lang w:val="en-US"/>
              </w:rPr>
              <w:t>reelancers/self-employed/sole proprietorships without LE status</w:t>
            </w:r>
            <w:r w:rsidR="00C64527">
              <w:rPr>
                <w:lang w:val="en-US"/>
              </w:rPr>
              <w:t xml:space="preserve"> etc. </w:t>
            </w:r>
          </w:p>
          <w:p w14:paraId="4946B286" w14:textId="52D494DC" w:rsidR="008B7703" w:rsidRPr="009275BC" w:rsidRDefault="008B7703" w:rsidP="00F32516">
            <w:pPr>
              <w:pStyle w:val="InstructionsText"/>
              <w:rPr>
                <w:rStyle w:val="InstructionsTabelleberschrift"/>
                <w:rFonts w:asciiTheme="minorHAnsi" w:hAnsiTheme="minorHAnsi"/>
                <w:b w:val="0"/>
                <w:bCs/>
                <w:u w:val="none"/>
              </w:rPr>
            </w:pPr>
          </w:p>
        </w:tc>
      </w:tr>
      <w:tr w:rsidR="001C7444" w:rsidRPr="009275BC" w14:paraId="0F389881" w14:textId="77777777" w:rsidTr="003A7C34">
        <w:tc>
          <w:tcPr>
            <w:tcW w:w="1673" w:type="dxa"/>
            <w:tcBorders>
              <w:top w:val="single" w:sz="4" w:space="0" w:color="auto"/>
              <w:left w:val="single" w:sz="4" w:space="0" w:color="auto"/>
              <w:bottom w:val="single" w:sz="4" w:space="0" w:color="auto"/>
              <w:right w:val="single" w:sz="4" w:space="0" w:color="auto"/>
            </w:tcBorders>
          </w:tcPr>
          <w:p w14:paraId="602365D3" w14:textId="56DE8E7C" w:rsidR="001C7444" w:rsidRPr="009275BC" w:rsidRDefault="001C7444"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C0030</w:t>
            </w:r>
          </w:p>
        </w:tc>
        <w:tc>
          <w:tcPr>
            <w:tcW w:w="7616" w:type="dxa"/>
            <w:tcBorders>
              <w:top w:val="single" w:sz="4" w:space="0" w:color="auto"/>
              <w:left w:val="single" w:sz="4" w:space="0" w:color="auto"/>
              <w:bottom w:val="single" w:sz="4" w:space="0" w:color="auto"/>
              <w:right w:val="single" w:sz="4" w:space="0" w:color="auto"/>
            </w:tcBorders>
          </w:tcPr>
          <w:p w14:paraId="60502673" w14:textId="3E93B749" w:rsidR="00491899" w:rsidRDefault="00491899" w:rsidP="00F32516">
            <w:pPr>
              <w:pStyle w:val="InstructionsText"/>
              <w:rPr>
                <w:rStyle w:val="InstructionsTabelleberschrift"/>
                <w:rFonts w:asciiTheme="minorHAnsi" w:hAnsiTheme="minorHAnsi"/>
              </w:rPr>
            </w:pPr>
            <w:r w:rsidRPr="000E463F">
              <w:rPr>
                <w:rStyle w:val="InstructionsTabelleberschrift"/>
                <w:rFonts w:ascii="Aptos" w:hAnsi="Aptos"/>
              </w:rPr>
              <w:t>Legal Entities</w:t>
            </w:r>
          </w:p>
          <w:p w14:paraId="74FB2E55" w14:textId="77777777" w:rsidR="008B7703" w:rsidRDefault="008B7703" w:rsidP="00F32516">
            <w:pPr>
              <w:pStyle w:val="InstructionsText"/>
              <w:rPr>
                <w:rStyle w:val="FormatvorlageInstructionsTabelleText"/>
                <w:rFonts w:asciiTheme="minorHAnsi" w:hAnsiTheme="minorHAnsi"/>
              </w:rPr>
            </w:pPr>
          </w:p>
          <w:p w14:paraId="4E860589" w14:textId="783D2D19" w:rsidR="009275BC" w:rsidRDefault="3FEC17CE" w:rsidP="00F32516">
            <w:pPr>
              <w:pStyle w:val="InstructionsText"/>
              <w:rPr>
                <w:lang w:val="en-IE"/>
              </w:rPr>
            </w:pPr>
            <w:r w:rsidRPr="35152DB9">
              <w:rPr>
                <w:rStyle w:val="FormatvorlageInstructionsTabelleText"/>
                <w:rFonts w:asciiTheme="minorHAnsi" w:hAnsiTheme="minorHAnsi"/>
              </w:rPr>
              <w:t xml:space="preserve">Total of </w:t>
            </w:r>
            <w:r w:rsidR="006C644D">
              <w:rPr>
                <w:rStyle w:val="FormatvorlageInstructionsTabelleText"/>
                <w:rFonts w:asciiTheme="minorHAnsi" w:hAnsiTheme="minorHAnsi"/>
              </w:rPr>
              <w:t xml:space="preserve">Legal Entities </w:t>
            </w:r>
            <w:r w:rsidR="006C644D" w:rsidRPr="682B6EBD">
              <w:rPr>
                <w:rStyle w:val="FormatvorlageInstructionsTabelleText"/>
                <w:rFonts w:asciiTheme="minorHAnsi" w:hAnsiTheme="minorHAnsi"/>
              </w:rPr>
              <w:t>Customer</w:t>
            </w:r>
            <w:r w:rsidR="149E1A99" w:rsidRPr="682B6EBD">
              <w:rPr>
                <w:rStyle w:val="FormatvorlageInstructionsTabelleText"/>
                <w:rFonts w:asciiTheme="minorHAnsi" w:hAnsiTheme="minorHAnsi"/>
              </w:rPr>
              <w:t>s</w:t>
            </w:r>
            <w:r w:rsidR="003251F3" w:rsidRPr="682B6EBD">
              <w:rPr>
                <w:rStyle w:val="FormatvorlageInstructionsTabelleText"/>
                <w:rFonts w:asciiTheme="minorHAnsi" w:eastAsia="Cambria" w:hAnsiTheme="minorHAnsi"/>
              </w:rPr>
              <w:t>,</w:t>
            </w:r>
            <w:r w:rsidR="3A391960" w:rsidRPr="2D55A1C4">
              <w:rPr>
                <w:rStyle w:val="FormatvorlageInstructionsTabelleText"/>
                <w:rFonts w:asciiTheme="minorHAnsi" w:eastAsia="Cambria" w:hAnsiTheme="minorHAnsi"/>
                <w:kern w:val="20"/>
              </w:rPr>
              <w:t xml:space="preserve"> </w:t>
            </w:r>
            <w:r w:rsidR="0040293E" w:rsidRPr="2D55A1C4">
              <w:rPr>
                <w:lang w:val="en-IE"/>
              </w:rPr>
              <w:t>a</w:t>
            </w:r>
            <w:r w:rsidR="0040293E">
              <w:rPr>
                <w:lang w:val="en-IE"/>
              </w:rPr>
              <w:t>s</w:t>
            </w:r>
            <w:r w:rsidR="3A391960" w:rsidRPr="2D55A1C4">
              <w:rPr>
                <w:lang w:val="en-IE"/>
              </w:rPr>
              <w:t xml:space="preserve"> of end of the reference year.</w:t>
            </w:r>
          </w:p>
          <w:p w14:paraId="5C62D209" w14:textId="77777777" w:rsidR="00A5009A" w:rsidRDefault="00A5009A" w:rsidP="00F32516">
            <w:pPr>
              <w:pStyle w:val="InstructionsText"/>
            </w:pPr>
          </w:p>
          <w:p w14:paraId="4FFB99AB" w14:textId="09A79106" w:rsidR="00EF27C6" w:rsidRDefault="00206BAE" w:rsidP="00F32516">
            <w:pPr>
              <w:pStyle w:val="InstructionsText"/>
            </w:pPr>
            <w:r>
              <w:t>For the purpose of this data collection exercise</w:t>
            </w:r>
            <w:r w:rsidR="662E10F6" w:rsidRPr="6F2BFBC9">
              <w:t>,</w:t>
            </w:r>
            <w:r>
              <w:t xml:space="preserve"> </w:t>
            </w:r>
            <w:r w:rsidR="7E7765D5" w:rsidRPr="6C153831">
              <w:t xml:space="preserve">a </w:t>
            </w:r>
            <w:r w:rsidR="1E254E20" w:rsidRPr="061ED2DC">
              <w:t>Legal Entity</w:t>
            </w:r>
            <w:r>
              <w:t xml:space="preserve"> </w:t>
            </w:r>
            <w:r w:rsidR="711BC758" w:rsidRPr="7C6B8460">
              <w:t>customer</w:t>
            </w:r>
            <w:r w:rsidR="009E188C">
              <w:t xml:space="preserve"> </w:t>
            </w:r>
            <w:r w:rsidR="55142FBC" w:rsidRPr="7C6B8460">
              <w:t>i</w:t>
            </w:r>
            <w:r w:rsidR="00C154F4">
              <w:t>s</w:t>
            </w:r>
            <w:r w:rsidR="001372FA">
              <w:t xml:space="preserve"> </w:t>
            </w:r>
            <w:r w:rsidR="7B67E17C" w:rsidRPr="2A8B2FFF">
              <w:t xml:space="preserve">an </w:t>
            </w:r>
            <w:r w:rsidRPr="00206BAE">
              <w:t>entity</w:t>
            </w:r>
            <w:r w:rsidRPr="2A8B2FFF">
              <w:t xml:space="preserve"> </w:t>
            </w:r>
            <w:r w:rsidR="40D4921C" w:rsidRPr="2A8B2FFF">
              <w:t>that</w:t>
            </w:r>
            <w:r w:rsidRPr="00206BAE">
              <w:t xml:space="preserve"> </w:t>
            </w:r>
            <w:r w:rsidR="00F85111" w:rsidRPr="00206BAE">
              <w:t>has</w:t>
            </w:r>
            <w:r w:rsidRPr="00206BAE">
              <w:t xml:space="preserve"> </w:t>
            </w:r>
            <w:r w:rsidR="00F85111" w:rsidRPr="00206BAE">
              <w:t>legal</w:t>
            </w:r>
            <w:r w:rsidRPr="00206BAE">
              <w:t xml:space="preserve"> </w:t>
            </w:r>
            <w:r w:rsidR="00F85111" w:rsidRPr="00206BAE">
              <w:t>personality,</w:t>
            </w:r>
            <w:r w:rsidRPr="00206BAE">
              <w:t xml:space="preserve"> </w:t>
            </w:r>
            <w:r w:rsidR="00F85111" w:rsidRPr="00206BAE">
              <w:t>granting</w:t>
            </w:r>
            <w:r w:rsidRPr="00206BAE">
              <w:t xml:space="preserve"> </w:t>
            </w:r>
            <w:r w:rsidR="00F85111" w:rsidRPr="00206BAE">
              <w:t>it</w:t>
            </w:r>
            <w:r w:rsidRPr="00206BAE">
              <w:t xml:space="preserve"> </w:t>
            </w:r>
            <w:r w:rsidR="00F85111" w:rsidRPr="00206BAE">
              <w:t>legal</w:t>
            </w:r>
            <w:r w:rsidRPr="00206BAE">
              <w:t xml:space="preserve"> </w:t>
            </w:r>
            <w:r w:rsidR="00F85111" w:rsidRPr="00206BAE">
              <w:t>rights</w:t>
            </w:r>
            <w:r w:rsidRPr="00206BAE">
              <w:t xml:space="preserve"> </w:t>
            </w:r>
            <w:r w:rsidR="00F85111" w:rsidRPr="00206BAE">
              <w:t>and</w:t>
            </w:r>
            <w:r w:rsidRPr="00206BAE">
              <w:t xml:space="preserve"> </w:t>
            </w:r>
            <w:r w:rsidR="00F85111" w:rsidRPr="00206BAE">
              <w:t>obligations,</w:t>
            </w:r>
            <w:r w:rsidRPr="00206BAE">
              <w:t xml:space="preserve"> </w:t>
            </w:r>
            <w:r w:rsidR="0035117B">
              <w:t>for example</w:t>
            </w:r>
            <w:r w:rsidRPr="00206BAE">
              <w:t xml:space="preserve"> </w:t>
            </w:r>
            <w:r w:rsidR="00F85111" w:rsidRPr="00206BAE">
              <w:t>the</w:t>
            </w:r>
            <w:r w:rsidRPr="00206BAE">
              <w:t xml:space="preserve"> </w:t>
            </w:r>
            <w:r w:rsidR="00F85111" w:rsidRPr="00206BAE">
              <w:t>ability</w:t>
            </w:r>
            <w:r w:rsidRPr="00206BAE">
              <w:t xml:space="preserve"> </w:t>
            </w:r>
            <w:r w:rsidR="00F85111" w:rsidRPr="00206BAE">
              <w:t>to</w:t>
            </w:r>
            <w:r w:rsidRPr="00206BAE">
              <w:t xml:space="preserve"> </w:t>
            </w:r>
            <w:r w:rsidR="00F85111" w:rsidRPr="00206BAE">
              <w:t>enter</w:t>
            </w:r>
            <w:r w:rsidRPr="00206BAE">
              <w:t xml:space="preserve"> </w:t>
            </w:r>
            <w:r w:rsidR="00F85111" w:rsidRPr="00206BAE">
              <w:t>into</w:t>
            </w:r>
            <w:r w:rsidRPr="00206BAE">
              <w:t xml:space="preserve"> </w:t>
            </w:r>
            <w:r w:rsidR="00F85111" w:rsidRPr="00206BAE">
              <w:t>contracts</w:t>
            </w:r>
            <w:r w:rsidR="00CF7C6E">
              <w:t xml:space="preserve">. </w:t>
            </w:r>
            <w:r w:rsidR="003446EC" w:rsidRPr="003446EC">
              <w:rPr>
                <w:lang w:val="en-US"/>
              </w:rPr>
              <w:t>This therefore also includes (but is not limited to) express trust and similar legal arrangements</w:t>
            </w:r>
            <w:r w:rsidR="00907DC3">
              <w:t>.</w:t>
            </w:r>
          </w:p>
          <w:p w14:paraId="190FBAB5" w14:textId="77777777" w:rsidR="00EF27C6" w:rsidRDefault="00EF27C6" w:rsidP="00F32516">
            <w:pPr>
              <w:pStyle w:val="InstructionsText"/>
            </w:pPr>
          </w:p>
          <w:p w14:paraId="5DE7F2F7" w14:textId="667C3CB6" w:rsidR="5F70E7B6" w:rsidRDefault="5F70E7B6" w:rsidP="00F32516">
            <w:pPr>
              <w:pStyle w:val="InstructionsText"/>
            </w:pPr>
            <w:r w:rsidRPr="7528CF69">
              <w:t xml:space="preserve">Legal </w:t>
            </w:r>
            <w:r w:rsidRPr="5D13062F">
              <w:t xml:space="preserve">entities </w:t>
            </w:r>
            <w:r w:rsidRPr="31D42BB0">
              <w:t xml:space="preserve">in the </w:t>
            </w:r>
            <w:r w:rsidRPr="7528CF69">
              <w:t xml:space="preserve">same corporate group and </w:t>
            </w:r>
            <w:r w:rsidRPr="2BB6C1F3">
              <w:t>connected legal entities</w:t>
            </w:r>
            <w:r w:rsidRPr="7528CF69">
              <w:t xml:space="preserve"> (constructed relationships) should be </w:t>
            </w:r>
            <w:r w:rsidR="5C36C52B" w:rsidRPr="2BB6C1F3">
              <w:t>counted</w:t>
            </w:r>
            <w:r w:rsidRPr="7528CF69">
              <w:t xml:space="preserve"> separately</w:t>
            </w:r>
            <w:r w:rsidRPr="2BB6C1F3">
              <w:t xml:space="preserve">. </w:t>
            </w:r>
          </w:p>
          <w:p w14:paraId="49063C00" w14:textId="28B2614D" w:rsidR="008B7703" w:rsidRPr="009275BC" w:rsidRDefault="008B7703" w:rsidP="00F32516">
            <w:pPr>
              <w:pStyle w:val="InstructionsText"/>
              <w:rPr>
                <w:rStyle w:val="InstructionsTabelleberschrift"/>
                <w:rFonts w:asciiTheme="minorHAnsi" w:hAnsiTheme="minorHAnsi"/>
              </w:rPr>
            </w:pPr>
          </w:p>
        </w:tc>
      </w:tr>
      <w:tr w:rsidR="001C7444" w:rsidRPr="00F545D7" w14:paraId="5CFDACB5" w14:textId="77777777" w:rsidTr="003A7C34">
        <w:tc>
          <w:tcPr>
            <w:tcW w:w="1673" w:type="dxa"/>
            <w:tcBorders>
              <w:top w:val="single" w:sz="4" w:space="0" w:color="auto"/>
              <w:left w:val="single" w:sz="4" w:space="0" w:color="auto"/>
              <w:bottom w:val="single" w:sz="4" w:space="0" w:color="auto"/>
              <w:right w:val="single" w:sz="4" w:space="0" w:color="auto"/>
            </w:tcBorders>
          </w:tcPr>
          <w:p w14:paraId="093F51CD" w14:textId="7CCBA2B6" w:rsidR="001C7444" w:rsidRPr="009275BC" w:rsidRDefault="003446D4"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C0040</w:t>
            </w:r>
          </w:p>
        </w:tc>
        <w:tc>
          <w:tcPr>
            <w:tcW w:w="7616" w:type="dxa"/>
            <w:tcBorders>
              <w:top w:val="single" w:sz="4" w:space="0" w:color="auto"/>
              <w:left w:val="single" w:sz="4" w:space="0" w:color="auto"/>
              <w:bottom w:val="single" w:sz="4" w:space="0" w:color="auto"/>
              <w:right w:val="single" w:sz="4" w:space="0" w:color="auto"/>
            </w:tcBorders>
          </w:tcPr>
          <w:p w14:paraId="12346A2D" w14:textId="562DBDFD" w:rsidR="00491899" w:rsidRPr="008B7703" w:rsidRDefault="00491899" w:rsidP="008B7703">
            <w:pPr>
              <w:pStyle w:val="InstructionsText2"/>
              <w:rPr>
                <w:rStyle w:val="FormatvorlageInstructionsTabelleText"/>
                <w:rFonts w:asciiTheme="minorHAnsi" w:hAnsiTheme="minorHAnsi"/>
                <w:b/>
              </w:rPr>
            </w:pPr>
            <w:r w:rsidRPr="008B7703">
              <w:rPr>
                <w:rStyle w:val="FormatvorlageInstructionsTabelleText"/>
                <w:rFonts w:ascii="Aptos" w:hAnsi="Aptos"/>
                <w:b/>
                <w:u w:val="single"/>
              </w:rPr>
              <w:t>Natural Persons -</w:t>
            </w:r>
            <w:r w:rsidRPr="005A3758">
              <w:rPr>
                <w:rStyle w:val="FormatvorlageInstructionsTabelleText"/>
                <w:rFonts w:ascii="Aptos" w:hAnsi="Aptos"/>
                <w:b/>
                <w:u w:val="single"/>
              </w:rPr>
              <w:t xml:space="preserve"> </w:t>
            </w:r>
            <w:r w:rsidRPr="005F762C">
              <w:rPr>
                <w:rStyle w:val="FormatvorlageInstructionsTabelleText"/>
                <w:rFonts w:asciiTheme="minorHAnsi" w:hAnsiTheme="minorHAnsi"/>
                <w:b/>
                <w:u w:val="single"/>
              </w:rPr>
              <w:t>PEPs</w:t>
            </w:r>
            <w:r w:rsidR="00DA20E3">
              <w:rPr>
                <w:rStyle w:val="FormatvorlageInstructionsTabelleText"/>
                <w:rFonts w:asciiTheme="minorHAnsi" w:hAnsiTheme="minorHAnsi"/>
                <w:b/>
                <w:u w:val="single"/>
              </w:rPr>
              <w:t>,</w:t>
            </w:r>
            <w:r w:rsidR="00344309">
              <w:rPr>
                <w:rStyle w:val="FormatvorlageInstructionsTabelleText"/>
                <w:rFonts w:asciiTheme="minorHAnsi" w:hAnsiTheme="minorHAnsi"/>
                <w:b/>
                <w:u w:val="single"/>
              </w:rPr>
              <w:t xml:space="preserve"> </w:t>
            </w:r>
            <w:r w:rsidR="00412372">
              <w:rPr>
                <w:rStyle w:val="FormatvorlageInstructionsTabelleText"/>
                <w:rFonts w:asciiTheme="minorHAnsi" w:hAnsiTheme="minorHAnsi"/>
                <w:b/>
                <w:u w:val="single"/>
              </w:rPr>
              <w:t>F</w:t>
            </w:r>
            <w:r w:rsidR="00DA20E3">
              <w:rPr>
                <w:rStyle w:val="FormatvorlageInstructionsTabelleText"/>
                <w:rFonts w:asciiTheme="minorHAnsi" w:hAnsiTheme="minorHAnsi"/>
                <w:b/>
                <w:u w:val="single"/>
              </w:rPr>
              <w:t xml:space="preserve">amily </w:t>
            </w:r>
            <w:r w:rsidR="00412372">
              <w:rPr>
                <w:rStyle w:val="FormatvorlageInstructionsTabelleText"/>
                <w:rFonts w:asciiTheme="minorHAnsi" w:hAnsiTheme="minorHAnsi"/>
                <w:b/>
                <w:u w:val="single"/>
              </w:rPr>
              <w:t>M</w:t>
            </w:r>
            <w:r w:rsidR="00DA20E3">
              <w:rPr>
                <w:rStyle w:val="FormatvorlageInstructionsTabelleText"/>
                <w:rFonts w:asciiTheme="minorHAnsi" w:hAnsiTheme="minorHAnsi"/>
                <w:b/>
                <w:u w:val="single"/>
              </w:rPr>
              <w:t xml:space="preserve">embers </w:t>
            </w:r>
            <w:r w:rsidR="009A601D">
              <w:rPr>
                <w:rStyle w:val="FormatvorlageInstructionsTabelleText"/>
                <w:rFonts w:asciiTheme="minorHAnsi" w:hAnsiTheme="minorHAnsi"/>
                <w:b/>
                <w:u w:val="single"/>
              </w:rPr>
              <w:t>or</w:t>
            </w:r>
            <w:r w:rsidR="00813D39" w:rsidDel="00DA20E3">
              <w:rPr>
                <w:rStyle w:val="FormatvorlageInstructionsTabelleText"/>
                <w:rFonts w:asciiTheme="minorHAnsi" w:hAnsiTheme="minorHAnsi"/>
                <w:b/>
                <w:u w:val="single"/>
              </w:rPr>
              <w:t xml:space="preserve"> </w:t>
            </w:r>
            <w:r w:rsidR="00412372">
              <w:rPr>
                <w:rStyle w:val="FormatvorlageInstructionsTabelleText"/>
                <w:rFonts w:asciiTheme="minorHAnsi" w:hAnsiTheme="minorHAnsi"/>
                <w:b/>
                <w:u w:val="single"/>
              </w:rPr>
              <w:t>C</w:t>
            </w:r>
            <w:r w:rsidR="00813D39">
              <w:rPr>
                <w:rStyle w:val="FormatvorlageInstructionsTabelleText"/>
                <w:rFonts w:asciiTheme="minorHAnsi" w:hAnsiTheme="minorHAnsi"/>
                <w:b/>
                <w:u w:val="single"/>
              </w:rPr>
              <w:t xml:space="preserve">lose </w:t>
            </w:r>
            <w:r w:rsidR="00412372">
              <w:rPr>
                <w:rStyle w:val="FormatvorlageInstructionsTabelleText"/>
                <w:rFonts w:asciiTheme="minorHAnsi" w:hAnsiTheme="minorHAnsi"/>
                <w:b/>
                <w:u w:val="single"/>
              </w:rPr>
              <w:t>A</w:t>
            </w:r>
            <w:r w:rsidR="00813D39">
              <w:rPr>
                <w:rStyle w:val="FormatvorlageInstructionsTabelleText"/>
                <w:rFonts w:asciiTheme="minorHAnsi" w:hAnsiTheme="minorHAnsi"/>
                <w:b/>
                <w:u w:val="single"/>
              </w:rPr>
              <w:t>ssociates</w:t>
            </w:r>
          </w:p>
          <w:p w14:paraId="3F5C985B" w14:textId="6BD1053E" w:rsidR="00B436D5" w:rsidRPr="003A1C91" w:rsidRDefault="6F3E6670" w:rsidP="001B0E28">
            <w:pPr>
              <w:spacing w:before="0" w:after="0" w:line="240" w:lineRule="auto"/>
              <w:jc w:val="both"/>
              <w:rPr>
                <w:rFonts w:asciiTheme="minorHAnsi" w:hAnsiTheme="minorHAnsi"/>
                <w:sz w:val="20"/>
                <w:lang w:val="en-IE"/>
              </w:rPr>
            </w:pPr>
            <w:r w:rsidRPr="29C17E01">
              <w:rPr>
                <w:rStyle w:val="FormatvorlageInstructionsTabelleText"/>
                <w:rFonts w:asciiTheme="minorHAnsi" w:hAnsiTheme="minorHAnsi"/>
              </w:rPr>
              <w:t>Total of N</w:t>
            </w:r>
            <w:r w:rsidR="004E2FED">
              <w:rPr>
                <w:rStyle w:val="FormatvorlageInstructionsTabelleText"/>
                <w:rFonts w:asciiTheme="minorHAnsi" w:hAnsiTheme="minorHAnsi"/>
              </w:rPr>
              <w:t xml:space="preserve">atural </w:t>
            </w:r>
            <w:r w:rsidRPr="29C17E01">
              <w:rPr>
                <w:rStyle w:val="FormatvorlageInstructionsTabelleText"/>
                <w:rFonts w:asciiTheme="minorHAnsi" w:hAnsiTheme="minorHAnsi"/>
              </w:rPr>
              <w:t>P</w:t>
            </w:r>
            <w:r w:rsidR="004E2FED">
              <w:rPr>
                <w:rStyle w:val="FormatvorlageInstructionsTabelleText"/>
                <w:rFonts w:asciiTheme="minorHAnsi" w:hAnsiTheme="minorHAnsi"/>
              </w:rPr>
              <w:t>erson</w:t>
            </w:r>
            <w:r w:rsidR="0065415C">
              <w:rPr>
                <w:rStyle w:val="FormatvorlageInstructionsTabelleText"/>
                <w:rFonts w:asciiTheme="minorHAnsi" w:hAnsiTheme="minorHAnsi"/>
              </w:rPr>
              <w:t xml:space="preserve"> customers who</w:t>
            </w:r>
            <w:r w:rsidR="00C55D87">
              <w:rPr>
                <w:rStyle w:val="FormatvorlageInstructionsTabelleText"/>
                <w:rFonts w:asciiTheme="minorHAnsi" w:hAnsiTheme="minorHAnsi"/>
              </w:rPr>
              <w:t xml:space="preserve"> are</w:t>
            </w:r>
            <w:r w:rsidRPr="29C17E01">
              <w:rPr>
                <w:rStyle w:val="FormatvorlageInstructionsTabelleText"/>
                <w:rFonts w:asciiTheme="minorHAnsi" w:hAnsiTheme="minorHAnsi"/>
              </w:rPr>
              <w:t xml:space="preserve"> </w:t>
            </w:r>
            <w:r w:rsidR="00AC333B">
              <w:rPr>
                <w:rStyle w:val="FormatvorlageInstructionsTabelleText"/>
                <w:rFonts w:asciiTheme="minorHAnsi" w:hAnsiTheme="minorHAnsi"/>
              </w:rPr>
              <w:t>identified as</w:t>
            </w:r>
            <w:r w:rsidR="009502A9">
              <w:rPr>
                <w:rStyle w:val="FormatvorlageInstructionsTabelleText"/>
                <w:rFonts w:asciiTheme="minorHAnsi" w:hAnsiTheme="minorHAnsi"/>
              </w:rPr>
              <w:t>: (i)</w:t>
            </w:r>
            <w:r w:rsidR="00AC333B">
              <w:rPr>
                <w:rStyle w:val="FormatvorlageInstructionsTabelleText"/>
                <w:rFonts w:asciiTheme="minorHAnsi" w:hAnsiTheme="minorHAnsi"/>
              </w:rPr>
              <w:t xml:space="preserve"> </w:t>
            </w:r>
            <w:r w:rsidR="004B7169">
              <w:rPr>
                <w:rStyle w:val="FormatvorlageInstructionsTabelleText"/>
                <w:rFonts w:asciiTheme="minorHAnsi" w:hAnsiTheme="minorHAnsi"/>
              </w:rPr>
              <w:t>politically exposed persons</w:t>
            </w:r>
            <w:r w:rsidR="00AC333B">
              <w:rPr>
                <w:rStyle w:val="FormatvorlageInstructionsTabelleText"/>
                <w:rFonts w:asciiTheme="minorHAnsi" w:hAnsiTheme="minorHAnsi"/>
              </w:rPr>
              <w:t xml:space="preserve"> (PEPs)</w:t>
            </w:r>
            <w:r w:rsidR="2204993F" w:rsidRPr="2D55A1C4">
              <w:rPr>
                <w:rStyle w:val="FormatvorlageInstructionsTabelleText"/>
                <w:rFonts w:asciiTheme="minorHAnsi" w:hAnsiTheme="minorHAnsi"/>
              </w:rPr>
              <w:t>,</w:t>
            </w:r>
            <w:r w:rsidR="00AC333B">
              <w:rPr>
                <w:rStyle w:val="FormatvorlageInstructionsTabelleText"/>
                <w:rFonts w:asciiTheme="minorHAnsi" w:hAnsiTheme="minorHAnsi"/>
              </w:rPr>
              <w:t xml:space="preserve"> </w:t>
            </w:r>
            <w:r w:rsidR="009502A9">
              <w:rPr>
                <w:rStyle w:val="FormatvorlageInstructionsTabelleText"/>
                <w:rFonts w:asciiTheme="minorHAnsi" w:hAnsiTheme="minorHAnsi"/>
              </w:rPr>
              <w:t xml:space="preserve">(ii) </w:t>
            </w:r>
            <w:r w:rsidR="00AC333B">
              <w:rPr>
                <w:rStyle w:val="FormatvorlageInstructionsTabelleText"/>
                <w:rFonts w:asciiTheme="minorHAnsi" w:hAnsiTheme="minorHAnsi"/>
              </w:rPr>
              <w:t xml:space="preserve">family members of PEPs, or </w:t>
            </w:r>
            <w:r w:rsidR="009502A9">
              <w:rPr>
                <w:rStyle w:val="FormatvorlageInstructionsTabelleText"/>
                <w:rFonts w:asciiTheme="minorHAnsi" w:hAnsiTheme="minorHAnsi"/>
              </w:rPr>
              <w:t xml:space="preserve">(iii) </w:t>
            </w:r>
            <w:r w:rsidR="00AC333B">
              <w:rPr>
                <w:rStyle w:val="FormatvorlageInstructionsTabelleText"/>
                <w:rFonts w:asciiTheme="minorHAnsi" w:hAnsiTheme="minorHAnsi"/>
              </w:rPr>
              <w:t xml:space="preserve">persons known to be close </w:t>
            </w:r>
            <w:r w:rsidR="00FC52D6">
              <w:rPr>
                <w:rStyle w:val="FormatvorlageInstructionsTabelleText"/>
                <w:rFonts w:asciiTheme="minorHAnsi" w:hAnsiTheme="minorHAnsi"/>
              </w:rPr>
              <w:t>associates of PEPs</w:t>
            </w:r>
            <w:r w:rsidR="00203989">
              <w:rPr>
                <w:rFonts w:asciiTheme="minorHAnsi" w:hAnsiTheme="minorHAnsi"/>
                <w:sz w:val="20"/>
                <w:lang w:val="en-IE"/>
              </w:rPr>
              <w:t xml:space="preserve">, </w:t>
            </w:r>
            <w:r w:rsidR="00B436D5">
              <w:rPr>
                <w:rFonts w:asciiTheme="minorHAnsi" w:hAnsiTheme="minorHAnsi"/>
                <w:sz w:val="20"/>
                <w:lang w:val="en-IE"/>
              </w:rPr>
              <w:t>as of end of the reference year</w:t>
            </w:r>
            <w:r w:rsidR="003A1C91">
              <w:rPr>
                <w:rFonts w:asciiTheme="minorHAnsi" w:hAnsiTheme="minorHAnsi"/>
                <w:sz w:val="20"/>
                <w:lang w:val="en-IE"/>
              </w:rPr>
              <w:t>.</w:t>
            </w:r>
          </w:p>
          <w:p w14:paraId="162EA3C8" w14:textId="77777777" w:rsidR="0054575F" w:rsidRPr="00166A93" w:rsidRDefault="0054575F" w:rsidP="001B0E28">
            <w:pPr>
              <w:spacing w:before="0" w:after="0" w:line="240" w:lineRule="auto"/>
              <w:jc w:val="both"/>
              <w:rPr>
                <w:lang w:val="en-IE"/>
              </w:rPr>
            </w:pPr>
          </w:p>
          <w:p w14:paraId="6A5CDDE0" w14:textId="3CB3B92A" w:rsidR="0054575F" w:rsidRPr="00166A93" w:rsidRDefault="00D93397" w:rsidP="001B0E28">
            <w:pPr>
              <w:spacing w:before="0" w:after="0" w:line="240" w:lineRule="auto"/>
              <w:jc w:val="both"/>
              <w:rPr>
                <w:rStyle w:val="FormatvorlageInstructionsTabelleText"/>
                <w:rFonts w:asciiTheme="minorHAnsi" w:hAnsiTheme="minorHAnsi"/>
                <w:color w:val="auto"/>
                <w:kern w:val="0"/>
                <w:szCs w:val="24"/>
                <w:lang w:val="en-GB" w:eastAsia="de-DE" w:bidi="ne-NP"/>
              </w:rPr>
            </w:pPr>
            <w:r w:rsidRPr="00166A93">
              <w:rPr>
                <w:rStyle w:val="FormatvorlageInstructionsTabelleText"/>
                <w:rFonts w:asciiTheme="minorHAnsi" w:hAnsiTheme="minorHAnsi"/>
                <w:color w:val="auto"/>
                <w:kern w:val="0"/>
                <w:szCs w:val="24"/>
                <w:lang w:val="en-GB" w:eastAsia="de-DE" w:bidi="ne-NP"/>
              </w:rPr>
              <w:t>See the definition of ‘</w:t>
            </w:r>
            <w:r w:rsidR="008650F5" w:rsidRPr="00166A93">
              <w:rPr>
                <w:rStyle w:val="FormatvorlageInstructionsTabelleText"/>
                <w:rFonts w:asciiTheme="minorHAnsi" w:hAnsiTheme="minorHAnsi"/>
                <w:color w:val="auto"/>
                <w:kern w:val="0"/>
                <w:szCs w:val="24"/>
                <w:lang w:val="en-GB" w:eastAsia="de-DE" w:bidi="ne-NP"/>
              </w:rPr>
              <w:t>PEP’, ‘family member’, and ‘person known to be close associate’ in Annex 2.</w:t>
            </w:r>
          </w:p>
          <w:p w14:paraId="5D31DD25" w14:textId="23CD228C" w:rsidR="001C7444" w:rsidRPr="009275BC" w:rsidRDefault="001C7444" w:rsidP="00E66330">
            <w:pPr>
              <w:spacing w:before="0" w:after="0" w:line="240" w:lineRule="auto"/>
              <w:jc w:val="both"/>
              <w:rPr>
                <w:rStyle w:val="InstructionsTabelleberschrift"/>
                <w:rFonts w:asciiTheme="minorHAnsi" w:hAnsiTheme="minorHAnsi"/>
              </w:rPr>
            </w:pPr>
          </w:p>
        </w:tc>
      </w:tr>
      <w:tr w:rsidR="0012091E" w:rsidRPr="00F545D7" w14:paraId="5E289C1E" w14:textId="77777777" w:rsidTr="003A7C34">
        <w:tc>
          <w:tcPr>
            <w:tcW w:w="1673" w:type="dxa"/>
            <w:tcBorders>
              <w:top w:val="single" w:sz="4" w:space="0" w:color="auto"/>
              <w:left w:val="single" w:sz="4" w:space="0" w:color="auto"/>
              <w:bottom w:val="single" w:sz="4" w:space="0" w:color="auto"/>
              <w:right w:val="single" w:sz="4" w:space="0" w:color="auto"/>
            </w:tcBorders>
          </w:tcPr>
          <w:p w14:paraId="09BE308D" w14:textId="3CDD6A91" w:rsidR="0012091E" w:rsidRPr="009275BC" w:rsidRDefault="003D24A0"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w:t>
            </w:r>
            <w:r w:rsidR="006B084A" w:rsidRPr="009275BC">
              <w:rPr>
                <w:rStyle w:val="FormatvorlageInstructionsTabelleText"/>
                <w:rFonts w:asciiTheme="minorHAnsi" w:hAnsiTheme="minorHAnsi"/>
              </w:rPr>
              <w:t>0050</w:t>
            </w:r>
          </w:p>
        </w:tc>
        <w:tc>
          <w:tcPr>
            <w:tcW w:w="7616" w:type="dxa"/>
            <w:tcBorders>
              <w:top w:val="single" w:sz="4" w:space="0" w:color="auto"/>
              <w:left w:val="single" w:sz="4" w:space="0" w:color="auto"/>
              <w:bottom w:val="single" w:sz="4" w:space="0" w:color="auto"/>
              <w:right w:val="single" w:sz="4" w:space="0" w:color="auto"/>
            </w:tcBorders>
          </w:tcPr>
          <w:p w14:paraId="680CB014" w14:textId="14AB666E" w:rsidR="00491899" w:rsidRDefault="00491899" w:rsidP="005F762C">
            <w:pPr>
              <w:pStyle w:val="InstructionsText2"/>
              <w:rPr>
                <w:rStyle w:val="FormatvorlageInstructionsTabelleText"/>
                <w:rFonts w:asciiTheme="minorHAnsi" w:hAnsiTheme="minorHAnsi"/>
                <w:color w:val="000000"/>
                <w:lang w:bidi="ne-NP"/>
              </w:rPr>
            </w:pPr>
            <w:r w:rsidRPr="00312F48">
              <w:rPr>
                <w:rStyle w:val="FormatvorlageInstructionsTabelleText"/>
                <w:rFonts w:ascii="Aptos" w:hAnsi="Aptos"/>
                <w:b/>
                <w:u w:val="single"/>
              </w:rPr>
              <w:t xml:space="preserve">Legal Entities </w:t>
            </w:r>
            <w:r w:rsidR="007F0EB8">
              <w:rPr>
                <w:rStyle w:val="FormatvorlageInstructionsTabelleText"/>
                <w:rFonts w:ascii="Aptos" w:hAnsi="Aptos"/>
                <w:b/>
                <w:u w:val="single"/>
              </w:rPr>
              <w:t>–</w:t>
            </w:r>
            <w:r w:rsidRPr="00312F48">
              <w:rPr>
                <w:rStyle w:val="FormatvorlageInstructionsTabelleText"/>
                <w:rFonts w:ascii="Aptos" w:hAnsi="Aptos"/>
                <w:b/>
                <w:u w:val="single"/>
              </w:rPr>
              <w:t xml:space="preserve"> PEP</w:t>
            </w:r>
            <w:r w:rsidR="00D03FD8">
              <w:rPr>
                <w:rStyle w:val="FormatvorlageInstructionsTabelleText"/>
                <w:rFonts w:ascii="Aptos" w:hAnsi="Aptos"/>
                <w:b/>
                <w:u w:val="single"/>
              </w:rPr>
              <w:t>s</w:t>
            </w:r>
            <w:r w:rsidR="007F0EB8">
              <w:rPr>
                <w:rStyle w:val="FormatvorlageInstructionsTabelleText"/>
                <w:rFonts w:ascii="Aptos" w:hAnsi="Aptos"/>
                <w:b/>
                <w:u w:val="single"/>
              </w:rPr>
              <w:t xml:space="preserve">, </w:t>
            </w:r>
            <w:r w:rsidR="00412372">
              <w:rPr>
                <w:rStyle w:val="FormatvorlageInstructionsTabelleText"/>
                <w:rFonts w:ascii="Aptos" w:hAnsi="Aptos"/>
                <w:b/>
                <w:u w:val="single"/>
              </w:rPr>
              <w:t>F</w:t>
            </w:r>
            <w:r w:rsidR="007F0EB8">
              <w:rPr>
                <w:rStyle w:val="FormatvorlageInstructionsTabelleText"/>
                <w:rFonts w:ascii="Aptos" w:hAnsi="Aptos"/>
                <w:b/>
                <w:u w:val="single"/>
              </w:rPr>
              <w:t xml:space="preserve">amily </w:t>
            </w:r>
            <w:r w:rsidR="00412372">
              <w:rPr>
                <w:rStyle w:val="FormatvorlageInstructionsTabelleText"/>
                <w:rFonts w:ascii="Aptos" w:hAnsi="Aptos"/>
                <w:b/>
                <w:u w:val="single"/>
              </w:rPr>
              <w:t>M</w:t>
            </w:r>
            <w:r w:rsidR="007F0EB8">
              <w:rPr>
                <w:rStyle w:val="FormatvorlageInstructionsTabelleText"/>
                <w:rFonts w:ascii="Aptos" w:hAnsi="Aptos"/>
                <w:b/>
                <w:u w:val="single"/>
              </w:rPr>
              <w:t>ember</w:t>
            </w:r>
            <w:r w:rsidR="0002173B">
              <w:rPr>
                <w:rStyle w:val="FormatvorlageInstructionsTabelleText"/>
                <w:rFonts w:ascii="Aptos" w:hAnsi="Aptos"/>
                <w:b/>
                <w:u w:val="single"/>
              </w:rPr>
              <w:t xml:space="preserve">s </w:t>
            </w:r>
            <w:r w:rsidR="00DD3839">
              <w:rPr>
                <w:rStyle w:val="FormatvorlageInstructionsTabelleText"/>
                <w:rFonts w:ascii="Aptos" w:hAnsi="Aptos"/>
                <w:b/>
                <w:u w:val="single"/>
              </w:rPr>
              <w:t>or</w:t>
            </w:r>
            <w:r w:rsidR="0002173B">
              <w:rPr>
                <w:rStyle w:val="FormatvorlageInstructionsTabelleText"/>
                <w:rFonts w:ascii="Aptos" w:hAnsi="Aptos"/>
                <w:b/>
                <w:u w:val="single"/>
              </w:rPr>
              <w:t xml:space="preserve"> </w:t>
            </w:r>
            <w:r w:rsidR="00412372">
              <w:rPr>
                <w:rStyle w:val="FormatvorlageInstructionsTabelleText"/>
                <w:rFonts w:ascii="Aptos" w:hAnsi="Aptos"/>
                <w:b/>
                <w:u w:val="single"/>
              </w:rPr>
              <w:t>C</w:t>
            </w:r>
            <w:r w:rsidR="0002173B">
              <w:rPr>
                <w:rStyle w:val="FormatvorlageInstructionsTabelleText"/>
                <w:rFonts w:ascii="Aptos" w:hAnsi="Aptos"/>
                <w:b/>
                <w:u w:val="single"/>
              </w:rPr>
              <w:t xml:space="preserve">lose </w:t>
            </w:r>
            <w:r w:rsidR="00412372">
              <w:rPr>
                <w:rStyle w:val="FormatvorlageInstructionsTabelleText"/>
                <w:rFonts w:ascii="Aptos" w:hAnsi="Aptos"/>
                <w:b/>
                <w:u w:val="single"/>
              </w:rPr>
              <w:t>A</w:t>
            </w:r>
            <w:r w:rsidR="0002173B">
              <w:rPr>
                <w:rStyle w:val="FormatvorlageInstructionsTabelleText"/>
                <w:rFonts w:ascii="Aptos" w:hAnsi="Aptos"/>
                <w:b/>
                <w:u w:val="single"/>
              </w:rPr>
              <w:t>sso</w:t>
            </w:r>
            <w:r w:rsidR="00D03FD8">
              <w:rPr>
                <w:rStyle w:val="FormatvorlageInstructionsTabelleText"/>
                <w:rFonts w:ascii="Aptos" w:hAnsi="Aptos"/>
                <w:b/>
                <w:u w:val="single"/>
              </w:rPr>
              <w:t>ci</w:t>
            </w:r>
            <w:r w:rsidR="0002173B">
              <w:rPr>
                <w:rStyle w:val="FormatvorlageInstructionsTabelleText"/>
                <w:rFonts w:ascii="Aptos" w:hAnsi="Aptos"/>
                <w:b/>
                <w:u w:val="single"/>
              </w:rPr>
              <w:t>ates</w:t>
            </w:r>
            <w:r w:rsidRPr="00312F48">
              <w:rPr>
                <w:rStyle w:val="FormatvorlageInstructionsTabelleText"/>
                <w:rFonts w:ascii="Aptos" w:hAnsi="Aptos"/>
                <w:b/>
                <w:u w:val="single"/>
              </w:rPr>
              <w:t xml:space="preserve"> </w:t>
            </w:r>
            <w:r w:rsidR="00954D5F">
              <w:rPr>
                <w:rStyle w:val="FormatvorlageInstructionsTabelleText"/>
                <w:rFonts w:ascii="Aptos" w:hAnsi="Aptos"/>
                <w:b/>
                <w:u w:val="single"/>
              </w:rPr>
              <w:t xml:space="preserve">as </w:t>
            </w:r>
            <w:r w:rsidRPr="00312F48">
              <w:rPr>
                <w:rStyle w:val="FormatvorlageInstructionsTabelleText"/>
                <w:rFonts w:ascii="Aptos" w:hAnsi="Aptos"/>
                <w:b/>
                <w:u w:val="single"/>
              </w:rPr>
              <w:t>BOs</w:t>
            </w:r>
          </w:p>
          <w:p w14:paraId="24BEC707" w14:textId="6D22ED3B" w:rsidR="00261918" w:rsidRDefault="00415F45" w:rsidP="00166A93">
            <w:pPr>
              <w:spacing w:before="0" w:after="0" w:line="240" w:lineRule="auto"/>
              <w:jc w:val="both"/>
              <w:rPr>
                <w:rFonts w:asciiTheme="minorHAnsi" w:hAnsiTheme="minorHAnsi"/>
                <w:sz w:val="20"/>
                <w:lang w:val="en-IE"/>
              </w:rPr>
            </w:pPr>
            <w:r>
              <w:rPr>
                <w:rStyle w:val="FormatvorlageInstructionsTabelleText"/>
                <w:rFonts w:asciiTheme="minorHAnsi" w:hAnsiTheme="minorHAnsi"/>
              </w:rPr>
              <w:t>T</w:t>
            </w:r>
            <w:r w:rsidR="2C5FD8F7" w:rsidRPr="29C17E01">
              <w:rPr>
                <w:rStyle w:val="FormatvorlageInstructionsTabelleText"/>
                <w:rFonts w:asciiTheme="minorHAnsi" w:hAnsiTheme="minorHAnsi"/>
              </w:rPr>
              <w:t xml:space="preserve">otal of </w:t>
            </w:r>
            <w:r w:rsidR="0094506A">
              <w:rPr>
                <w:rStyle w:val="InstructionsTabelleberschrift"/>
                <w:rFonts w:asciiTheme="minorHAnsi" w:hAnsiTheme="minorHAnsi"/>
                <w:b w:val="0"/>
                <w:bCs w:val="0"/>
                <w:u w:val="none"/>
              </w:rPr>
              <w:t>Lega</w:t>
            </w:r>
            <w:r w:rsidR="00B04EC0">
              <w:rPr>
                <w:rStyle w:val="InstructionsTabelleberschrift"/>
                <w:rFonts w:asciiTheme="minorHAnsi" w:hAnsiTheme="minorHAnsi"/>
                <w:b w:val="0"/>
                <w:bCs w:val="0"/>
                <w:u w:val="none"/>
              </w:rPr>
              <w:t>l</w:t>
            </w:r>
            <w:r w:rsidR="0094506A">
              <w:rPr>
                <w:rStyle w:val="InstructionsTabelleberschrift"/>
                <w:rFonts w:asciiTheme="minorHAnsi" w:hAnsiTheme="minorHAnsi"/>
                <w:b w:val="0"/>
                <w:bCs w:val="0"/>
                <w:u w:val="none"/>
              </w:rPr>
              <w:t xml:space="preserve"> Entity (LE) customers</w:t>
            </w:r>
            <w:r w:rsidR="2C5FD8F7" w:rsidRPr="29C17E01">
              <w:rPr>
                <w:rStyle w:val="InstructionsTabelleberschrift"/>
                <w:rFonts w:asciiTheme="minorHAnsi" w:hAnsiTheme="minorHAnsi"/>
                <w:b w:val="0"/>
                <w:bCs w:val="0"/>
                <w:u w:val="none"/>
              </w:rPr>
              <w:t xml:space="preserve"> whose </w:t>
            </w:r>
            <w:r w:rsidR="00412372">
              <w:rPr>
                <w:rStyle w:val="InstructionsTabelleberschrift"/>
                <w:rFonts w:asciiTheme="minorHAnsi" w:hAnsiTheme="minorHAnsi"/>
                <w:b w:val="0"/>
                <w:bCs w:val="0"/>
                <w:u w:val="none"/>
              </w:rPr>
              <w:t>Beneficial Owners (</w:t>
            </w:r>
            <w:r w:rsidR="2C5FD8F7" w:rsidRPr="29C17E01">
              <w:rPr>
                <w:rStyle w:val="InstructionsTabelleberschrift"/>
                <w:rFonts w:asciiTheme="minorHAnsi" w:hAnsiTheme="minorHAnsi"/>
                <w:b w:val="0"/>
                <w:bCs w:val="0"/>
                <w:u w:val="none"/>
              </w:rPr>
              <w:t>BO</w:t>
            </w:r>
            <w:r w:rsidR="007D5528">
              <w:rPr>
                <w:rStyle w:val="InstructionsTabelleberschrift"/>
                <w:rFonts w:asciiTheme="minorHAnsi" w:hAnsiTheme="minorHAnsi"/>
                <w:b w:val="0"/>
                <w:bCs w:val="0"/>
                <w:u w:val="none"/>
              </w:rPr>
              <w:t>s) include at least one</w:t>
            </w:r>
            <w:r w:rsidR="00D817F8">
              <w:rPr>
                <w:rStyle w:val="InstructionsTabelleberschrift"/>
                <w:rFonts w:asciiTheme="minorHAnsi" w:hAnsiTheme="minorHAnsi"/>
                <w:b w:val="0"/>
                <w:bCs w:val="0"/>
                <w:u w:val="none"/>
              </w:rPr>
              <w:t xml:space="preserve"> </w:t>
            </w:r>
            <w:r w:rsidR="0019090C" w:rsidRPr="0019090C">
              <w:rPr>
                <w:rStyle w:val="InstructionsTabelleberschrift"/>
                <w:rFonts w:asciiTheme="minorHAnsi" w:hAnsiTheme="minorHAnsi"/>
                <w:b w:val="0"/>
                <w:bCs w:val="0"/>
                <w:u w:val="none"/>
              </w:rPr>
              <w:t>politically exposed person (PEP), a family member of a PEP, or a person known to be a close associate of a PEP</w:t>
            </w:r>
            <w:r w:rsidR="14EE501B" w:rsidRPr="28D0A098">
              <w:rPr>
                <w:rStyle w:val="InstructionsTabelleberschrift"/>
                <w:rFonts w:asciiTheme="minorHAnsi" w:hAnsiTheme="minorHAnsi"/>
                <w:b w:val="0"/>
                <w:bCs w:val="0"/>
                <w:u w:val="none"/>
              </w:rPr>
              <w:t xml:space="preserve">, </w:t>
            </w:r>
            <w:r w:rsidR="14EE501B" w:rsidRPr="28D0A098">
              <w:rPr>
                <w:rFonts w:asciiTheme="minorHAnsi" w:hAnsiTheme="minorHAnsi"/>
                <w:sz w:val="20"/>
                <w:lang w:val="en-IE"/>
              </w:rPr>
              <w:t>as of end of the reference year.</w:t>
            </w:r>
          </w:p>
          <w:p w14:paraId="18245A7F" w14:textId="77777777" w:rsidR="0046154D" w:rsidRDefault="0046154D" w:rsidP="29C17E01">
            <w:pPr>
              <w:spacing w:before="0" w:after="0" w:line="240" w:lineRule="auto"/>
              <w:rPr>
                <w:rFonts w:asciiTheme="minorHAnsi" w:hAnsiTheme="minorHAnsi"/>
                <w:highlight w:val="yellow"/>
                <w:lang w:val="en-IE"/>
              </w:rPr>
            </w:pPr>
          </w:p>
          <w:p w14:paraId="4460DEDD" w14:textId="5E2B0A4C" w:rsidR="0046154D" w:rsidRPr="00166A93" w:rsidRDefault="0046154D" w:rsidP="00166A93">
            <w:pPr>
              <w:spacing w:before="0" w:after="0" w:line="240" w:lineRule="auto"/>
              <w:jc w:val="both"/>
              <w:rPr>
                <w:rStyle w:val="FormatvorlageInstructionsTabelleText"/>
                <w:rFonts w:asciiTheme="minorHAnsi" w:hAnsiTheme="minorHAnsi"/>
                <w:color w:val="auto"/>
                <w:kern w:val="0"/>
                <w:szCs w:val="24"/>
                <w:lang w:val="en-GB" w:eastAsia="de-DE" w:bidi="ne-NP"/>
              </w:rPr>
            </w:pPr>
            <w:r w:rsidRPr="00875978">
              <w:rPr>
                <w:rStyle w:val="FormatvorlageInstructionsTabelleText"/>
                <w:rFonts w:asciiTheme="minorHAnsi" w:hAnsiTheme="minorHAnsi"/>
                <w:color w:val="auto"/>
                <w:kern w:val="0"/>
                <w:szCs w:val="24"/>
                <w:lang w:val="en-GB" w:eastAsia="de-DE" w:bidi="ne-NP"/>
              </w:rPr>
              <w:t>See the definition of ‘PEP’, ‘family member’, and ‘person known to be close associate’ in Annex 2.</w:t>
            </w:r>
          </w:p>
          <w:p w14:paraId="10D4906A" w14:textId="68F87E2F" w:rsidR="29C17E01" w:rsidRDefault="29C17E01" w:rsidP="29C17E01">
            <w:pPr>
              <w:spacing w:before="0" w:after="0" w:line="240" w:lineRule="auto"/>
              <w:jc w:val="both"/>
              <w:rPr>
                <w:rFonts w:asciiTheme="minorHAnsi" w:eastAsia="Times New Roman" w:hAnsiTheme="minorHAnsi" w:cs="Calibri"/>
                <w:color w:val="000000" w:themeColor="text1"/>
                <w:sz w:val="20"/>
                <w:lang w:val="en-GB" w:eastAsia="en-IE"/>
              </w:rPr>
            </w:pPr>
          </w:p>
          <w:p w14:paraId="52E0BFE4" w14:textId="221314E3" w:rsidR="0012091E" w:rsidRDefault="00DD70A7" w:rsidP="00CE45D5">
            <w:pPr>
              <w:spacing w:before="0" w:after="0" w:line="240" w:lineRule="auto"/>
              <w:jc w:val="both"/>
              <w:rPr>
                <w:rFonts w:asciiTheme="minorHAnsi" w:eastAsia="Times New Roman" w:hAnsiTheme="minorHAnsi" w:cs="Calibri"/>
                <w:color w:val="000000"/>
                <w:kern w:val="0"/>
                <w:sz w:val="20"/>
                <w:lang w:eastAsia="en-IE"/>
              </w:rPr>
            </w:pPr>
            <w:r w:rsidRPr="00F545D7">
              <w:rPr>
                <w:rFonts w:asciiTheme="minorHAnsi" w:eastAsia="Times New Roman" w:hAnsiTheme="minorHAnsi" w:cs="Calibri"/>
                <w:color w:val="000000"/>
                <w:kern w:val="0"/>
                <w:sz w:val="20"/>
                <w:lang w:val="en-GB" w:eastAsia="en-IE"/>
              </w:rPr>
              <w:t>BO</w:t>
            </w:r>
            <w:r w:rsidR="00447880" w:rsidRPr="00F545D7">
              <w:rPr>
                <w:rFonts w:asciiTheme="minorHAnsi" w:eastAsia="Times New Roman" w:hAnsiTheme="minorHAnsi" w:cs="Calibri"/>
                <w:color w:val="000000"/>
                <w:kern w:val="0"/>
                <w:sz w:val="20"/>
                <w:lang w:val="en-GB" w:eastAsia="en-IE"/>
              </w:rPr>
              <w:t xml:space="preserve"> </w:t>
            </w:r>
            <w:r w:rsidR="002E29EC">
              <w:rPr>
                <w:rFonts w:asciiTheme="minorHAnsi" w:eastAsia="Times New Roman" w:hAnsiTheme="minorHAnsi" w:cs="Calibri"/>
                <w:color w:val="000000"/>
                <w:kern w:val="0"/>
                <w:sz w:val="20"/>
                <w:lang w:val="en-GB" w:eastAsia="en-IE"/>
              </w:rPr>
              <w:t xml:space="preserve">means </w:t>
            </w:r>
            <w:r w:rsidR="00447880" w:rsidRPr="00F545D7">
              <w:rPr>
                <w:rFonts w:asciiTheme="minorHAnsi" w:eastAsia="Times New Roman" w:hAnsiTheme="minorHAnsi" w:cs="Calibri"/>
                <w:color w:val="000000"/>
                <w:kern w:val="0"/>
                <w:sz w:val="20"/>
                <w:lang w:eastAsia="en-IE"/>
              </w:rPr>
              <w:t xml:space="preserve">any natural person who ultimately owns or controls a legal entity or an express trust or similar legal </w:t>
            </w:r>
            <w:r w:rsidR="00F545D7" w:rsidRPr="00F545D7">
              <w:rPr>
                <w:rFonts w:asciiTheme="minorHAnsi" w:eastAsia="Times New Roman" w:hAnsiTheme="minorHAnsi" w:cs="Calibri"/>
                <w:color w:val="000000"/>
                <w:kern w:val="0"/>
                <w:sz w:val="20"/>
                <w:lang w:eastAsia="en-IE"/>
              </w:rPr>
              <w:t>arrangement</w:t>
            </w:r>
            <w:r w:rsidR="002E29EC">
              <w:rPr>
                <w:rFonts w:asciiTheme="minorHAnsi" w:eastAsia="Times New Roman" w:hAnsiTheme="minorHAnsi" w:cs="Calibri"/>
                <w:color w:val="000000"/>
                <w:kern w:val="0"/>
                <w:sz w:val="20"/>
                <w:lang w:eastAsia="en-IE"/>
              </w:rPr>
              <w:t xml:space="preserve">, </w:t>
            </w:r>
            <w:r w:rsidR="002E29EC" w:rsidRPr="00F545D7">
              <w:rPr>
                <w:rFonts w:asciiTheme="minorHAnsi" w:eastAsia="Times New Roman" w:hAnsiTheme="minorHAnsi" w:cs="Calibri"/>
                <w:color w:val="000000"/>
                <w:kern w:val="0"/>
                <w:sz w:val="20"/>
                <w:lang w:val="en-GB" w:eastAsia="en-IE"/>
              </w:rPr>
              <w:t>as defined in</w:t>
            </w:r>
            <w:r w:rsidR="002E29EC">
              <w:rPr>
                <w:rFonts w:asciiTheme="minorHAnsi" w:eastAsia="Times New Roman" w:hAnsiTheme="minorHAnsi" w:cs="Calibri"/>
                <w:color w:val="000000"/>
                <w:kern w:val="0"/>
                <w:sz w:val="20"/>
                <w:lang w:val="en-GB" w:eastAsia="en-IE"/>
              </w:rPr>
              <w:t xml:space="preserve"> </w:t>
            </w:r>
            <w:r w:rsidR="002E29EC" w:rsidRPr="00F545D7">
              <w:rPr>
                <w:rFonts w:asciiTheme="minorHAnsi" w:eastAsia="Times New Roman" w:hAnsiTheme="minorHAnsi" w:cs="Calibri"/>
                <w:color w:val="000000"/>
                <w:kern w:val="0"/>
                <w:sz w:val="20"/>
                <w:lang w:val="en-GB" w:eastAsia="en-IE"/>
              </w:rPr>
              <w:t>Article 2(1)</w:t>
            </w:r>
            <w:r w:rsidR="002E29EC">
              <w:rPr>
                <w:rFonts w:asciiTheme="minorHAnsi" w:eastAsia="Times New Roman" w:hAnsiTheme="minorHAnsi" w:cs="Calibri"/>
                <w:color w:val="000000"/>
                <w:kern w:val="0"/>
                <w:sz w:val="20"/>
                <w:lang w:val="en-GB" w:eastAsia="en-IE"/>
              </w:rPr>
              <w:t>, point (28),</w:t>
            </w:r>
            <w:r w:rsidR="002E29EC" w:rsidRPr="00F545D7">
              <w:rPr>
                <w:rFonts w:asciiTheme="minorHAnsi" w:eastAsia="Times New Roman" w:hAnsiTheme="minorHAnsi" w:cs="Calibri"/>
                <w:color w:val="000000"/>
                <w:kern w:val="0"/>
                <w:sz w:val="20"/>
                <w:lang w:val="en-GB" w:eastAsia="en-IE"/>
              </w:rPr>
              <w:t xml:space="preserve"> AMLR</w:t>
            </w:r>
            <w:r w:rsidR="002E29EC">
              <w:rPr>
                <w:rFonts w:asciiTheme="minorHAnsi" w:eastAsia="Times New Roman" w:hAnsiTheme="minorHAnsi" w:cs="Calibri"/>
                <w:color w:val="000000"/>
                <w:kern w:val="0"/>
                <w:sz w:val="20"/>
                <w:lang w:val="en-GB" w:eastAsia="en-IE"/>
              </w:rPr>
              <w:t>.</w:t>
            </w:r>
          </w:p>
          <w:p w14:paraId="674DC2CE" w14:textId="77777777" w:rsidR="00412372" w:rsidRDefault="00412372" w:rsidP="00CE45D5">
            <w:pPr>
              <w:spacing w:before="0" w:after="0" w:line="240" w:lineRule="auto"/>
              <w:jc w:val="both"/>
              <w:rPr>
                <w:rFonts w:asciiTheme="minorHAnsi" w:eastAsia="Times New Roman" w:hAnsiTheme="minorHAnsi" w:cs="Calibri"/>
                <w:color w:val="000000"/>
                <w:kern w:val="0"/>
                <w:sz w:val="20"/>
                <w:lang w:eastAsia="en-IE"/>
              </w:rPr>
            </w:pPr>
          </w:p>
          <w:p w14:paraId="72B71C57" w14:textId="2B9E9420" w:rsidR="00412372" w:rsidRPr="00F545D7" w:rsidRDefault="00412372" w:rsidP="00CE45D5">
            <w:pPr>
              <w:spacing w:before="0" w:after="0" w:line="240" w:lineRule="auto"/>
              <w:jc w:val="both"/>
              <w:rPr>
                <w:rFonts w:asciiTheme="minorHAnsi" w:eastAsia="Times New Roman" w:hAnsiTheme="minorHAnsi" w:cs="Calibri"/>
                <w:color w:val="000000"/>
                <w:kern w:val="0"/>
                <w:sz w:val="20"/>
                <w:lang w:val="en-IE" w:eastAsia="en-IE"/>
              </w:rPr>
            </w:pPr>
            <w:r w:rsidRPr="00412372">
              <w:rPr>
                <w:rFonts w:asciiTheme="minorHAnsi" w:eastAsia="Times New Roman" w:hAnsiTheme="minorHAnsi" w:cs="Calibri"/>
                <w:color w:val="000000"/>
                <w:kern w:val="0"/>
                <w:sz w:val="20"/>
                <w:lang w:val="en-IE" w:eastAsia="en-IE"/>
              </w:rPr>
              <w:t xml:space="preserve">As per recital 125 AMLR, senior managing officials (SMOs) reported instead of the beneficial owners where no natural person is identifiable who ultimately owns or exerts control over an entity (as per </w:t>
            </w:r>
            <w:r w:rsidR="00C214E8">
              <w:rPr>
                <w:rFonts w:asciiTheme="minorHAnsi" w:eastAsia="Times New Roman" w:hAnsiTheme="minorHAnsi" w:cs="Calibri"/>
                <w:color w:val="000000"/>
                <w:kern w:val="0"/>
                <w:sz w:val="20"/>
                <w:lang w:val="en-IE" w:eastAsia="en-IE"/>
              </w:rPr>
              <w:t>Article</w:t>
            </w:r>
            <w:r w:rsidRPr="00412372">
              <w:rPr>
                <w:rFonts w:asciiTheme="minorHAnsi" w:eastAsia="Times New Roman" w:hAnsiTheme="minorHAnsi" w:cs="Calibri"/>
                <w:color w:val="000000"/>
                <w:kern w:val="0"/>
                <w:sz w:val="20"/>
                <w:lang w:val="en-IE" w:eastAsia="en-IE"/>
              </w:rPr>
              <w:t xml:space="preserve"> 22(2) AMLR) are not beneficial owners, and shall not be counted for the purpose of reporting this datapoint.</w:t>
            </w:r>
          </w:p>
          <w:p w14:paraId="60595542" w14:textId="109D6276" w:rsidR="009A5178" w:rsidRPr="00B44028" w:rsidRDefault="009A5178" w:rsidP="00E90D8E">
            <w:pPr>
              <w:spacing w:before="0" w:after="0" w:line="240" w:lineRule="auto"/>
              <w:jc w:val="both"/>
              <w:rPr>
                <w:rFonts w:asciiTheme="minorHAnsi" w:eastAsia="Times New Roman" w:hAnsiTheme="minorHAnsi" w:cs="Calibri"/>
                <w:color w:val="000000"/>
                <w:kern w:val="0"/>
                <w:sz w:val="20"/>
                <w:lang w:eastAsia="en-IE"/>
              </w:rPr>
            </w:pPr>
          </w:p>
        </w:tc>
      </w:tr>
      <w:tr w:rsidR="00943C51" w:rsidRPr="009275BC" w14:paraId="08C3752A" w14:textId="77777777" w:rsidTr="003A7C34">
        <w:tc>
          <w:tcPr>
            <w:tcW w:w="1673" w:type="dxa"/>
            <w:tcBorders>
              <w:top w:val="single" w:sz="4" w:space="0" w:color="auto"/>
              <w:left w:val="single" w:sz="4" w:space="0" w:color="auto"/>
              <w:bottom w:val="single" w:sz="4" w:space="0" w:color="auto"/>
              <w:right w:val="single" w:sz="4" w:space="0" w:color="auto"/>
            </w:tcBorders>
          </w:tcPr>
          <w:p w14:paraId="4CA38824" w14:textId="4F6FEDA9" w:rsidR="00943C51" w:rsidRPr="009275BC" w:rsidRDefault="00943C51" w:rsidP="00F32516">
            <w:pPr>
              <w:pStyle w:val="InstructionsText"/>
              <w:rPr>
                <w:rStyle w:val="FormatvorlageInstructionsTabelleText"/>
                <w:rFonts w:asciiTheme="minorHAnsi" w:hAnsiTheme="minorHAnsi"/>
                <w:bCs/>
              </w:rPr>
            </w:pPr>
            <w:r w:rsidRPr="009275BC">
              <w:rPr>
                <w:rStyle w:val="FormatvorlageInstructionsTabelleText"/>
                <w:rFonts w:asciiTheme="minorHAnsi" w:hAnsiTheme="minorHAnsi"/>
              </w:rPr>
              <w:t>C0060</w:t>
            </w:r>
          </w:p>
        </w:tc>
        <w:tc>
          <w:tcPr>
            <w:tcW w:w="7616" w:type="dxa"/>
            <w:tcBorders>
              <w:top w:val="single" w:sz="4" w:space="0" w:color="auto"/>
              <w:left w:val="single" w:sz="4" w:space="0" w:color="auto"/>
              <w:bottom w:val="single" w:sz="4" w:space="0" w:color="auto"/>
              <w:right w:val="single" w:sz="4" w:space="0" w:color="auto"/>
            </w:tcBorders>
          </w:tcPr>
          <w:p w14:paraId="2F8C21D2" w14:textId="33F3B271" w:rsidR="00491899" w:rsidRDefault="00491899" w:rsidP="00312F48">
            <w:pPr>
              <w:pStyle w:val="InstructionsText2"/>
              <w:rPr>
                <w:rFonts w:asciiTheme="minorHAnsi" w:hAnsiTheme="minorHAnsi" w:cs="Calibri"/>
                <w:color w:val="000000"/>
                <w:sz w:val="20"/>
                <w:lang w:val="en-IE" w:eastAsia="en-IE"/>
              </w:rPr>
            </w:pPr>
            <w:r w:rsidRPr="00312F48">
              <w:rPr>
                <w:rFonts w:ascii="Aptos" w:hAnsi="Aptos" w:cs="Calibri"/>
                <w:b/>
                <w:sz w:val="20"/>
                <w:u w:val="single"/>
                <w:lang w:val="en-IE" w:eastAsia="en-IE"/>
              </w:rPr>
              <w:t>Active Customers</w:t>
            </w:r>
          </w:p>
          <w:p w14:paraId="3A6C46D1" w14:textId="02661218" w:rsidR="00044167" w:rsidRDefault="00044167" w:rsidP="0021486B">
            <w:pPr>
              <w:spacing w:before="0" w:after="0" w:line="240" w:lineRule="auto"/>
              <w:jc w:val="both"/>
              <w:rPr>
                <w:rFonts w:asciiTheme="minorHAnsi" w:eastAsia="Times New Roman" w:hAnsiTheme="minorHAnsi" w:cs="Calibri"/>
                <w:color w:val="000000"/>
                <w:kern w:val="0"/>
                <w:sz w:val="20"/>
                <w:lang w:val="en-IE" w:eastAsia="en-IE"/>
              </w:rPr>
            </w:pPr>
            <w:r>
              <w:rPr>
                <w:rFonts w:asciiTheme="minorHAnsi" w:eastAsia="Times New Roman" w:hAnsiTheme="minorHAnsi" w:cs="Calibri"/>
                <w:color w:val="000000"/>
                <w:kern w:val="0"/>
                <w:sz w:val="20"/>
                <w:lang w:val="en-IE" w:eastAsia="en-IE"/>
              </w:rPr>
              <w:t>This datapoint is not applicable for LI</w:t>
            </w:r>
          </w:p>
          <w:p w14:paraId="5C1B4243" w14:textId="77777777" w:rsidR="00044167" w:rsidRDefault="00044167" w:rsidP="0021486B">
            <w:pPr>
              <w:spacing w:before="0" w:after="0" w:line="240" w:lineRule="auto"/>
              <w:jc w:val="both"/>
              <w:rPr>
                <w:rFonts w:asciiTheme="minorHAnsi" w:eastAsia="Times New Roman" w:hAnsiTheme="minorHAnsi" w:cs="Calibri"/>
                <w:color w:val="000000"/>
                <w:kern w:val="0"/>
                <w:sz w:val="20"/>
                <w:lang w:val="en-IE" w:eastAsia="en-IE"/>
              </w:rPr>
            </w:pPr>
          </w:p>
          <w:p w14:paraId="6B36A1BF" w14:textId="4F77C255" w:rsidR="000027E7" w:rsidRDefault="0003519A" w:rsidP="0021486B">
            <w:pPr>
              <w:spacing w:before="0" w:after="0" w:line="240" w:lineRule="auto"/>
              <w:jc w:val="both"/>
              <w:rPr>
                <w:rFonts w:asciiTheme="minorHAnsi" w:eastAsia="Times New Roman" w:hAnsiTheme="minorHAnsi" w:cs="Calibri"/>
                <w:color w:val="000000"/>
                <w:kern w:val="0"/>
                <w:sz w:val="20"/>
                <w:lang w:val="en-IE" w:eastAsia="en-IE"/>
              </w:rPr>
            </w:pPr>
            <w:r w:rsidRPr="0003519A">
              <w:rPr>
                <w:rFonts w:asciiTheme="minorHAnsi" w:eastAsia="Times New Roman" w:hAnsiTheme="minorHAnsi" w:cs="Calibri"/>
                <w:color w:val="000000"/>
                <w:kern w:val="0"/>
                <w:sz w:val="20"/>
                <w:lang w:val="en-IE" w:eastAsia="en-IE"/>
              </w:rPr>
              <w:t xml:space="preserve">Covers all customers </w:t>
            </w:r>
            <w:r w:rsidR="00A90620">
              <w:rPr>
                <w:rFonts w:asciiTheme="minorHAnsi" w:eastAsia="Times New Roman" w:hAnsiTheme="minorHAnsi" w:cs="Calibri"/>
                <w:color w:val="000000"/>
                <w:kern w:val="0"/>
                <w:sz w:val="20"/>
                <w:lang w:val="en-IE" w:eastAsia="en-IE"/>
              </w:rPr>
              <w:t xml:space="preserve">(NP and LE) </w:t>
            </w:r>
            <w:r w:rsidRPr="0003519A">
              <w:rPr>
                <w:rFonts w:asciiTheme="minorHAnsi" w:eastAsia="Times New Roman" w:hAnsiTheme="minorHAnsi" w:cs="Calibri"/>
                <w:color w:val="000000"/>
                <w:kern w:val="0"/>
                <w:sz w:val="20"/>
                <w:lang w:val="en-IE" w:eastAsia="en-IE"/>
              </w:rPr>
              <w:t xml:space="preserve">at the </w:t>
            </w:r>
            <w:r w:rsidR="00854C9C">
              <w:rPr>
                <w:rFonts w:asciiTheme="minorHAnsi" w:eastAsia="Times New Roman" w:hAnsiTheme="minorHAnsi" w:cs="Calibri"/>
                <w:color w:val="000000"/>
                <w:kern w:val="0"/>
                <w:sz w:val="20"/>
                <w:lang w:val="en-IE" w:eastAsia="en-IE"/>
              </w:rPr>
              <w:t>reference date</w:t>
            </w:r>
            <w:r w:rsidRPr="0003519A">
              <w:rPr>
                <w:rFonts w:asciiTheme="minorHAnsi" w:eastAsia="Times New Roman" w:hAnsiTheme="minorHAnsi" w:cs="Calibri"/>
                <w:color w:val="000000"/>
                <w:kern w:val="0"/>
                <w:sz w:val="20"/>
                <w:lang w:val="en-IE" w:eastAsia="en-IE"/>
              </w:rPr>
              <w:t xml:space="preserve"> who have initiated at least one transaction </w:t>
            </w:r>
            <w:r w:rsidR="00A7512C">
              <w:rPr>
                <w:rFonts w:asciiTheme="minorHAnsi" w:eastAsia="Times New Roman" w:hAnsiTheme="minorHAnsi" w:cs="Calibri"/>
                <w:color w:val="000000"/>
                <w:kern w:val="0"/>
                <w:sz w:val="20"/>
                <w:lang w:val="en-IE" w:eastAsia="en-IE"/>
              </w:rPr>
              <w:t xml:space="preserve">or instruction </w:t>
            </w:r>
            <w:r w:rsidR="00AC468A">
              <w:rPr>
                <w:rFonts w:asciiTheme="minorHAnsi" w:eastAsia="Times New Roman" w:hAnsiTheme="minorHAnsi" w:cs="Calibri"/>
                <w:color w:val="000000"/>
                <w:kern w:val="0"/>
                <w:sz w:val="20"/>
                <w:lang w:val="en-IE" w:eastAsia="en-IE"/>
              </w:rPr>
              <w:t xml:space="preserve">during the reference </w:t>
            </w:r>
            <w:r w:rsidR="000B305D">
              <w:rPr>
                <w:rFonts w:asciiTheme="minorHAnsi" w:eastAsia="Times New Roman" w:hAnsiTheme="minorHAnsi" w:cs="Calibri"/>
                <w:color w:val="000000"/>
                <w:kern w:val="0"/>
                <w:sz w:val="20"/>
                <w:lang w:val="en-IE" w:eastAsia="en-IE"/>
              </w:rPr>
              <w:t>year</w:t>
            </w:r>
            <w:r w:rsidRPr="0003519A">
              <w:rPr>
                <w:rFonts w:asciiTheme="minorHAnsi" w:eastAsia="Times New Roman" w:hAnsiTheme="minorHAnsi" w:cs="Calibri"/>
                <w:color w:val="000000"/>
                <w:kern w:val="0"/>
                <w:sz w:val="20"/>
                <w:lang w:val="en-IE" w:eastAsia="en-IE"/>
              </w:rPr>
              <w:t>.</w:t>
            </w:r>
          </w:p>
          <w:p w14:paraId="4F77AAA3" w14:textId="5DBEB48F" w:rsidR="00447513" w:rsidRDefault="00447513" w:rsidP="0021486B">
            <w:pPr>
              <w:spacing w:before="0" w:after="0" w:line="240" w:lineRule="auto"/>
              <w:jc w:val="both"/>
              <w:rPr>
                <w:rFonts w:asciiTheme="minorHAnsi" w:eastAsia="Times New Roman" w:hAnsiTheme="minorHAnsi" w:cs="Calibri"/>
                <w:color w:val="000000"/>
                <w:kern w:val="0"/>
                <w:sz w:val="20"/>
                <w:lang w:val="en-IE" w:eastAsia="en-IE"/>
              </w:rPr>
            </w:pPr>
          </w:p>
          <w:p w14:paraId="3D772007" w14:textId="1AA67E65" w:rsidR="00C83B1D" w:rsidRDefault="00DE4BB8" w:rsidP="0021486B">
            <w:pPr>
              <w:spacing w:before="0" w:after="0" w:line="240" w:lineRule="auto"/>
              <w:jc w:val="both"/>
              <w:rPr>
                <w:rFonts w:asciiTheme="minorHAnsi" w:eastAsia="Times New Roman" w:hAnsiTheme="minorHAnsi" w:cs="Calibri"/>
                <w:color w:val="000000"/>
                <w:kern w:val="0"/>
                <w:sz w:val="20"/>
                <w:lang w:val="en-GB" w:eastAsia="en-IE"/>
              </w:rPr>
            </w:pPr>
            <w:r>
              <w:rPr>
                <w:rFonts w:asciiTheme="minorHAnsi" w:eastAsia="Times New Roman" w:hAnsiTheme="minorHAnsi" w:cs="Calibri"/>
                <w:color w:val="000000"/>
                <w:kern w:val="0"/>
                <w:sz w:val="20"/>
                <w:lang w:val="en-GB" w:eastAsia="en-IE"/>
              </w:rPr>
              <w:t xml:space="preserve">Such customers should </w:t>
            </w:r>
            <w:r w:rsidR="00061E4C">
              <w:rPr>
                <w:rFonts w:asciiTheme="minorHAnsi" w:eastAsia="Times New Roman" w:hAnsiTheme="minorHAnsi" w:cs="Calibri"/>
                <w:color w:val="000000"/>
                <w:kern w:val="0"/>
                <w:sz w:val="20"/>
                <w:lang w:val="en-GB" w:eastAsia="en-IE"/>
              </w:rPr>
              <w:t xml:space="preserve">only </w:t>
            </w:r>
            <w:r>
              <w:rPr>
                <w:rFonts w:asciiTheme="minorHAnsi" w:eastAsia="Times New Roman" w:hAnsiTheme="minorHAnsi" w:cs="Calibri"/>
                <w:color w:val="000000"/>
                <w:kern w:val="0"/>
                <w:sz w:val="20"/>
                <w:lang w:val="en-GB" w:eastAsia="en-IE"/>
              </w:rPr>
              <w:t>be counted once</w:t>
            </w:r>
            <w:r w:rsidR="00061E4C">
              <w:rPr>
                <w:rFonts w:asciiTheme="minorHAnsi" w:eastAsia="Times New Roman" w:hAnsiTheme="minorHAnsi" w:cs="Calibri"/>
                <w:color w:val="000000"/>
                <w:kern w:val="0"/>
                <w:sz w:val="20"/>
                <w:lang w:val="en-GB" w:eastAsia="en-IE"/>
              </w:rPr>
              <w:t xml:space="preserve">, irrespective of the number of transactions or </w:t>
            </w:r>
            <w:r w:rsidR="00043F0B">
              <w:rPr>
                <w:rFonts w:asciiTheme="minorHAnsi" w:eastAsia="Times New Roman" w:hAnsiTheme="minorHAnsi" w:cs="Calibri"/>
                <w:color w:val="000000"/>
                <w:kern w:val="0"/>
                <w:sz w:val="20"/>
                <w:lang w:val="en-GB" w:eastAsia="en-IE"/>
              </w:rPr>
              <w:t>instructions they have initiated.</w:t>
            </w:r>
          </w:p>
          <w:p w14:paraId="46537680" w14:textId="77777777" w:rsidR="00A90620" w:rsidRDefault="00A90620" w:rsidP="006F6D42">
            <w:pPr>
              <w:spacing w:before="0" w:after="0" w:line="240" w:lineRule="auto"/>
              <w:jc w:val="both"/>
              <w:rPr>
                <w:rFonts w:asciiTheme="minorHAnsi" w:eastAsia="Times New Roman" w:hAnsiTheme="minorHAnsi" w:cs="Calibri"/>
                <w:color w:val="000000"/>
                <w:kern w:val="0"/>
                <w:sz w:val="20"/>
                <w:lang w:val="en-IE" w:eastAsia="en-IE"/>
              </w:rPr>
            </w:pPr>
          </w:p>
          <w:p w14:paraId="46DF1010" w14:textId="77777777" w:rsidR="00943C51" w:rsidRDefault="00C83B1D" w:rsidP="006F6D42">
            <w:pPr>
              <w:spacing w:before="0" w:after="0" w:line="240" w:lineRule="auto"/>
              <w:jc w:val="both"/>
              <w:rPr>
                <w:rFonts w:asciiTheme="minorHAnsi" w:eastAsia="Times New Roman" w:hAnsiTheme="minorHAnsi" w:cs="Calibri"/>
                <w:color w:val="000000"/>
                <w:kern w:val="0"/>
                <w:sz w:val="20"/>
                <w:lang w:val="en-IE" w:eastAsia="en-IE"/>
              </w:rPr>
            </w:pPr>
            <w:r>
              <w:rPr>
                <w:rFonts w:asciiTheme="minorHAnsi" w:eastAsia="Times New Roman" w:hAnsiTheme="minorHAnsi" w:cs="Calibri"/>
                <w:color w:val="000000"/>
                <w:kern w:val="0"/>
                <w:sz w:val="20"/>
                <w:lang w:val="en-IE" w:eastAsia="en-IE"/>
              </w:rPr>
              <w:t>Non-executed transactions that have been initiated by the customer</w:t>
            </w:r>
            <w:r w:rsidR="006F6D42">
              <w:rPr>
                <w:rFonts w:asciiTheme="minorHAnsi" w:eastAsia="Times New Roman" w:hAnsiTheme="minorHAnsi" w:cs="Calibri"/>
                <w:color w:val="000000"/>
                <w:kern w:val="0"/>
                <w:sz w:val="20"/>
                <w:lang w:val="en-IE" w:eastAsia="en-IE"/>
              </w:rPr>
              <w:t xml:space="preserve"> (mere instructions) should be counted for the purpose of reporting this datapoint.</w:t>
            </w:r>
          </w:p>
          <w:p w14:paraId="46EAEC4A" w14:textId="77777777" w:rsidR="008E4DB9" w:rsidRDefault="008E4DB9" w:rsidP="006F6D42">
            <w:pPr>
              <w:spacing w:before="0" w:after="0" w:line="240" w:lineRule="auto"/>
              <w:jc w:val="both"/>
              <w:rPr>
                <w:rFonts w:asciiTheme="minorHAnsi" w:eastAsia="Times New Roman" w:hAnsiTheme="minorHAnsi" w:cs="Calibri"/>
                <w:color w:val="000000"/>
                <w:kern w:val="0"/>
                <w:sz w:val="20"/>
                <w:lang w:val="en-IE" w:eastAsia="en-IE"/>
              </w:rPr>
            </w:pPr>
          </w:p>
          <w:p w14:paraId="38AABA8D" w14:textId="7558B7D1" w:rsidR="00943C51" w:rsidRPr="00166A93" w:rsidRDefault="008E4DB9" w:rsidP="006F6D42">
            <w:pPr>
              <w:spacing w:before="0" w:after="0" w:line="240" w:lineRule="auto"/>
              <w:jc w:val="both"/>
              <w:rPr>
                <w:rFonts w:asciiTheme="minorHAnsi" w:eastAsia="Times New Roman" w:hAnsiTheme="minorHAnsi" w:cs="Calibri"/>
                <w:color w:val="000000"/>
                <w:kern w:val="0"/>
                <w:sz w:val="20"/>
                <w:lang w:val="en-GB" w:eastAsia="en-IE"/>
              </w:rPr>
            </w:pPr>
            <w:r w:rsidRPr="008E4DB9">
              <w:rPr>
                <w:rFonts w:asciiTheme="minorHAnsi" w:eastAsia="Times New Roman" w:hAnsiTheme="minorHAnsi" w:cs="Calibri"/>
                <w:color w:val="000000"/>
                <w:kern w:val="0"/>
                <w:sz w:val="20"/>
                <w:lang w:val="en-IE" w:eastAsia="en-IE"/>
              </w:rPr>
              <w:t>For the definition of transaction, see Annex 2</w:t>
            </w:r>
          </w:p>
        </w:tc>
      </w:tr>
      <w:tr w:rsidR="0021486B" w:rsidRPr="00F545D7" w14:paraId="408CEDEE" w14:textId="77777777" w:rsidTr="003A7C34">
        <w:tc>
          <w:tcPr>
            <w:tcW w:w="1673" w:type="dxa"/>
            <w:tcBorders>
              <w:top w:val="single" w:sz="4" w:space="0" w:color="auto"/>
              <w:left w:val="single" w:sz="4" w:space="0" w:color="auto"/>
              <w:bottom w:val="single" w:sz="4" w:space="0" w:color="auto"/>
              <w:right w:val="single" w:sz="4" w:space="0" w:color="auto"/>
            </w:tcBorders>
          </w:tcPr>
          <w:p w14:paraId="5318DB3F" w14:textId="084EB61C" w:rsidR="0021486B" w:rsidRPr="009275BC" w:rsidRDefault="00700E30" w:rsidP="00F32516">
            <w:pPr>
              <w:pStyle w:val="InstructionsText"/>
              <w:rPr>
                <w:rStyle w:val="FormatvorlageInstructionsTabelleText"/>
                <w:rFonts w:asciiTheme="minorHAnsi" w:hAnsiTheme="minorHAnsi"/>
                <w:bCs/>
              </w:rPr>
            </w:pPr>
            <w:r w:rsidRPr="009275BC">
              <w:rPr>
                <w:rStyle w:val="FormatvorlageInstructionsTabelleText"/>
                <w:rFonts w:asciiTheme="minorHAnsi" w:hAnsiTheme="minorHAnsi"/>
              </w:rPr>
              <w:t>C0070</w:t>
            </w:r>
          </w:p>
        </w:tc>
        <w:tc>
          <w:tcPr>
            <w:tcW w:w="7616" w:type="dxa"/>
            <w:tcBorders>
              <w:top w:val="single" w:sz="4" w:space="0" w:color="auto"/>
              <w:left w:val="single" w:sz="4" w:space="0" w:color="auto"/>
              <w:bottom w:val="single" w:sz="4" w:space="0" w:color="auto"/>
              <w:right w:val="single" w:sz="4" w:space="0" w:color="auto"/>
            </w:tcBorders>
          </w:tcPr>
          <w:p w14:paraId="6E97124F" w14:textId="77777777" w:rsidR="00491899" w:rsidRDefault="00491899" w:rsidP="006C0D65">
            <w:pPr>
              <w:pStyle w:val="InstructionsText2"/>
              <w:rPr>
                <w:rFonts w:asciiTheme="minorHAnsi" w:hAnsiTheme="minorHAnsi" w:cs="Calibri"/>
                <w:color w:val="000000"/>
                <w:sz w:val="20"/>
                <w:lang w:val="en-IE" w:eastAsia="en-IE"/>
              </w:rPr>
            </w:pPr>
            <w:r w:rsidRPr="006C0D65">
              <w:rPr>
                <w:rFonts w:ascii="Aptos" w:hAnsi="Aptos" w:cs="Calibri"/>
                <w:b/>
                <w:sz w:val="20"/>
                <w:u w:val="single"/>
                <w:lang w:val="en-IE" w:eastAsia="en-IE"/>
              </w:rPr>
              <w:t>New Customers</w:t>
            </w:r>
          </w:p>
          <w:p w14:paraId="549A1A93" w14:textId="2A5E82E3" w:rsidR="00D63D48" w:rsidRDefault="0035463D" w:rsidP="0018743E">
            <w:pPr>
              <w:spacing w:before="0" w:after="0" w:line="240" w:lineRule="auto"/>
              <w:jc w:val="both"/>
              <w:rPr>
                <w:rFonts w:asciiTheme="minorHAnsi" w:eastAsia="Times New Roman" w:hAnsiTheme="minorHAnsi" w:cs="Calibri"/>
                <w:color w:val="000000"/>
                <w:kern w:val="0"/>
                <w:sz w:val="20"/>
                <w:lang w:val="en-IE" w:eastAsia="en-IE"/>
              </w:rPr>
            </w:pPr>
            <w:r>
              <w:rPr>
                <w:rFonts w:asciiTheme="minorHAnsi" w:eastAsia="Times New Roman" w:hAnsiTheme="minorHAnsi" w:cs="Calibri"/>
                <w:color w:val="000000"/>
                <w:kern w:val="0"/>
                <w:sz w:val="20"/>
                <w:lang w:val="en-IE" w:eastAsia="en-IE"/>
              </w:rPr>
              <w:t xml:space="preserve">Natural persons and legal persons </w:t>
            </w:r>
            <w:r w:rsidR="00DE2DEB">
              <w:rPr>
                <w:rFonts w:asciiTheme="minorHAnsi" w:eastAsia="Times New Roman" w:hAnsiTheme="minorHAnsi" w:cs="Calibri"/>
                <w:color w:val="000000"/>
                <w:kern w:val="0"/>
                <w:sz w:val="20"/>
                <w:lang w:val="en-IE" w:eastAsia="en-IE"/>
              </w:rPr>
              <w:t>who</w:t>
            </w:r>
            <w:r w:rsidR="00561E97">
              <w:rPr>
                <w:rFonts w:asciiTheme="minorHAnsi" w:eastAsia="Times New Roman" w:hAnsiTheme="minorHAnsi" w:cs="Calibri"/>
                <w:color w:val="000000"/>
                <w:kern w:val="0"/>
                <w:sz w:val="20"/>
                <w:lang w:val="en-IE" w:eastAsia="en-IE"/>
              </w:rPr>
              <w:t xml:space="preserve"> completed</w:t>
            </w:r>
            <w:r w:rsidR="004223A9">
              <w:rPr>
                <w:rFonts w:asciiTheme="minorHAnsi" w:eastAsia="Times New Roman" w:hAnsiTheme="minorHAnsi" w:cs="Calibri"/>
                <w:color w:val="000000"/>
                <w:kern w:val="0"/>
                <w:sz w:val="20"/>
                <w:lang w:val="en-IE" w:eastAsia="en-IE"/>
              </w:rPr>
              <w:t xml:space="preserve"> </w:t>
            </w:r>
            <w:r w:rsidR="00561E97">
              <w:rPr>
                <w:rFonts w:asciiTheme="minorHAnsi" w:eastAsia="Times New Roman" w:hAnsiTheme="minorHAnsi" w:cs="Calibri"/>
                <w:color w:val="000000"/>
                <w:kern w:val="0"/>
                <w:sz w:val="20"/>
                <w:lang w:val="en-IE" w:eastAsia="en-IE"/>
              </w:rPr>
              <w:t>the</w:t>
            </w:r>
            <w:r w:rsidR="004223A9">
              <w:rPr>
                <w:rFonts w:asciiTheme="minorHAnsi" w:eastAsia="Times New Roman" w:hAnsiTheme="minorHAnsi" w:cs="Calibri"/>
                <w:color w:val="000000"/>
                <w:kern w:val="0"/>
                <w:sz w:val="20"/>
                <w:lang w:val="en-IE" w:eastAsia="en-IE"/>
              </w:rPr>
              <w:t xml:space="preserve"> onboarding process</w:t>
            </w:r>
            <w:r w:rsidR="00561E97">
              <w:rPr>
                <w:rFonts w:asciiTheme="minorHAnsi" w:eastAsia="Times New Roman" w:hAnsiTheme="minorHAnsi" w:cs="Calibri"/>
                <w:color w:val="000000"/>
                <w:kern w:val="0"/>
                <w:sz w:val="20"/>
                <w:lang w:val="en-IE" w:eastAsia="en-IE"/>
              </w:rPr>
              <w:t xml:space="preserve"> with</w:t>
            </w:r>
            <w:r w:rsidR="00491899" w:rsidDel="00561E97">
              <w:rPr>
                <w:rFonts w:asciiTheme="minorHAnsi" w:eastAsia="Times New Roman" w:hAnsiTheme="minorHAnsi" w:cs="Calibri"/>
                <w:color w:val="000000"/>
                <w:kern w:val="0"/>
                <w:sz w:val="20"/>
                <w:lang w:val="en-IE" w:eastAsia="en-IE"/>
              </w:rPr>
              <w:t xml:space="preserve"> </w:t>
            </w:r>
            <w:r w:rsidR="00491899">
              <w:rPr>
                <w:rFonts w:asciiTheme="minorHAnsi" w:eastAsia="Times New Roman" w:hAnsiTheme="minorHAnsi" w:cs="Calibri"/>
                <w:color w:val="000000"/>
                <w:kern w:val="0"/>
                <w:sz w:val="20"/>
                <w:lang w:val="en-IE" w:eastAsia="en-IE"/>
              </w:rPr>
              <w:t xml:space="preserve">the </w:t>
            </w:r>
            <w:r w:rsidR="00DA333A">
              <w:rPr>
                <w:rFonts w:asciiTheme="minorHAnsi" w:eastAsia="Times New Roman" w:hAnsiTheme="minorHAnsi" w:cs="Calibri"/>
                <w:color w:val="000000"/>
                <w:kern w:val="0"/>
                <w:sz w:val="20"/>
                <w:lang w:val="en-IE" w:eastAsia="en-IE"/>
              </w:rPr>
              <w:t xml:space="preserve">reporting </w:t>
            </w:r>
            <w:r w:rsidR="00863B13">
              <w:rPr>
                <w:rFonts w:asciiTheme="minorHAnsi" w:eastAsia="Times New Roman" w:hAnsiTheme="minorHAnsi" w:cs="Calibri"/>
                <w:color w:val="000000"/>
                <w:kern w:val="0"/>
                <w:sz w:val="20"/>
                <w:lang w:val="en-IE" w:eastAsia="en-IE"/>
              </w:rPr>
              <w:t>obliged entity</w:t>
            </w:r>
            <w:r w:rsidR="00491899">
              <w:rPr>
                <w:rFonts w:asciiTheme="minorHAnsi" w:eastAsia="Times New Roman" w:hAnsiTheme="minorHAnsi" w:cs="Calibri"/>
                <w:color w:val="000000"/>
                <w:kern w:val="0"/>
                <w:sz w:val="20"/>
                <w:lang w:val="en-IE" w:eastAsia="en-IE"/>
              </w:rPr>
              <w:t xml:space="preserve"> during the reference year</w:t>
            </w:r>
            <w:r w:rsidR="00847783">
              <w:rPr>
                <w:rFonts w:asciiTheme="minorHAnsi" w:eastAsia="Times New Roman" w:hAnsiTheme="minorHAnsi" w:cs="Calibri"/>
                <w:color w:val="000000"/>
                <w:kern w:val="0"/>
                <w:sz w:val="20"/>
                <w:lang w:val="en-IE" w:eastAsia="en-IE"/>
              </w:rPr>
              <w:t xml:space="preserve">, </w:t>
            </w:r>
            <w:r w:rsidR="00B3148B">
              <w:rPr>
                <w:rFonts w:asciiTheme="minorHAnsi" w:eastAsia="Times New Roman" w:hAnsiTheme="minorHAnsi" w:cs="Calibri"/>
                <w:color w:val="000000"/>
                <w:kern w:val="0"/>
                <w:sz w:val="20"/>
                <w:lang w:val="en-IE" w:eastAsia="en-IE"/>
              </w:rPr>
              <w:t>irrespective of the exis</w:t>
            </w:r>
            <w:r w:rsidR="009B43DC">
              <w:rPr>
                <w:rFonts w:asciiTheme="minorHAnsi" w:eastAsia="Times New Roman" w:hAnsiTheme="minorHAnsi" w:cs="Calibri"/>
                <w:color w:val="000000"/>
                <w:kern w:val="0"/>
                <w:sz w:val="20"/>
                <w:lang w:val="en-IE" w:eastAsia="en-IE"/>
              </w:rPr>
              <w:t xml:space="preserve">tence </w:t>
            </w:r>
            <w:r w:rsidR="00847783">
              <w:rPr>
                <w:rFonts w:asciiTheme="minorHAnsi" w:eastAsia="Times New Roman" w:hAnsiTheme="minorHAnsi" w:cs="Calibri"/>
                <w:color w:val="000000"/>
                <w:kern w:val="0"/>
                <w:sz w:val="20"/>
                <w:lang w:val="en-IE" w:eastAsia="en-IE"/>
              </w:rPr>
              <w:t>of any transactions</w:t>
            </w:r>
            <w:r w:rsidR="00491899" w:rsidDel="004067E8">
              <w:rPr>
                <w:rFonts w:asciiTheme="minorHAnsi" w:eastAsia="Times New Roman" w:hAnsiTheme="minorHAnsi" w:cs="Calibri"/>
                <w:color w:val="000000"/>
                <w:kern w:val="0"/>
                <w:sz w:val="20"/>
                <w:lang w:val="en-IE" w:eastAsia="en-IE"/>
              </w:rPr>
              <w:t>.</w:t>
            </w:r>
            <w:r w:rsidR="00491899">
              <w:rPr>
                <w:rFonts w:asciiTheme="minorHAnsi" w:eastAsia="Times New Roman" w:hAnsiTheme="minorHAnsi" w:cs="Calibri"/>
                <w:color w:val="000000"/>
                <w:kern w:val="0"/>
                <w:sz w:val="20"/>
                <w:lang w:val="en-IE" w:eastAsia="en-IE"/>
              </w:rPr>
              <w:t xml:space="preserve"> </w:t>
            </w:r>
          </w:p>
          <w:p w14:paraId="5F523E81" w14:textId="2310CE19" w:rsidR="00D63D48" w:rsidRDefault="00D63D48" w:rsidP="0018743E">
            <w:pPr>
              <w:spacing w:before="0" w:after="0" w:line="240" w:lineRule="auto"/>
              <w:jc w:val="both"/>
              <w:rPr>
                <w:rFonts w:asciiTheme="minorHAnsi" w:eastAsia="Times New Roman" w:hAnsiTheme="minorHAnsi" w:cs="Calibri"/>
                <w:color w:val="000000"/>
                <w:kern w:val="0"/>
                <w:sz w:val="20"/>
                <w:lang w:val="en-IE" w:eastAsia="en-IE"/>
              </w:rPr>
            </w:pPr>
          </w:p>
          <w:p w14:paraId="1339675A" w14:textId="2A296B55" w:rsidR="00D63D48" w:rsidRPr="009A770C" w:rsidRDefault="00204932" w:rsidP="0018743E">
            <w:pPr>
              <w:spacing w:before="0" w:after="0" w:line="240" w:lineRule="auto"/>
              <w:jc w:val="both"/>
              <w:rPr>
                <w:rFonts w:asciiTheme="minorHAnsi" w:eastAsia="Times New Roman" w:hAnsiTheme="minorHAnsi" w:cs="Calibri"/>
                <w:color w:val="000000"/>
                <w:kern w:val="0"/>
                <w:sz w:val="20"/>
                <w:u w:val="single"/>
                <w:lang w:val="en-IE" w:eastAsia="en-IE"/>
              </w:rPr>
            </w:pPr>
            <w:r>
              <w:rPr>
                <w:rFonts w:asciiTheme="minorHAnsi" w:eastAsia="Times New Roman" w:hAnsiTheme="minorHAnsi" w:cs="Calibri"/>
                <w:color w:val="000000"/>
                <w:kern w:val="0"/>
                <w:sz w:val="20"/>
                <w:lang w:val="en-IE" w:eastAsia="en-IE"/>
              </w:rPr>
              <w:t>Indicative (non-exhaustive) list of</w:t>
            </w:r>
            <w:r w:rsidR="007764F0">
              <w:rPr>
                <w:rFonts w:asciiTheme="minorHAnsi" w:eastAsia="Times New Roman" w:hAnsiTheme="minorHAnsi" w:cs="Calibri"/>
                <w:color w:val="000000"/>
                <w:kern w:val="0"/>
                <w:sz w:val="20"/>
                <w:lang w:val="en-IE" w:eastAsia="en-IE"/>
              </w:rPr>
              <w:t xml:space="preserve"> cases that should be included</w:t>
            </w:r>
            <w:r w:rsidR="005C7DA7">
              <w:rPr>
                <w:rFonts w:asciiTheme="minorHAnsi" w:eastAsia="Times New Roman" w:hAnsiTheme="minorHAnsi" w:cs="Calibri"/>
                <w:color w:val="000000"/>
                <w:kern w:val="0"/>
                <w:sz w:val="20"/>
                <w:lang w:val="en-IE" w:eastAsia="en-IE"/>
              </w:rPr>
              <w:t xml:space="preserve"> in the reported data</w:t>
            </w:r>
            <w:r w:rsidR="00D63D48">
              <w:rPr>
                <w:rFonts w:asciiTheme="minorHAnsi" w:eastAsia="Times New Roman" w:hAnsiTheme="minorHAnsi" w:cs="Calibri"/>
                <w:color w:val="000000"/>
                <w:kern w:val="0"/>
                <w:sz w:val="20"/>
                <w:u w:val="single"/>
                <w:lang w:val="en-IE" w:eastAsia="en-IE"/>
              </w:rPr>
              <w:t>:</w:t>
            </w:r>
          </w:p>
          <w:p w14:paraId="1E01FC83" w14:textId="23ABC0BA" w:rsidR="00546E2B" w:rsidRDefault="00546E2B" w:rsidP="0019481D">
            <w:pPr>
              <w:pStyle w:val="ListParagraph"/>
              <w:numPr>
                <w:ilvl w:val="0"/>
                <w:numId w:val="94"/>
              </w:numPr>
              <w:spacing w:before="0" w:after="0" w:line="240" w:lineRule="auto"/>
              <w:jc w:val="both"/>
              <w:rPr>
                <w:rFonts w:asciiTheme="minorHAnsi" w:eastAsia="Times New Roman" w:hAnsiTheme="minorHAnsi" w:cs="Calibri"/>
                <w:color w:val="000000"/>
                <w:kern w:val="0"/>
                <w:sz w:val="20"/>
                <w:lang w:val="en-IE" w:eastAsia="en-IE"/>
              </w:rPr>
            </w:pPr>
            <w:r>
              <w:rPr>
                <w:rFonts w:asciiTheme="minorHAnsi" w:eastAsia="Times New Roman" w:hAnsiTheme="minorHAnsi" w:cs="Calibri"/>
                <w:color w:val="000000"/>
                <w:kern w:val="0"/>
                <w:sz w:val="20"/>
                <w:lang w:val="en-IE" w:eastAsia="en-IE"/>
              </w:rPr>
              <w:t xml:space="preserve">Customers </w:t>
            </w:r>
            <w:r w:rsidR="00ED6707">
              <w:rPr>
                <w:rFonts w:asciiTheme="minorHAnsi" w:eastAsia="Times New Roman" w:hAnsiTheme="minorHAnsi" w:cs="Calibri"/>
                <w:color w:val="000000"/>
                <w:kern w:val="0"/>
                <w:sz w:val="20"/>
                <w:lang w:val="en-IE" w:eastAsia="en-IE"/>
              </w:rPr>
              <w:t xml:space="preserve">onboarded during the reference year </w:t>
            </w:r>
            <w:r w:rsidR="004502C3">
              <w:rPr>
                <w:rFonts w:asciiTheme="minorHAnsi" w:eastAsia="Times New Roman" w:hAnsiTheme="minorHAnsi" w:cs="Calibri"/>
                <w:color w:val="000000"/>
                <w:kern w:val="0"/>
                <w:sz w:val="20"/>
                <w:lang w:val="en-IE" w:eastAsia="en-IE"/>
              </w:rPr>
              <w:t xml:space="preserve">with whom the reporting </w:t>
            </w:r>
            <w:r w:rsidR="00863B13">
              <w:rPr>
                <w:rFonts w:asciiTheme="minorHAnsi" w:eastAsia="Times New Roman" w:hAnsiTheme="minorHAnsi" w:cs="Calibri"/>
                <w:color w:val="000000"/>
                <w:kern w:val="0"/>
                <w:sz w:val="20"/>
                <w:lang w:val="en-IE" w:eastAsia="en-IE"/>
              </w:rPr>
              <w:t>obliged entity</w:t>
            </w:r>
            <w:r w:rsidR="004502C3">
              <w:rPr>
                <w:rFonts w:asciiTheme="minorHAnsi" w:eastAsia="Times New Roman" w:hAnsiTheme="minorHAnsi" w:cs="Calibri"/>
                <w:color w:val="000000"/>
                <w:kern w:val="0"/>
                <w:sz w:val="20"/>
                <w:lang w:val="en-IE" w:eastAsia="en-IE"/>
              </w:rPr>
              <w:t xml:space="preserve"> </w:t>
            </w:r>
            <w:r w:rsidR="00C55CC6">
              <w:rPr>
                <w:rFonts w:asciiTheme="minorHAnsi" w:eastAsia="Times New Roman" w:hAnsiTheme="minorHAnsi" w:cs="Calibri"/>
                <w:color w:val="000000"/>
                <w:kern w:val="0"/>
                <w:sz w:val="20"/>
                <w:lang w:val="en-IE" w:eastAsia="en-IE"/>
              </w:rPr>
              <w:t xml:space="preserve">also </w:t>
            </w:r>
            <w:r w:rsidR="004502C3">
              <w:rPr>
                <w:rFonts w:asciiTheme="minorHAnsi" w:eastAsia="Times New Roman" w:hAnsiTheme="minorHAnsi" w:cs="Calibri"/>
                <w:color w:val="000000"/>
                <w:kern w:val="0"/>
                <w:sz w:val="20"/>
                <w:lang w:val="en-IE" w:eastAsia="en-IE"/>
              </w:rPr>
              <w:t xml:space="preserve">terminated its business </w:t>
            </w:r>
            <w:r w:rsidR="00C55CC6">
              <w:rPr>
                <w:rFonts w:asciiTheme="minorHAnsi" w:eastAsia="Times New Roman" w:hAnsiTheme="minorHAnsi" w:cs="Calibri"/>
                <w:color w:val="000000"/>
                <w:kern w:val="0"/>
                <w:sz w:val="20"/>
                <w:lang w:val="en-IE" w:eastAsia="en-IE"/>
              </w:rPr>
              <w:t>relationship during the reference year.</w:t>
            </w:r>
          </w:p>
          <w:p w14:paraId="4686A8D2" w14:textId="78284187" w:rsidR="00CD7071" w:rsidRDefault="00CD7071" w:rsidP="0019481D">
            <w:pPr>
              <w:pStyle w:val="ListParagraph"/>
              <w:numPr>
                <w:ilvl w:val="0"/>
                <w:numId w:val="94"/>
              </w:numPr>
              <w:spacing w:before="0" w:after="0" w:line="240" w:lineRule="auto"/>
              <w:jc w:val="both"/>
              <w:rPr>
                <w:rFonts w:asciiTheme="minorHAnsi" w:eastAsia="Times New Roman" w:hAnsiTheme="minorHAnsi" w:cs="Calibri"/>
                <w:color w:val="000000"/>
                <w:kern w:val="0"/>
                <w:sz w:val="20"/>
                <w:lang w:val="en-IE" w:eastAsia="en-IE"/>
              </w:rPr>
            </w:pPr>
            <w:r>
              <w:rPr>
                <w:rFonts w:asciiTheme="minorHAnsi" w:eastAsia="Times New Roman" w:hAnsiTheme="minorHAnsi" w:cs="Calibri"/>
                <w:color w:val="000000"/>
                <w:kern w:val="0"/>
                <w:sz w:val="20"/>
                <w:lang w:val="en-IE" w:eastAsia="en-IE"/>
              </w:rPr>
              <w:t>Customers onboarded via agents or intermediaries.</w:t>
            </w:r>
          </w:p>
          <w:p w14:paraId="45DEC8F8" w14:textId="4327245A" w:rsidR="00491899" w:rsidRDefault="00491899" w:rsidP="00FA672E">
            <w:pPr>
              <w:pStyle w:val="ListParagraph"/>
              <w:numPr>
                <w:ilvl w:val="0"/>
                <w:numId w:val="94"/>
              </w:numPr>
              <w:spacing w:before="0" w:after="0" w:line="240" w:lineRule="auto"/>
              <w:jc w:val="both"/>
              <w:rPr>
                <w:rFonts w:asciiTheme="minorHAnsi" w:eastAsia="Times New Roman" w:hAnsiTheme="minorHAnsi" w:cs="Calibri"/>
                <w:color w:val="000000"/>
                <w:kern w:val="0"/>
                <w:sz w:val="20"/>
                <w:lang w:val="en-IE" w:eastAsia="en-IE"/>
              </w:rPr>
            </w:pPr>
            <w:r>
              <w:rPr>
                <w:rFonts w:asciiTheme="minorHAnsi" w:eastAsia="Times New Roman" w:hAnsiTheme="minorHAnsi" w:cs="Calibri"/>
                <w:color w:val="000000"/>
                <w:kern w:val="0"/>
                <w:sz w:val="20"/>
                <w:lang w:val="en-IE" w:eastAsia="en-IE"/>
              </w:rPr>
              <w:t xml:space="preserve">Customers who had </w:t>
            </w:r>
            <w:r w:rsidR="00AE5592">
              <w:rPr>
                <w:rFonts w:asciiTheme="minorHAnsi" w:eastAsia="Times New Roman" w:hAnsiTheme="minorHAnsi" w:cs="Calibri"/>
                <w:color w:val="000000"/>
                <w:kern w:val="0"/>
                <w:sz w:val="20"/>
                <w:lang w:val="en-IE" w:eastAsia="en-IE"/>
              </w:rPr>
              <w:t>terminated</w:t>
            </w:r>
            <w:r w:rsidR="00AE5592" w:rsidRPr="008E4817">
              <w:rPr>
                <w:rFonts w:asciiTheme="minorHAnsi" w:eastAsia="Times New Roman" w:hAnsiTheme="minorHAnsi" w:cs="Calibri"/>
                <w:color w:val="000000"/>
                <w:kern w:val="0"/>
                <w:sz w:val="20"/>
                <w:lang w:val="en-IE" w:eastAsia="en-IE"/>
              </w:rPr>
              <w:t xml:space="preserve"> </w:t>
            </w:r>
            <w:r>
              <w:rPr>
                <w:rFonts w:asciiTheme="minorHAnsi" w:eastAsia="Times New Roman" w:hAnsiTheme="minorHAnsi" w:cs="Calibri"/>
                <w:color w:val="000000"/>
                <w:kern w:val="0"/>
                <w:sz w:val="20"/>
                <w:lang w:val="en-IE" w:eastAsia="en-IE"/>
              </w:rPr>
              <w:t>their business relationship before</w:t>
            </w:r>
            <w:r w:rsidR="00C432E7">
              <w:rPr>
                <w:rFonts w:asciiTheme="minorHAnsi" w:eastAsia="Times New Roman" w:hAnsiTheme="minorHAnsi" w:cs="Calibri"/>
                <w:color w:val="000000"/>
                <w:kern w:val="0"/>
                <w:sz w:val="20"/>
                <w:lang w:val="en-IE" w:eastAsia="en-IE"/>
              </w:rPr>
              <w:t xml:space="preserve"> or</w:t>
            </w:r>
            <w:r>
              <w:rPr>
                <w:rFonts w:asciiTheme="minorHAnsi" w:eastAsia="Times New Roman" w:hAnsiTheme="minorHAnsi" w:cs="Calibri"/>
                <w:color w:val="000000"/>
                <w:kern w:val="0"/>
                <w:sz w:val="20"/>
                <w:lang w:val="en-IE" w:eastAsia="en-IE"/>
              </w:rPr>
              <w:t xml:space="preserve"> </w:t>
            </w:r>
            <w:r w:rsidR="00425F81">
              <w:rPr>
                <w:rFonts w:asciiTheme="minorHAnsi" w:eastAsia="Times New Roman" w:hAnsiTheme="minorHAnsi" w:cs="Calibri"/>
                <w:color w:val="000000"/>
                <w:kern w:val="0"/>
                <w:sz w:val="20"/>
                <w:lang w:val="en-IE" w:eastAsia="en-IE"/>
              </w:rPr>
              <w:t>during</w:t>
            </w:r>
            <w:r w:rsidR="00425F81" w:rsidRPr="009A770C">
              <w:rPr>
                <w:rFonts w:asciiTheme="minorHAnsi" w:eastAsia="Times New Roman" w:hAnsiTheme="minorHAnsi" w:cs="Calibri"/>
                <w:color w:val="000000"/>
                <w:kern w:val="0"/>
                <w:sz w:val="20"/>
                <w:lang w:val="en-IE" w:eastAsia="en-IE"/>
              </w:rPr>
              <w:t xml:space="preserve"> </w:t>
            </w:r>
            <w:r>
              <w:rPr>
                <w:rFonts w:asciiTheme="minorHAnsi" w:eastAsia="Times New Roman" w:hAnsiTheme="minorHAnsi" w:cs="Calibri"/>
                <w:color w:val="000000"/>
                <w:kern w:val="0"/>
                <w:sz w:val="20"/>
                <w:lang w:val="en-IE" w:eastAsia="en-IE"/>
              </w:rPr>
              <w:t xml:space="preserve">the reference year and </w:t>
            </w:r>
            <w:r w:rsidR="00F7374A">
              <w:rPr>
                <w:rFonts w:asciiTheme="minorHAnsi" w:eastAsia="Times New Roman" w:hAnsiTheme="minorHAnsi" w:cs="Calibri"/>
                <w:color w:val="000000"/>
                <w:kern w:val="0"/>
                <w:sz w:val="20"/>
                <w:lang w:val="en-IE" w:eastAsia="en-IE"/>
              </w:rPr>
              <w:t>are re-onboarded</w:t>
            </w:r>
            <w:r w:rsidR="00F7374A" w:rsidRPr="009A770C">
              <w:rPr>
                <w:rFonts w:asciiTheme="minorHAnsi" w:eastAsia="Times New Roman" w:hAnsiTheme="minorHAnsi" w:cs="Calibri"/>
                <w:color w:val="000000"/>
                <w:kern w:val="0"/>
                <w:sz w:val="20"/>
                <w:lang w:val="en-IE" w:eastAsia="en-IE"/>
              </w:rPr>
              <w:t xml:space="preserve"> </w:t>
            </w:r>
            <w:r>
              <w:rPr>
                <w:rFonts w:asciiTheme="minorHAnsi" w:eastAsia="Times New Roman" w:hAnsiTheme="minorHAnsi" w:cs="Calibri"/>
                <w:color w:val="000000"/>
                <w:kern w:val="0"/>
                <w:sz w:val="20"/>
                <w:lang w:val="en-IE" w:eastAsia="en-IE"/>
              </w:rPr>
              <w:t>as a customer during the reference year</w:t>
            </w:r>
            <w:r w:rsidR="00F7374A">
              <w:rPr>
                <w:rFonts w:asciiTheme="minorHAnsi" w:eastAsia="Times New Roman" w:hAnsiTheme="minorHAnsi" w:cs="Calibri"/>
                <w:color w:val="000000"/>
                <w:kern w:val="0"/>
                <w:sz w:val="20"/>
                <w:lang w:val="en-IE" w:eastAsia="en-IE"/>
              </w:rPr>
              <w:t>.</w:t>
            </w:r>
          </w:p>
          <w:p w14:paraId="05010949" w14:textId="24B81A89" w:rsidR="00FA672E" w:rsidRDefault="00FA672E" w:rsidP="00FA672E">
            <w:pPr>
              <w:pStyle w:val="ListParagraph"/>
              <w:numPr>
                <w:ilvl w:val="0"/>
                <w:numId w:val="94"/>
              </w:numPr>
              <w:spacing w:before="0" w:after="0" w:line="240" w:lineRule="auto"/>
              <w:jc w:val="both"/>
              <w:rPr>
                <w:rFonts w:asciiTheme="minorHAnsi" w:eastAsia="Times New Roman" w:hAnsiTheme="minorHAnsi" w:cs="Calibri"/>
                <w:color w:val="000000"/>
                <w:kern w:val="0"/>
                <w:sz w:val="20"/>
                <w:lang w:val="en-IE" w:eastAsia="en-IE"/>
              </w:rPr>
            </w:pPr>
            <w:r w:rsidRPr="009A770C">
              <w:rPr>
                <w:rFonts w:asciiTheme="minorHAnsi" w:eastAsia="Times New Roman" w:hAnsiTheme="minorHAnsi" w:cs="Calibri"/>
                <w:color w:val="000000"/>
                <w:kern w:val="0"/>
                <w:sz w:val="20"/>
                <w:lang w:val="en-IE" w:eastAsia="en-IE"/>
              </w:rPr>
              <w:t>C</w:t>
            </w:r>
            <w:r w:rsidR="007B766A" w:rsidRPr="009A770C">
              <w:rPr>
                <w:rFonts w:asciiTheme="minorHAnsi" w:eastAsia="Times New Roman" w:hAnsiTheme="minorHAnsi" w:cs="Calibri"/>
                <w:color w:val="000000"/>
                <w:kern w:val="0"/>
                <w:sz w:val="20"/>
                <w:lang w:val="en-IE" w:eastAsia="en-IE"/>
              </w:rPr>
              <w:t>ustomers transferred from other entities in the same group.</w:t>
            </w:r>
          </w:p>
          <w:p w14:paraId="32D174AA" w14:textId="4F6A6067" w:rsidR="00FA672E" w:rsidRPr="009A770C" w:rsidRDefault="007764F0" w:rsidP="00FA672E">
            <w:pPr>
              <w:pStyle w:val="ListParagraph"/>
              <w:numPr>
                <w:ilvl w:val="0"/>
                <w:numId w:val="94"/>
              </w:numPr>
              <w:spacing w:before="0" w:after="0" w:line="240" w:lineRule="auto"/>
              <w:jc w:val="both"/>
              <w:rPr>
                <w:rFonts w:asciiTheme="minorHAnsi" w:eastAsia="Times New Roman" w:hAnsiTheme="minorHAnsi" w:cs="Calibri"/>
                <w:color w:val="000000"/>
                <w:kern w:val="0"/>
                <w:sz w:val="20"/>
                <w:lang w:val="en-IE" w:eastAsia="en-IE"/>
              </w:rPr>
            </w:pPr>
            <w:r>
              <w:rPr>
                <w:rFonts w:asciiTheme="minorHAnsi" w:eastAsia="Times New Roman" w:hAnsiTheme="minorHAnsi" w:cs="Calibri"/>
                <w:color w:val="000000"/>
                <w:kern w:val="0"/>
                <w:sz w:val="20"/>
                <w:lang w:val="en-IE" w:eastAsia="en-IE"/>
              </w:rPr>
              <w:t>Customers acquired via portfolio transfers or mergers</w:t>
            </w:r>
            <w:r w:rsidR="00032CCA">
              <w:rPr>
                <w:rFonts w:asciiTheme="minorHAnsi" w:eastAsia="Times New Roman" w:hAnsiTheme="minorHAnsi" w:cs="Calibri"/>
                <w:color w:val="000000"/>
                <w:kern w:val="0"/>
                <w:sz w:val="20"/>
                <w:lang w:val="en-IE" w:eastAsia="en-IE"/>
              </w:rPr>
              <w:t xml:space="preserve"> onboarded during the reference year</w:t>
            </w:r>
            <w:r w:rsidR="00621007">
              <w:rPr>
                <w:rFonts w:asciiTheme="minorHAnsi" w:eastAsia="Times New Roman" w:hAnsiTheme="minorHAnsi" w:cs="Calibri"/>
                <w:color w:val="000000"/>
                <w:kern w:val="0"/>
                <w:sz w:val="20"/>
                <w:lang w:val="en-IE" w:eastAsia="en-IE"/>
              </w:rPr>
              <w:t>.</w:t>
            </w:r>
          </w:p>
          <w:p w14:paraId="4B372EF5" w14:textId="77777777" w:rsidR="00495DDC" w:rsidRDefault="00495DDC" w:rsidP="00495DDC">
            <w:pPr>
              <w:spacing w:before="0" w:after="0" w:line="240" w:lineRule="auto"/>
              <w:jc w:val="both"/>
              <w:rPr>
                <w:rFonts w:asciiTheme="minorHAnsi" w:eastAsia="Times New Roman" w:hAnsiTheme="minorHAnsi" w:cs="Calibri"/>
                <w:color w:val="000000"/>
                <w:kern w:val="0"/>
                <w:sz w:val="20"/>
                <w:lang w:val="en-IE" w:eastAsia="en-IE"/>
              </w:rPr>
            </w:pPr>
          </w:p>
          <w:p w14:paraId="0EF2119A" w14:textId="613A10FE" w:rsidR="0011672E" w:rsidRDefault="00204932" w:rsidP="0011672E">
            <w:pPr>
              <w:spacing w:before="0" w:after="0" w:line="240" w:lineRule="auto"/>
              <w:jc w:val="both"/>
              <w:rPr>
                <w:rFonts w:asciiTheme="minorHAnsi" w:eastAsia="Times New Roman" w:hAnsiTheme="minorHAnsi" w:cs="Calibri"/>
                <w:color w:val="000000"/>
                <w:kern w:val="0"/>
                <w:sz w:val="20"/>
                <w:u w:val="single"/>
                <w:lang w:val="en-IE" w:eastAsia="en-IE"/>
              </w:rPr>
            </w:pPr>
            <w:r>
              <w:rPr>
                <w:rFonts w:asciiTheme="minorHAnsi" w:eastAsia="Times New Roman" w:hAnsiTheme="minorHAnsi" w:cs="Calibri"/>
                <w:color w:val="000000"/>
                <w:kern w:val="0"/>
                <w:sz w:val="20"/>
                <w:lang w:val="en-IE" w:eastAsia="en-IE"/>
              </w:rPr>
              <w:t>Indicative (non-exhaustive) list of cases that should typically not be included in the reported data</w:t>
            </w:r>
            <w:r>
              <w:rPr>
                <w:rFonts w:asciiTheme="minorHAnsi" w:eastAsia="Times New Roman" w:hAnsiTheme="minorHAnsi" w:cs="Calibri"/>
                <w:color w:val="000000"/>
                <w:kern w:val="0"/>
                <w:sz w:val="20"/>
                <w:u w:val="single"/>
                <w:lang w:val="en-IE" w:eastAsia="en-IE"/>
              </w:rPr>
              <w:t>:</w:t>
            </w:r>
          </w:p>
          <w:p w14:paraId="13730DCE" w14:textId="7453D79D" w:rsidR="001F19A9" w:rsidRDefault="0043389E" w:rsidP="0011672E">
            <w:pPr>
              <w:pStyle w:val="ListParagraph"/>
              <w:numPr>
                <w:ilvl w:val="0"/>
                <w:numId w:val="147"/>
              </w:numPr>
              <w:spacing w:before="0" w:after="0" w:line="240" w:lineRule="auto"/>
              <w:jc w:val="both"/>
              <w:rPr>
                <w:rFonts w:asciiTheme="minorHAnsi" w:eastAsia="Times New Roman" w:hAnsiTheme="minorHAnsi" w:cs="Calibri"/>
                <w:color w:val="000000"/>
                <w:kern w:val="0"/>
                <w:sz w:val="20"/>
                <w:lang w:val="en-IE" w:eastAsia="en-IE"/>
              </w:rPr>
            </w:pPr>
            <w:r w:rsidRPr="0011672E">
              <w:rPr>
                <w:rFonts w:asciiTheme="minorHAnsi" w:eastAsia="Times New Roman" w:hAnsiTheme="minorHAnsi" w:cs="Calibri"/>
                <w:color w:val="000000"/>
                <w:kern w:val="0"/>
                <w:sz w:val="20"/>
                <w:lang w:val="en-IE" w:eastAsia="en-IE"/>
              </w:rPr>
              <w:t>Subscription of new products during the reference year by customers already onboarded before the start of the reference year</w:t>
            </w:r>
            <w:r w:rsidR="00621007">
              <w:rPr>
                <w:rFonts w:asciiTheme="minorHAnsi" w:eastAsia="Times New Roman" w:hAnsiTheme="minorHAnsi" w:cs="Calibri"/>
                <w:color w:val="000000"/>
                <w:kern w:val="0"/>
                <w:sz w:val="20"/>
                <w:lang w:val="en-IE" w:eastAsia="en-IE"/>
              </w:rPr>
              <w:t>.</w:t>
            </w:r>
          </w:p>
          <w:p w14:paraId="38B6EC52" w14:textId="77777777" w:rsidR="00621007" w:rsidRPr="00003055" w:rsidRDefault="00BB727C" w:rsidP="0018743E">
            <w:pPr>
              <w:pStyle w:val="ListParagraph"/>
              <w:numPr>
                <w:ilvl w:val="0"/>
                <w:numId w:val="147"/>
              </w:numPr>
              <w:spacing w:before="0" w:after="0" w:line="240" w:lineRule="auto"/>
              <w:jc w:val="both"/>
              <w:rPr>
                <w:rFonts w:asciiTheme="minorHAnsi" w:eastAsia="Times New Roman" w:hAnsiTheme="minorHAnsi" w:cs="Calibri"/>
                <w:b/>
                <w:bCs/>
                <w:color w:val="000000"/>
                <w:kern w:val="0"/>
                <w:sz w:val="20"/>
                <w:u w:val="single"/>
                <w:lang w:val="en-IE" w:eastAsia="en-IE"/>
              </w:rPr>
            </w:pPr>
            <w:r w:rsidRPr="00003055">
              <w:rPr>
                <w:rFonts w:asciiTheme="minorHAnsi" w:eastAsia="Verdana" w:hAnsiTheme="minorHAnsi" w:cs="Verdana"/>
                <w:color w:val="auto"/>
                <w:kern w:val="0"/>
                <w:sz w:val="20"/>
                <w:lang w:eastAsia="de-DE"/>
              </w:rPr>
              <w:t>Dormant accounts reactivated during the reference year.</w:t>
            </w:r>
          </w:p>
          <w:p w14:paraId="7B9FE7CF" w14:textId="049576B5" w:rsidR="0021486B" w:rsidRPr="0087272B" w:rsidRDefault="006D2598" w:rsidP="00003055">
            <w:pPr>
              <w:pStyle w:val="ListParagraph"/>
              <w:numPr>
                <w:ilvl w:val="0"/>
                <w:numId w:val="147"/>
              </w:numPr>
              <w:spacing w:before="0" w:after="0" w:line="240" w:lineRule="auto"/>
              <w:jc w:val="both"/>
              <w:rPr>
                <w:rFonts w:asciiTheme="minorHAnsi" w:eastAsia="Times New Roman" w:hAnsiTheme="minorHAnsi" w:cs="Calibri"/>
                <w:b/>
                <w:color w:val="000000"/>
                <w:kern w:val="0"/>
                <w:sz w:val="20"/>
                <w:u w:val="single"/>
                <w:lang w:val="en-IE" w:eastAsia="en-IE"/>
              </w:rPr>
            </w:pPr>
            <w:r w:rsidRPr="00003055">
              <w:rPr>
                <w:rFonts w:asciiTheme="minorHAnsi" w:eastAsia="Verdana" w:hAnsiTheme="minorHAnsi" w:cs="Verdana"/>
                <w:color w:val="auto"/>
                <w:kern w:val="0"/>
                <w:sz w:val="20"/>
                <w:lang w:eastAsia="de-DE"/>
              </w:rPr>
              <w:t>Change</w:t>
            </w:r>
            <w:r w:rsidR="00B05AC4" w:rsidRPr="00003055">
              <w:rPr>
                <w:rFonts w:asciiTheme="minorHAnsi" w:eastAsia="Verdana" w:hAnsiTheme="minorHAnsi" w:cs="Verdana"/>
                <w:color w:val="auto"/>
                <w:kern w:val="0"/>
                <w:sz w:val="20"/>
                <w:lang w:eastAsia="de-DE"/>
              </w:rPr>
              <w:t xml:space="preserve"> </w:t>
            </w:r>
            <w:r w:rsidRPr="00003055">
              <w:rPr>
                <w:rFonts w:asciiTheme="minorHAnsi" w:eastAsia="Verdana" w:hAnsiTheme="minorHAnsi" w:cs="Verdana"/>
                <w:color w:val="auto"/>
                <w:kern w:val="0"/>
                <w:sz w:val="20"/>
                <w:lang w:eastAsia="de-DE"/>
              </w:rPr>
              <w:t xml:space="preserve">in legal form of an existing </w:t>
            </w:r>
            <w:r w:rsidR="00941636" w:rsidRPr="00003055">
              <w:rPr>
                <w:rFonts w:asciiTheme="minorHAnsi" w:eastAsia="Verdana" w:hAnsiTheme="minorHAnsi" w:cs="Verdana"/>
                <w:color w:val="auto"/>
                <w:kern w:val="0"/>
                <w:sz w:val="20"/>
                <w:lang w:eastAsia="de-DE"/>
              </w:rPr>
              <w:t xml:space="preserve">legal person </w:t>
            </w:r>
            <w:r w:rsidRPr="00003055">
              <w:rPr>
                <w:rFonts w:asciiTheme="minorHAnsi" w:eastAsia="Verdana" w:hAnsiTheme="minorHAnsi" w:cs="Verdana"/>
                <w:color w:val="auto"/>
                <w:kern w:val="0"/>
                <w:sz w:val="20"/>
                <w:lang w:eastAsia="de-DE"/>
              </w:rPr>
              <w:t>customer</w:t>
            </w:r>
            <w:r w:rsidR="00FE3FCA" w:rsidRPr="00003055">
              <w:rPr>
                <w:rFonts w:asciiTheme="minorHAnsi" w:eastAsia="Verdana" w:hAnsiTheme="minorHAnsi" w:cs="Verdana"/>
                <w:color w:val="auto"/>
                <w:kern w:val="0"/>
                <w:sz w:val="20"/>
                <w:lang w:eastAsia="de-DE"/>
              </w:rPr>
              <w:t xml:space="preserve"> (continuing business relationship</w:t>
            </w:r>
            <w:r w:rsidR="001F19A9" w:rsidRPr="00003055">
              <w:rPr>
                <w:rFonts w:eastAsia="Times New Roman" w:cs="Calibri"/>
                <w:color w:val="000000"/>
                <w:sz w:val="20"/>
                <w:lang w:val="en-IE" w:eastAsia="en-IE"/>
              </w:rPr>
              <w:t>).</w:t>
            </w:r>
          </w:p>
        </w:tc>
      </w:tr>
      <w:tr w:rsidR="00FD5D54" w:rsidRPr="00F545D7" w14:paraId="51749A6A" w14:textId="77777777" w:rsidTr="00135B9D">
        <w:tc>
          <w:tcPr>
            <w:tcW w:w="1673" w:type="dxa"/>
            <w:tcBorders>
              <w:top w:val="single" w:sz="4" w:space="0" w:color="auto"/>
              <w:left w:val="single" w:sz="4" w:space="0" w:color="auto"/>
              <w:bottom w:val="single" w:sz="4" w:space="0" w:color="auto"/>
              <w:right w:val="single" w:sz="4" w:space="0" w:color="auto"/>
            </w:tcBorders>
          </w:tcPr>
          <w:p w14:paraId="0B16868E" w14:textId="64C44787" w:rsidR="00FD5D54" w:rsidRPr="009275BC" w:rsidRDefault="00FD5D54" w:rsidP="00FD5D54">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C0080</w:t>
            </w:r>
          </w:p>
        </w:tc>
        <w:tc>
          <w:tcPr>
            <w:tcW w:w="7616" w:type="dxa"/>
            <w:tcBorders>
              <w:top w:val="single" w:sz="4" w:space="0" w:color="auto"/>
              <w:left w:val="single" w:sz="4" w:space="0" w:color="auto"/>
              <w:bottom w:val="single" w:sz="4" w:space="0" w:color="auto"/>
              <w:right w:val="single" w:sz="4" w:space="0" w:color="auto"/>
            </w:tcBorders>
            <w:vAlign w:val="center"/>
          </w:tcPr>
          <w:p w14:paraId="32826187" w14:textId="77777777" w:rsidR="00FD5D54" w:rsidRDefault="00FD5D54" w:rsidP="00FD5D54">
            <w:pPr>
              <w:pStyle w:val="InstructionsText2"/>
              <w:rPr>
                <w:rFonts w:asciiTheme="minorHAnsi" w:eastAsia="Verdana" w:hAnsiTheme="minorHAnsi" w:cs="Verdana"/>
                <w:sz w:val="20"/>
                <w:szCs w:val="20"/>
                <w:lang w:val="en-US"/>
              </w:rPr>
            </w:pPr>
            <w:r w:rsidRPr="00800992">
              <w:rPr>
                <w:rFonts w:ascii="Aptos" w:eastAsia="Verdana" w:hAnsi="Aptos" w:cs="Verdana"/>
                <w:b/>
                <w:sz w:val="20"/>
                <w:szCs w:val="20"/>
                <w:u w:val="single"/>
                <w:lang w:val="en-US"/>
              </w:rPr>
              <w:t>New Customers - Remote Onboarding</w:t>
            </w:r>
          </w:p>
          <w:p w14:paraId="4EE43BB4" w14:textId="77777777" w:rsidR="00FD5D54" w:rsidRDefault="00FD5D54" w:rsidP="00FD5D54">
            <w:pPr>
              <w:pStyle w:val="InstructionsText2"/>
              <w:rPr>
                <w:rFonts w:asciiTheme="minorHAnsi" w:eastAsia="Verdana" w:hAnsiTheme="minorHAnsi" w:cs="Verdana"/>
                <w:sz w:val="20"/>
                <w:szCs w:val="20"/>
                <w:lang w:val="en-US"/>
              </w:rPr>
            </w:pPr>
            <w:r w:rsidRPr="00984BA8">
              <w:rPr>
                <w:rFonts w:asciiTheme="minorHAnsi" w:eastAsia="Verdana" w:hAnsiTheme="minorHAnsi" w:cs="Verdana"/>
                <w:bCs/>
                <w:iCs/>
                <w:sz w:val="20"/>
                <w:szCs w:val="20"/>
                <w:lang w:val="en-US"/>
              </w:rPr>
              <w:t xml:space="preserve">This datapoint is </w:t>
            </w:r>
            <w:r>
              <w:rPr>
                <w:rFonts w:asciiTheme="minorHAnsi" w:eastAsia="Verdana" w:hAnsiTheme="minorHAnsi" w:cs="Verdana"/>
                <w:bCs/>
                <w:iCs/>
                <w:sz w:val="20"/>
                <w:szCs w:val="20"/>
                <w:lang w:val="en-US"/>
              </w:rPr>
              <w:t xml:space="preserve">not </w:t>
            </w:r>
            <w:r w:rsidRPr="00984BA8">
              <w:rPr>
                <w:rFonts w:asciiTheme="minorHAnsi" w:eastAsia="Verdana" w:hAnsiTheme="minorHAnsi" w:cs="Verdana"/>
                <w:bCs/>
                <w:iCs/>
                <w:sz w:val="20"/>
                <w:szCs w:val="20"/>
                <w:lang w:val="en-US"/>
              </w:rPr>
              <w:t>applicable for</w:t>
            </w:r>
            <w:r>
              <w:rPr>
                <w:rFonts w:asciiTheme="minorHAnsi" w:eastAsia="Verdana" w:hAnsiTheme="minorHAnsi" w:cs="Verdana"/>
                <w:bCs/>
                <w:iCs/>
                <w:sz w:val="20"/>
                <w:szCs w:val="20"/>
                <w:lang w:val="en-US"/>
              </w:rPr>
              <w:t xml:space="preserve"> BC, IF and AMC.</w:t>
            </w:r>
            <w:r w:rsidRPr="00450C79" w:rsidDel="00450C79">
              <w:rPr>
                <w:rFonts w:asciiTheme="minorHAnsi" w:eastAsia="Verdana" w:hAnsiTheme="minorHAnsi" w:cs="Verdana"/>
                <w:sz w:val="20"/>
                <w:szCs w:val="20"/>
                <w:lang w:val="en-US"/>
              </w:rPr>
              <w:t xml:space="preserve"> </w:t>
            </w:r>
          </w:p>
          <w:p w14:paraId="24D3430E" w14:textId="77777777" w:rsidR="00FD5D54" w:rsidRDefault="00FD5D54" w:rsidP="00FD5D54">
            <w:pPr>
              <w:pStyle w:val="InstructionsText2"/>
              <w:rPr>
                <w:rFonts w:asciiTheme="minorHAnsi" w:eastAsia="Verdana" w:hAnsiTheme="minorHAnsi" w:cs="Verdana"/>
                <w:sz w:val="20"/>
                <w:szCs w:val="20"/>
                <w:lang w:val="en-US"/>
              </w:rPr>
            </w:pPr>
            <w:r w:rsidRPr="00DE2EE9">
              <w:rPr>
                <w:rFonts w:asciiTheme="minorHAnsi" w:eastAsia="Verdana" w:hAnsiTheme="minorHAnsi" w:cs="Verdana"/>
                <w:sz w:val="20"/>
                <w:szCs w:val="20"/>
                <w:lang w:val="en-US"/>
              </w:rPr>
              <w:t xml:space="preserve">The customer enters into a </w:t>
            </w:r>
            <w:r w:rsidRPr="16F0485E">
              <w:rPr>
                <w:rFonts w:asciiTheme="minorHAnsi" w:eastAsia="Verdana" w:hAnsiTheme="minorHAnsi" w:cs="Verdana"/>
                <w:sz w:val="20"/>
                <w:szCs w:val="20"/>
                <w:lang w:val="en-US"/>
              </w:rPr>
              <w:t xml:space="preserve">business </w:t>
            </w:r>
            <w:r w:rsidRPr="00DE2EE9">
              <w:rPr>
                <w:rFonts w:asciiTheme="minorHAnsi" w:eastAsia="Verdana" w:hAnsiTheme="minorHAnsi" w:cs="Verdana"/>
                <w:sz w:val="20"/>
                <w:szCs w:val="20"/>
                <w:lang w:val="en-US"/>
              </w:rPr>
              <w:t>relationship with the firm in a non-face-to-face manner</w:t>
            </w:r>
            <w:r w:rsidRPr="4F58F819">
              <w:rPr>
                <w:rFonts w:asciiTheme="minorHAnsi" w:eastAsia="Verdana" w:hAnsiTheme="minorHAnsi" w:cs="Verdana"/>
                <w:sz w:val="20"/>
                <w:szCs w:val="20"/>
                <w:lang w:val="en-US"/>
              </w:rPr>
              <w:t xml:space="preserve">. Third party onboarding counts </w:t>
            </w:r>
            <w:r w:rsidRPr="5C18C9D0">
              <w:rPr>
                <w:rFonts w:asciiTheme="minorHAnsi" w:eastAsia="Verdana" w:hAnsiTheme="minorHAnsi" w:cs="Verdana"/>
                <w:sz w:val="20"/>
                <w:szCs w:val="20"/>
                <w:lang w:val="en-US"/>
              </w:rPr>
              <w:t xml:space="preserve">as ‘remote onboarding’ where </w:t>
            </w:r>
            <w:r w:rsidRPr="7CB39DE1">
              <w:rPr>
                <w:rFonts w:asciiTheme="minorHAnsi" w:eastAsia="Verdana" w:hAnsiTheme="minorHAnsi" w:cs="Verdana"/>
                <w:sz w:val="20"/>
                <w:szCs w:val="20"/>
                <w:lang w:val="en-US"/>
              </w:rPr>
              <w:t>the customer enters into a relationship in a non</w:t>
            </w:r>
            <w:r w:rsidRPr="4BD82EB9">
              <w:rPr>
                <w:rFonts w:asciiTheme="minorHAnsi" w:eastAsia="Verdana" w:hAnsiTheme="minorHAnsi" w:cs="Verdana"/>
                <w:sz w:val="20"/>
                <w:szCs w:val="20"/>
                <w:lang w:val="en-US"/>
              </w:rPr>
              <w:t>-face-to-face manner.</w:t>
            </w:r>
            <w:r w:rsidRPr="41F6B5EB">
              <w:rPr>
                <w:rFonts w:asciiTheme="minorHAnsi" w:eastAsia="Verdana" w:hAnsiTheme="minorHAnsi" w:cs="Verdana"/>
                <w:sz w:val="20"/>
                <w:szCs w:val="20"/>
                <w:lang w:val="en-US"/>
              </w:rPr>
              <w:t xml:space="preserve"> </w:t>
            </w:r>
          </w:p>
          <w:p w14:paraId="57C041AF" w14:textId="77777777" w:rsidR="00FD5D54" w:rsidRDefault="00FD5D54" w:rsidP="00FD5D54">
            <w:pPr>
              <w:pStyle w:val="InstructionsText2"/>
              <w:rPr>
                <w:rFonts w:asciiTheme="minorHAnsi" w:eastAsia="Verdana" w:hAnsiTheme="minorHAnsi" w:cs="Verdana"/>
                <w:sz w:val="20"/>
                <w:szCs w:val="20"/>
                <w:lang w:val="en-US"/>
              </w:rPr>
            </w:pPr>
            <w:r w:rsidRPr="13211150">
              <w:rPr>
                <w:rFonts w:asciiTheme="minorHAnsi" w:eastAsia="Verdana" w:hAnsiTheme="minorHAnsi" w:cs="Verdana"/>
                <w:sz w:val="20"/>
                <w:szCs w:val="20"/>
                <w:lang w:val="en-US"/>
              </w:rPr>
              <w:t xml:space="preserve">In case of multiple legal representatives using mixed methods, if the business relationship is not fully entered in a face-to-face manner, it counts as remote. </w:t>
            </w:r>
          </w:p>
          <w:p w14:paraId="7A34AA42" w14:textId="05A4A900" w:rsidR="00FD5D54" w:rsidRPr="006C0D65" w:rsidRDefault="00FD5D54" w:rsidP="00FD5D54">
            <w:pPr>
              <w:pStyle w:val="InstructionsText2"/>
              <w:rPr>
                <w:rFonts w:ascii="Aptos" w:hAnsi="Aptos" w:cs="Calibri"/>
                <w:b/>
                <w:sz w:val="20"/>
                <w:u w:val="single"/>
                <w:lang w:val="en-IE" w:eastAsia="en-IE"/>
              </w:rPr>
            </w:pPr>
            <w:r>
              <w:rPr>
                <w:rFonts w:asciiTheme="minorHAnsi" w:eastAsia="Verdana" w:hAnsiTheme="minorHAnsi" w:cs="Verdana"/>
                <w:sz w:val="20"/>
                <w:szCs w:val="20"/>
                <w:lang w:val="en-US"/>
              </w:rPr>
              <w:t>Indicate the n</w:t>
            </w:r>
            <w:r w:rsidRPr="00AE4DAC">
              <w:rPr>
                <w:rFonts w:asciiTheme="minorHAnsi" w:eastAsia="Verdana" w:hAnsiTheme="minorHAnsi" w:cs="Verdana"/>
                <w:sz w:val="20"/>
                <w:szCs w:val="20"/>
                <w:lang w:val="en-US"/>
              </w:rPr>
              <w:t xml:space="preserve">umber of new customers onboarded remotely </w:t>
            </w:r>
            <w:r w:rsidRPr="1605FAC3">
              <w:rPr>
                <w:rFonts w:asciiTheme="minorHAnsi" w:eastAsia="Verdana" w:hAnsiTheme="minorHAnsi" w:cs="Verdana"/>
                <w:sz w:val="20"/>
                <w:szCs w:val="20"/>
                <w:lang w:val="en-US"/>
              </w:rPr>
              <w:t>during</w:t>
            </w:r>
            <w:r w:rsidRPr="00AE4DAC">
              <w:rPr>
                <w:rFonts w:asciiTheme="minorHAnsi" w:eastAsia="Verdana" w:hAnsiTheme="minorHAnsi" w:cs="Verdana"/>
                <w:sz w:val="20"/>
                <w:szCs w:val="20"/>
                <w:lang w:val="en-US"/>
              </w:rPr>
              <w:t xml:space="preserve"> the reference year</w:t>
            </w:r>
            <w:r>
              <w:rPr>
                <w:rFonts w:asciiTheme="minorHAnsi" w:eastAsia="Verdana" w:hAnsiTheme="minorHAnsi" w:cs="Verdana"/>
                <w:sz w:val="20"/>
                <w:szCs w:val="20"/>
                <w:lang w:val="en-US"/>
              </w:rPr>
              <w:t>.</w:t>
            </w:r>
            <w:r w:rsidRPr="51A110D4">
              <w:rPr>
                <w:rFonts w:asciiTheme="minorHAnsi" w:eastAsia="Verdana" w:hAnsiTheme="minorHAnsi" w:cs="Verdana"/>
                <w:sz w:val="20"/>
                <w:szCs w:val="20"/>
                <w:lang w:val="en-US"/>
              </w:rPr>
              <w:t xml:space="preserve"> </w:t>
            </w:r>
          </w:p>
        </w:tc>
      </w:tr>
      <w:tr w:rsidR="00FD5D54" w:rsidRPr="00F545D7" w14:paraId="3093E262" w14:textId="77777777" w:rsidTr="00135B9D">
        <w:tc>
          <w:tcPr>
            <w:tcW w:w="1673" w:type="dxa"/>
            <w:tcBorders>
              <w:top w:val="single" w:sz="4" w:space="0" w:color="auto"/>
              <w:left w:val="single" w:sz="4" w:space="0" w:color="auto"/>
              <w:bottom w:val="single" w:sz="4" w:space="0" w:color="auto"/>
              <w:right w:val="single" w:sz="4" w:space="0" w:color="auto"/>
            </w:tcBorders>
          </w:tcPr>
          <w:p w14:paraId="5504FD1D" w14:textId="635A9D1A" w:rsidR="00FD5D54" w:rsidRPr="009275BC" w:rsidRDefault="00FD5D54" w:rsidP="00FD5D54">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C0090</w:t>
            </w:r>
          </w:p>
        </w:tc>
        <w:tc>
          <w:tcPr>
            <w:tcW w:w="7616" w:type="dxa"/>
            <w:tcBorders>
              <w:top w:val="single" w:sz="4" w:space="0" w:color="auto"/>
              <w:left w:val="single" w:sz="4" w:space="0" w:color="auto"/>
              <w:bottom w:val="single" w:sz="4" w:space="0" w:color="auto"/>
              <w:right w:val="single" w:sz="4" w:space="0" w:color="auto"/>
            </w:tcBorders>
            <w:vAlign w:val="center"/>
          </w:tcPr>
          <w:p w14:paraId="3A5E5E43" w14:textId="77777777" w:rsidR="00FD5D54" w:rsidRDefault="00FD5D54" w:rsidP="00FD5D54">
            <w:pPr>
              <w:pStyle w:val="InstructionsText2"/>
              <w:rPr>
                <w:rFonts w:asciiTheme="minorHAnsi" w:eastAsia="Verdana" w:hAnsiTheme="minorHAnsi" w:cs="Verdana"/>
                <w:sz w:val="20"/>
              </w:rPr>
            </w:pPr>
            <w:r w:rsidRPr="00E400EE">
              <w:rPr>
                <w:rFonts w:ascii="Aptos" w:eastAsia="Verdana" w:hAnsi="Aptos" w:cs="Verdana"/>
                <w:b/>
                <w:sz w:val="20"/>
                <w:u w:val="single"/>
              </w:rPr>
              <w:t>New Customers - Third Party Onboarding</w:t>
            </w:r>
          </w:p>
          <w:p w14:paraId="51530742" w14:textId="77777777" w:rsidR="00FD5D54" w:rsidRPr="00263C5D" w:rsidRDefault="00FD5D54" w:rsidP="00FD5D54">
            <w:pPr>
              <w:pStyle w:val="InstructionsText2"/>
              <w:rPr>
                <w:rFonts w:asciiTheme="minorHAnsi" w:eastAsia="Verdana" w:hAnsiTheme="minorHAnsi" w:cs="Verdana"/>
                <w:sz w:val="20"/>
              </w:rPr>
            </w:pPr>
            <w:r w:rsidRPr="00984BA8">
              <w:rPr>
                <w:rFonts w:asciiTheme="minorHAnsi" w:eastAsia="Verdana" w:hAnsiTheme="minorHAnsi" w:cs="Verdana"/>
                <w:bCs/>
                <w:iCs/>
                <w:sz w:val="20"/>
                <w:lang w:val="en-US"/>
              </w:rPr>
              <w:t xml:space="preserve">This datapoint is </w:t>
            </w:r>
            <w:r w:rsidRPr="00215E25">
              <w:rPr>
                <w:rFonts w:asciiTheme="minorHAnsi" w:eastAsia="Verdana" w:hAnsiTheme="minorHAnsi" w:cs="Verdana"/>
                <w:bCs/>
                <w:iCs/>
                <w:sz w:val="20"/>
                <w:lang w:val="en-US"/>
              </w:rPr>
              <w:t xml:space="preserve">not </w:t>
            </w:r>
            <w:r w:rsidRPr="00984BA8">
              <w:rPr>
                <w:rFonts w:asciiTheme="minorHAnsi" w:eastAsia="Verdana" w:hAnsiTheme="minorHAnsi" w:cs="Verdana"/>
                <w:bCs/>
                <w:iCs/>
                <w:sz w:val="20"/>
                <w:lang w:val="en-US"/>
              </w:rPr>
              <w:t>applicable for</w:t>
            </w:r>
            <w:r w:rsidRPr="00215E25">
              <w:rPr>
                <w:rFonts w:asciiTheme="minorHAnsi" w:eastAsia="Verdana" w:hAnsiTheme="minorHAnsi" w:cs="Verdana"/>
                <w:bCs/>
                <w:iCs/>
                <w:sz w:val="20"/>
                <w:lang w:val="en-US"/>
              </w:rPr>
              <w:t xml:space="preserve"> BC, IF and AMC</w:t>
            </w:r>
            <w:r>
              <w:rPr>
                <w:rFonts w:asciiTheme="minorHAnsi" w:eastAsia="Verdana" w:hAnsiTheme="minorHAnsi" w:cs="Verdana"/>
                <w:sz w:val="20"/>
              </w:rPr>
              <w:t>.</w:t>
            </w:r>
          </w:p>
          <w:p w14:paraId="794A3D6C" w14:textId="77777777" w:rsidR="00FD5D54" w:rsidRPr="00AE4DAC" w:rsidRDefault="00FD5D54" w:rsidP="00FD5D54">
            <w:pPr>
              <w:pStyle w:val="InstructionsText2"/>
              <w:rPr>
                <w:rFonts w:asciiTheme="minorHAnsi" w:eastAsia="Verdana" w:hAnsiTheme="minorHAnsi" w:cs="Verdana"/>
                <w:sz w:val="20"/>
                <w:szCs w:val="20"/>
                <w:lang w:val="en-US"/>
              </w:rPr>
            </w:pPr>
            <w:r w:rsidRPr="00DE2EE9">
              <w:rPr>
                <w:rFonts w:asciiTheme="minorHAnsi" w:eastAsia="Verdana" w:hAnsiTheme="minorHAnsi" w:cs="Verdana"/>
                <w:sz w:val="20"/>
                <w:szCs w:val="20"/>
                <w:lang w:val="en-US"/>
              </w:rPr>
              <w:t xml:space="preserve">The customer is introduced by a third party </w:t>
            </w:r>
            <w:r>
              <w:rPr>
                <w:rFonts w:asciiTheme="minorHAnsi" w:eastAsia="Verdana" w:hAnsiTheme="minorHAnsi" w:cs="Verdana"/>
                <w:sz w:val="20"/>
                <w:szCs w:val="20"/>
                <w:lang w:val="en-US"/>
              </w:rPr>
              <w:t xml:space="preserve">(supervised or not supervised) </w:t>
            </w:r>
            <w:r w:rsidRPr="00DE2EE9">
              <w:rPr>
                <w:rFonts w:asciiTheme="minorHAnsi" w:eastAsia="Verdana" w:hAnsiTheme="minorHAnsi" w:cs="Verdana"/>
                <w:sz w:val="20"/>
                <w:szCs w:val="20"/>
                <w:lang w:val="en-US"/>
              </w:rPr>
              <w:t>which conducts in full or in parts the CDD arrangements.</w:t>
            </w:r>
          </w:p>
          <w:p w14:paraId="3B6F1C0D" w14:textId="30235F42" w:rsidR="00FD5D54" w:rsidRPr="006C0D65" w:rsidRDefault="00FD5D54" w:rsidP="00FD5D54">
            <w:pPr>
              <w:pStyle w:val="InstructionsText2"/>
              <w:rPr>
                <w:rFonts w:ascii="Aptos" w:hAnsi="Aptos" w:cs="Calibri"/>
                <w:b/>
                <w:sz w:val="20"/>
                <w:u w:val="single"/>
                <w:lang w:val="en-IE" w:eastAsia="en-IE"/>
              </w:rPr>
            </w:pPr>
            <w:r w:rsidRPr="00E400EE">
              <w:rPr>
                <w:rFonts w:asciiTheme="minorHAnsi" w:eastAsia="Verdana" w:hAnsiTheme="minorHAnsi" w:cs="Verdana"/>
                <w:sz w:val="20"/>
                <w:szCs w:val="20"/>
                <w:lang w:val="en-US"/>
              </w:rPr>
              <w:t xml:space="preserve">Indicate the number of new customers onboarded </w:t>
            </w:r>
            <w:r w:rsidRPr="152E1A59">
              <w:rPr>
                <w:rFonts w:asciiTheme="minorHAnsi" w:eastAsia="Verdana" w:hAnsiTheme="minorHAnsi" w:cs="Verdana"/>
                <w:sz w:val="20"/>
                <w:szCs w:val="20"/>
                <w:lang w:val="en-US"/>
              </w:rPr>
              <w:t>during</w:t>
            </w:r>
            <w:r w:rsidRPr="008F7E92">
              <w:rPr>
                <w:rFonts w:asciiTheme="minorHAnsi" w:eastAsia="Verdana" w:hAnsiTheme="minorHAnsi" w:cs="Verdana"/>
                <w:sz w:val="20"/>
                <w:szCs w:val="20"/>
                <w:lang w:val="en-US"/>
              </w:rPr>
              <w:t xml:space="preserve"> the reference year by third parties.</w:t>
            </w:r>
          </w:p>
        </w:tc>
      </w:tr>
      <w:tr w:rsidR="00FD5D54" w:rsidRPr="00F545D7" w14:paraId="4DBD7744" w14:textId="77777777" w:rsidTr="00135B9D">
        <w:tc>
          <w:tcPr>
            <w:tcW w:w="1673" w:type="dxa"/>
            <w:tcBorders>
              <w:top w:val="single" w:sz="4" w:space="0" w:color="auto"/>
              <w:left w:val="single" w:sz="4" w:space="0" w:color="auto"/>
              <w:bottom w:val="single" w:sz="4" w:space="0" w:color="auto"/>
              <w:right w:val="single" w:sz="4" w:space="0" w:color="auto"/>
            </w:tcBorders>
          </w:tcPr>
          <w:p w14:paraId="00A8A9D9" w14:textId="79EE2F29" w:rsidR="00FD5D54" w:rsidRPr="009275BC" w:rsidRDefault="00FD5D54" w:rsidP="00FD5D54">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C0100</w:t>
            </w:r>
          </w:p>
        </w:tc>
        <w:tc>
          <w:tcPr>
            <w:tcW w:w="7616" w:type="dxa"/>
            <w:tcBorders>
              <w:top w:val="single" w:sz="4" w:space="0" w:color="auto"/>
              <w:left w:val="single" w:sz="4" w:space="0" w:color="auto"/>
              <w:bottom w:val="single" w:sz="4" w:space="0" w:color="auto"/>
              <w:right w:val="single" w:sz="4" w:space="0" w:color="auto"/>
            </w:tcBorders>
            <w:vAlign w:val="center"/>
          </w:tcPr>
          <w:p w14:paraId="187D109B" w14:textId="77777777" w:rsidR="00FD5D54" w:rsidRDefault="00FD5D54" w:rsidP="00FD5D54">
            <w:pPr>
              <w:pStyle w:val="InstructionsText2"/>
              <w:rPr>
                <w:rFonts w:asciiTheme="minorHAnsi" w:eastAsia="Verdana" w:hAnsiTheme="minorHAnsi" w:cs="Verdana"/>
                <w:bCs/>
                <w:sz w:val="20"/>
              </w:rPr>
            </w:pPr>
            <w:r w:rsidRPr="00E400EE">
              <w:rPr>
                <w:rFonts w:ascii="Aptos" w:eastAsia="Verdana" w:hAnsi="Aptos" w:cs="Verdana"/>
                <w:b/>
                <w:bCs/>
                <w:sz w:val="20"/>
                <w:u w:val="single"/>
              </w:rPr>
              <w:t>New Customers - Third Party Onboarding (Non-supervised)</w:t>
            </w:r>
          </w:p>
          <w:p w14:paraId="0B1B0847" w14:textId="77777777" w:rsidR="00C34A5F" w:rsidRDefault="00FD5D54" w:rsidP="00FD5D54">
            <w:pPr>
              <w:pStyle w:val="InstructionsText2"/>
              <w:rPr>
                <w:rFonts w:asciiTheme="minorHAnsi" w:eastAsia="Verdana" w:hAnsiTheme="minorHAnsi" w:cs="Verdana"/>
                <w:bCs/>
                <w:sz w:val="20"/>
                <w:szCs w:val="20"/>
                <w:lang w:val="en-US"/>
              </w:rPr>
            </w:pPr>
            <w:r w:rsidRPr="00984BA8">
              <w:rPr>
                <w:rFonts w:asciiTheme="minorHAnsi" w:eastAsia="Verdana" w:hAnsiTheme="minorHAnsi" w:cs="Verdana"/>
                <w:bCs/>
                <w:iCs/>
                <w:sz w:val="20"/>
                <w:lang w:val="en-US"/>
              </w:rPr>
              <w:t xml:space="preserve">This datapoint is </w:t>
            </w:r>
            <w:r w:rsidRPr="00514958">
              <w:rPr>
                <w:rFonts w:asciiTheme="minorHAnsi" w:eastAsia="Verdana" w:hAnsiTheme="minorHAnsi" w:cs="Verdana"/>
                <w:bCs/>
                <w:iCs/>
                <w:sz w:val="20"/>
                <w:lang w:val="en-US"/>
              </w:rPr>
              <w:t xml:space="preserve">not </w:t>
            </w:r>
            <w:r w:rsidRPr="00984BA8">
              <w:rPr>
                <w:rFonts w:asciiTheme="minorHAnsi" w:eastAsia="Verdana" w:hAnsiTheme="minorHAnsi" w:cs="Verdana"/>
                <w:bCs/>
                <w:iCs/>
                <w:sz w:val="20"/>
                <w:lang w:val="en-US"/>
              </w:rPr>
              <w:t>applicable for</w:t>
            </w:r>
            <w:r w:rsidRPr="00514958">
              <w:rPr>
                <w:rFonts w:asciiTheme="minorHAnsi" w:eastAsia="Verdana" w:hAnsiTheme="minorHAnsi" w:cs="Verdana"/>
                <w:bCs/>
                <w:iCs/>
                <w:sz w:val="20"/>
                <w:lang w:val="en-US"/>
              </w:rPr>
              <w:t xml:space="preserve"> BC, IF and AMC</w:t>
            </w:r>
            <w:r>
              <w:rPr>
                <w:rFonts w:asciiTheme="minorHAnsi" w:eastAsia="Verdana" w:hAnsiTheme="minorHAnsi" w:cs="Verdana"/>
                <w:bCs/>
                <w:sz w:val="20"/>
                <w:szCs w:val="20"/>
                <w:lang w:val="en-US"/>
              </w:rPr>
              <w:t>.</w:t>
            </w:r>
          </w:p>
          <w:p w14:paraId="6188875A" w14:textId="5B8EA9F5" w:rsidR="00FD5D54" w:rsidRPr="006C0D65" w:rsidRDefault="00FD5D54" w:rsidP="00FD5D54">
            <w:pPr>
              <w:pStyle w:val="InstructionsText2"/>
              <w:rPr>
                <w:rFonts w:ascii="Aptos" w:hAnsi="Aptos" w:cs="Calibri"/>
                <w:b/>
                <w:sz w:val="20"/>
                <w:u w:val="single"/>
                <w:lang w:val="en-IE" w:eastAsia="en-IE"/>
              </w:rPr>
            </w:pPr>
            <w:r w:rsidRPr="00AC019D">
              <w:rPr>
                <w:rFonts w:asciiTheme="minorHAnsi" w:eastAsia="Verdana" w:hAnsiTheme="minorHAnsi" w:cs="Verdana"/>
                <w:bCs/>
                <w:sz w:val="20"/>
                <w:szCs w:val="20"/>
                <w:lang w:val="en-US"/>
              </w:rPr>
              <w:t xml:space="preserve">Indicate the number of customers onboarded </w:t>
            </w:r>
            <w:r w:rsidRPr="152E1A59">
              <w:rPr>
                <w:rFonts w:asciiTheme="minorHAnsi" w:eastAsia="Verdana" w:hAnsiTheme="minorHAnsi" w:cs="Verdana"/>
                <w:sz w:val="20"/>
                <w:szCs w:val="20"/>
                <w:lang w:val="en-US"/>
              </w:rPr>
              <w:t>during</w:t>
            </w:r>
            <w:r w:rsidRPr="008F7E92">
              <w:rPr>
                <w:rFonts w:asciiTheme="minorHAnsi" w:eastAsia="Verdana" w:hAnsiTheme="minorHAnsi" w:cs="Verdana"/>
                <w:bCs/>
                <w:sz w:val="20"/>
                <w:szCs w:val="20"/>
                <w:lang w:val="en-US"/>
              </w:rPr>
              <w:t xml:space="preserve"> the reference year by third parties not directly subject to AML/CFT supervision.</w:t>
            </w:r>
          </w:p>
        </w:tc>
      </w:tr>
      <w:tr w:rsidR="0018743E" w:rsidRPr="009B282E" w14:paraId="66B73477" w14:textId="77777777" w:rsidTr="003A7C34">
        <w:tc>
          <w:tcPr>
            <w:tcW w:w="1673" w:type="dxa"/>
            <w:tcBorders>
              <w:top w:val="single" w:sz="4" w:space="0" w:color="auto"/>
              <w:left w:val="single" w:sz="4" w:space="0" w:color="auto"/>
              <w:bottom w:val="single" w:sz="4" w:space="0" w:color="auto"/>
              <w:right w:val="single" w:sz="4" w:space="0" w:color="auto"/>
            </w:tcBorders>
          </w:tcPr>
          <w:p w14:paraId="71853423" w14:textId="2C81426A" w:rsidR="0018743E" w:rsidRPr="009275BC" w:rsidRDefault="00FD5D54" w:rsidP="00F32516">
            <w:pPr>
              <w:pStyle w:val="InstructionsText"/>
              <w:rPr>
                <w:rStyle w:val="FormatvorlageInstructionsTabelleText"/>
                <w:rFonts w:asciiTheme="minorHAnsi" w:hAnsiTheme="minorHAnsi"/>
                <w:bCs/>
              </w:rPr>
            </w:pPr>
            <w:r w:rsidRPr="009275BC">
              <w:rPr>
                <w:rStyle w:val="FormatvorlageInstructionsTabelleText"/>
                <w:rFonts w:asciiTheme="minorHAnsi" w:hAnsiTheme="minorHAnsi"/>
              </w:rPr>
              <w:t>C0110</w:t>
            </w:r>
          </w:p>
        </w:tc>
        <w:tc>
          <w:tcPr>
            <w:tcW w:w="7616" w:type="dxa"/>
            <w:tcBorders>
              <w:top w:val="single" w:sz="4" w:space="0" w:color="auto"/>
              <w:left w:val="single" w:sz="4" w:space="0" w:color="auto"/>
              <w:bottom w:val="single" w:sz="4" w:space="0" w:color="auto"/>
              <w:right w:val="single" w:sz="4" w:space="0" w:color="auto"/>
            </w:tcBorders>
          </w:tcPr>
          <w:p w14:paraId="60AC82A6" w14:textId="6F0C75FB" w:rsidR="00491899" w:rsidRDefault="00491899" w:rsidP="00C023DA">
            <w:pPr>
              <w:pStyle w:val="InstructionsText2"/>
              <w:rPr>
                <w:rFonts w:asciiTheme="minorHAnsi" w:hAnsiTheme="minorHAnsi" w:cs="Calibri"/>
                <w:color w:val="000000"/>
                <w:sz w:val="20"/>
                <w:lang w:val="en-IE" w:eastAsia="en-IE"/>
              </w:rPr>
            </w:pPr>
            <w:r w:rsidRPr="00C023DA">
              <w:rPr>
                <w:rFonts w:ascii="Aptos" w:eastAsia="Cambria" w:hAnsi="Aptos" w:cs="Calibri"/>
                <w:b/>
                <w:sz w:val="20"/>
                <w:szCs w:val="20"/>
                <w:u w:val="single"/>
                <w:lang w:val="en-IE" w:eastAsia="en-IE"/>
              </w:rPr>
              <w:t>Legal Entities - Complex Structure</w:t>
            </w:r>
          </w:p>
          <w:p w14:paraId="592B456F" w14:textId="2A8EE4C3" w:rsidR="004C51B3" w:rsidRDefault="004C51B3" w:rsidP="00A12F37">
            <w:pPr>
              <w:spacing w:before="0" w:after="0" w:line="240" w:lineRule="auto"/>
              <w:jc w:val="both"/>
              <w:rPr>
                <w:rFonts w:asciiTheme="minorHAnsi" w:hAnsiTheme="minorHAnsi"/>
                <w:sz w:val="20"/>
                <w:lang w:val="en-IE"/>
              </w:rPr>
            </w:pPr>
            <w:r>
              <w:rPr>
                <w:rFonts w:asciiTheme="minorHAnsi" w:hAnsiTheme="minorHAnsi"/>
                <w:sz w:val="20"/>
                <w:lang w:val="en-IE"/>
              </w:rPr>
              <w:t xml:space="preserve">This datapoint is not applicable for </w:t>
            </w:r>
            <w:r w:rsidR="000961FB">
              <w:rPr>
                <w:rFonts w:asciiTheme="minorHAnsi" w:hAnsiTheme="minorHAnsi"/>
                <w:sz w:val="20"/>
                <w:lang w:val="en-IE"/>
              </w:rPr>
              <w:t>BC</w:t>
            </w:r>
            <w:r w:rsidR="00DE53FF">
              <w:rPr>
                <w:rFonts w:asciiTheme="minorHAnsi" w:hAnsiTheme="minorHAnsi"/>
                <w:sz w:val="20"/>
                <w:lang w:val="en-IE"/>
              </w:rPr>
              <w:t>.</w:t>
            </w:r>
          </w:p>
          <w:p w14:paraId="244F4AC6" w14:textId="77777777" w:rsidR="004C51B3" w:rsidRDefault="004C51B3" w:rsidP="00A12F37">
            <w:pPr>
              <w:spacing w:before="0" w:after="0" w:line="240" w:lineRule="auto"/>
              <w:jc w:val="both"/>
              <w:rPr>
                <w:rFonts w:asciiTheme="minorHAnsi" w:hAnsiTheme="minorHAnsi"/>
                <w:sz w:val="20"/>
                <w:lang w:val="en-IE"/>
              </w:rPr>
            </w:pPr>
          </w:p>
          <w:p w14:paraId="10303D79" w14:textId="500B867F" w:rsidR="00305246" w:rsidRPr="00305246" w:rsidRDefault="00BC2D20" w:rsidP="00A12F37">
            <w:pPr>
              <w:spacing w:before="0" w:after="0" w:line="240" w:lineRule="auto"/>
              <w:jc w:val="both"/>
              <w:rPr>
                <w:rFonts w:asciiTheme="minorHAnsi" w:hAnsiTheme="minorHAnsi" w:cs="Calibri"/>
                <w:color w:val="000000" w:themeColor="text1"/>
                <w:sz w:val="20"/>
                <w:lang w:val="en-IE" w:eastAsia="en-IE"/>
              </w:rPr>
            </w:pPr>
            <w:r>
              <w:rPr>
                <w:rFonts w:asciiTheme="minorHAnsi" w:hAnsiTheme="minorHAnsi"/>
                <w:sz w:val="20"/>
                <w:lang w:val="en-IE"/>
              </w:rPr>
              <w:t xml:space="preserve">Total of Legal Entity customers </w:t>
            </w:r>
            <w:r w:rsidR="005E7BEC">
              <w:rPr>
                <w:rFonts w:asciiTheme="minorHAnsi" w:hAnsiTheme="minorHAnsi"/>
                <w:sz w:val="20"/>
                <w:lang w:val="en-IE"/>
              </w:rPr>
              <w:t>that are classified as having or forming part of a complex structure, a</w:t>
            </w:r>
            <w:r w:rsidR="2CC1E52D" w:rsidRPr="3142DBAB">
              <w:rPr>
                <w:rFonts w:asciiTheme="minorHAnsi" w:hAnsiTheme="minorHAnsi"/>
                <w:sz w:val="20"/>
                <w:lang w:val="en-IE"/>
              </w:rPr>
              <w:t>s</w:t>
            </w:r>
            <w:r w:rsidR="2CC1E52D" w:rsidRPr="1452FCE7">
              <w:rPr>
                <w:rFonts w:asciiTheme="minorHAnsi" w:hAnsiTheme="minorHAnsi"/>
                <w:sz w:val="20"/>
                <w:lang w:val="en-IE"/>
              </w:rPr>
              <w:t xml:space="preserve"> of end of the reference year.</w:t>
            </w:r>
            <w:r w:rsidR="2CC1E52D" w:rsidRPr="1452FCE7">
              <w:rPr>
                <w:rFonts w:asciiTheme="minorHAnsi" w:eastAsia="Times New Roman" w:hAnsiTheme="minorHAnsi" w:cs="Calibri"/>
                <w:color w:val="000000" w:themeColor="text1"/>
                <w:sz w:val="20"/>
                <w:lang w:val="en-IE" w:eastAsia="en-IE"/>
              </w:rPr>
              <w:t xml:space="preserve"> </w:t>
            </w:r>
          </w:p>
          <w:p w14:paraId="34E05DD6" w14:textId="77777777" w:rsidR="005E7BEC" w:rsidRDefault="005E7BEC" w:rsidP="00A12F37">
            <w:pPr>
              <w:spacing w:before="0" w:after="0" w:line="240" w:lineRule="auto"/>
              <w:jc w:val="both"/>
              <w:rPr>
                <w:rFonts w:asciiTheme="minorHAnsi" w:eastAsia="Times New Roman" w:hAnsiTheme="minorHAnsi" w:cs="Calibri"/>
                <w:color w:val="000000" w:themeColor="text1"/>
                <w:sz w:val="20"/>
                <w:lang w:val="en-IE" w:eastAsia="en-IE"/>
              </w:rPr>
            </w:pPr>
          </w:p>
          <w:p w14:paraId="26697834" w14:textId="74435AB5" w:rsidR="005E7BEC" w:rsidRPr="00186951" w:rsidRDefault="005E7BEC" w:rsidP="00A12F37">
            <w:pPr>
              <w:spacing w:before="0" w:after="0" w:line="240" w:lineRule="auto"/>
              <w:jc w:val="both"/>
              <w:rPr>
                <w:rFonts w:asciiTheme="minorHAnsi" w:hAnsiTheme="minorHAnsi"/>
                <w:bCs/>
                <w:color w:val="auto"/>
                <w:kern w:val="0"/>
                <w:sz w:val="20"/>
                <w:szCs w:val="24"/>
                <w:lang w:val="en-GB" w:eastAsia="de-DE" w:bidi="ne-NP"/>
              </w:rPr>
            </w:pPr>
            <w:r w:rsidRPr="00875978">
              <w:rPr>
                <w:rStyle w:val="FormatvorlageInstructionsTabelleText"/>
                <w:rFonts w:asciiTheme="minorHAnsi" w:hAnsiTheme="minorHAnsi"/>
                <w:color w:val="auto"/>
                <w:kern w:val="0"/>
                <w:szCs w:val="24"/>
                <w:lang w:val="en-GB" w:eastAsia="de-DE" w:bidi="ne-NP"/>
              </w:rPr>
              <w:t>See the definition of ‘</w:t>
            </w:r>
            <w:r>
              <w:rPr>
                <w:rStyle w:val="FormatvorlageInstructionsTabelleText"/>
                <w:rFonts w:asciiTheme="minorHAnsi" w:hAnsiTheme="minorHAnsi"/>
                <w:color w:val="auto"/>
                <w:kern w:val="0"/>
                <w:szCs w:val="24"/>
                <w:lang w:val="en-GB" w:eastAsia="de-DE" w:bidi="ne-NP"/>
              </w:rPr>
              <w:t>complex structure</w:t>
            </w:r>
            <w:r w:rsidRPr="00875978">
              <w:rPr>
                <w:rStyle w:val="FormatvorlageInstructionsTabelleText"/>
                <w:rFonts w:asciiTheme="minorHAnsi" w:hAnsiTheme="minorHAnsi"/>
                <w:color w:val="auto"/>
                <w:kern w:val="0"/>
                <w:szCs w:val="24"/>
                <w:lang w:val="en-GB" w:eastAsia="de-DE" w:bidi="ne-NP"/>
              </w:rPr>
              <w:t>’ in Annex 2.</w:t>
            </w:r>
          </w:p>
          <w:p w14:paraId="22702F0B" w14:textId="77777777" w:rsidR="000F563D" w:rsidRDefault="000F563D" w:rsidP="00305246">
            <w:pPr>
              <w:spacing w:before="0" w:after="0" w:line="240" w:lineRule="auto"/>
              <w:jc w:val="both"/>
              <w:rPr>
                <w:rFonts w:asciiTheme="minorHAnsi" w:eastAsia="Times New Roman" w:hAnsiTheme="minorHAnsi" w:cs="Calibri"/>
                <w:color w:val="000000"/>
                <w:kern w:val="0"/>
                <w:sz w:val="20"/>
                <w:lang w:val="en-IE" w:eastAsia="en-IE"/>
              </w:rPr>
            </w:pPr>
            <w:bookmarkStart w:id="81" w:name="_Hlk222994722"/>
          </w:p>
          <w:p w14:paraId="753ED46E" w14:textId="44041C81" w:rsidR="0018743E" w:rsidRDefault="00305246" w:rsidP="00305246">
            <w:pPr>
              <w:spacing w:before="0" w:after="0" w:line="240" w:lineRule="auto"/>
              <w:jc w:val="both"/>
              <w:rPr>
                <w:rFonts w:asciiTheme="minorHAnsi" w:eastAsia="Times New Roman" w:hAnsiTheme="minorHAnsi" w:cs="Calibri"/>
                <w:color w:val="000000"/>
                <w:kern w:val="0"/>
                <w:sz w:val="20"/>
                <w:lang w:val="en-IE" w:eastAsia="en-IE"/>
              </w:rPr>
            </w:pPr>
            <w:r w:rsidRPr="1992EED3">
              <w:rPr>
                <w:rFonts w:asciiTheme="minorHAnsi" w:eastAsia="Times New Roman" w:hAnsiTheme="minorHAnsi" w:cs="Calibri"/>
                <w:color w:val="000000"/>
                <w:kern w:val="0"/>
                <w:sz w:val="20"/>
                <w:lang w:val="en-IE" w:eastAsia="en-IE"/>
              </w:rPr>
              <w:t>For CASPs</w:t>
            </w:r>
            <w:r w:rsidR="1EC1B4BB" w:rsidRPr="02C50D8F">
              <w:rPr>
                <w:rFonts w:asciiTheme="minorHAnsi" w:eastAsia="Times New Roman" w:hAnsiTheme="minorHAnsi" w:cs="Calibri"/>
                <w:color w:val="000000" w:themeColor="text1"/>
                <w:sz w:val="20"/>
                <w:lang w:val="en-IE" w:eastAsia="en-IE"/>
              </w:rPr>
              <w:t>’ customers</w:t>
            </w:r>
            <w:r w:rsidRPr="00305246">
              <w:rPr>
                <w:rFonts w:asciiTheme="minorHAnsi" w:eastAsia="Times New Roman" w:hAnsiTheme="minorHAnsi" w:cs="Calibri"/>
                <w:color w:val="000000"/>
                <w:kern w:val="0"/>
                <w:sz w:val="20"/>
                <w:lang w:val="en-IE" w:eastAsia="en-IE"/>
              </w:rPr>
              <w:t xml:space="preserve"> this data point should </w:t>
            </w:r>
            <w:r w:rsidR="50B8931F" w:rsidRPr="07AF2A0A">
              <w:rPr>
                <w:rFonts w:asciiTheme="minorHAnsi" w:eastAsia="Times New Roman" w:hAnsiTheme="minorHAnsi" w:cs="Calibri"/>
                <w:color w:val="000000" w:themeColor="text1"/>
                <w:sz w:val="20"/>
                <w:lang w:val="en-IE" w:eastAsia="en-IE"/>
              </w:rPr>
              <w:t xml:space="preserve">also </w:t>
            </w:r>
            <w:r w:rsidRPr="3DF93284">
              <w:rPr>
                <w:rFonts w:asciiTheme="minorHAnsi" w:eastAsia="Times New Roman" w:hAnsiTheme="minorHAnsi" w:cs="Calibri"/>
                <w:color w:val="000000"/>
                <w:kern w:val="0"/>
                <w:sz w:val="20"/>
                <w:lang w:val="en-IE" w:eastAsia="en-IE"/>
              </w:rPr>
              <w:t>capture</w:t>
            </w:r>
            <w:r w:rsidRPr="00305246">
              <w:rPr>
                <w:rFonts w:asciiTheme="minorHAnsi" w:eastAsia="Times New Roman" w:hAnsiTheme="minorHAnsi" w:cs="Calibri"/>
                <w:color w:val="000000"/>
                <w:kern w:val="0"/>
                <w:sz w:val="20"/>
                <w:lang w:val="en-IE" w:eastAsia="en-IE"/>
              </w:rPr>
              <w:t xml:space="preserve"> legal entities where the ownership or control structure</w:t>
            </w:r>
            <w:r w:rsidRPr="7CE722FD">
              <w:rPr>
                <w:rFonts w:asciiTheme="minorHAnsi" w:eastAsia="Times New Roman" w:hAnsiTheme="minorHAnsi" w:cs="Calibri"/>
                <w:color w:val="000000" w:themeColor="text1"/>
                <w:sz w:val="20"/>
                <w:lang w:val="en-IE" w:eastAsia="en-IE"/>
              </w:rPr>
              <w:t xml:space="preserve"> </w:t>
            </w:r>
            <w:r w:rsidR="1A20444E" w:rsidRPr="7CE722FD">
              <w:rPr>
                <w:rFonts w:asciiTheme="minorHAnsi" w:eastAsia="Times New Roman" w:hAnsiTheme="minorHAnsi" w:cs="Calibri"/>
                <w:color w:val="000000" w:themeColor="text1"/>
                <w:sz w:val="20"/>
                <w:lang w:val="en-IE" w:eastAsia="en-IE"/>
              </w:rPr>
              <w:t>over crypto-assets or wallets is exercised through</w:t>
            </w:r>
            <w:r w:rsidR="001D48D5">
              <w:rPr>
                <w:rFonts w:asciiTheme="minorHAnsi" w:eastAsia="Times New Roman" w:hAnsiTheme="minorHAnsi" w:cs="Calibri"/>
                <w:color w:val="000000" w:themeColor="text1"/>
                <w:sz w:val="20"/>
                <w:lang w:val="en-IE" w:eastAsia="en-IE"/>
              </w:rPr>
              <w:t xml:space="preserve"> </w:t>
            </w:r>
            <w:r w:rsidRPr="00305246">
              <w:rPr>
                <w:rFonts w:asciiTheme="minorHAnsi" w:eastAsia="Times New Roman" w:hAnsiTheme="minorHAnsi" w:cs="Calibri"/>
                <w:color w:val="000000"/>
                <w:kern w:val="0"/>
                <w:sz w:val="20"/>
                <w:lang w:val="en-IE" w:eastAsia="en-IE"/>
              </w:rPr>
              <w:t xml:space="preserve">crypto-assets </w:t>
            </w:r>
            <w:r w:rsidR="34C96742" w:rsidRPr="7CE722FD">
              <w:rPr>
                <w:rFonts w:asciiTheme="minorHAnsi" w:eastAsia="Times New Roman" w:hAnsiTheme="minorHAnsi" w:cs="Calibri"/>
                <w:color w:val="000000" w:themeColor="text1"/>
                <w:sz w:val="20"/>
                <w:lang w:val="en-IE" w:eastAsia="en-IE"/>
              </w:rPr>
              <w:t>specific arrangements (e.g.,</w:t>
            </w:r>
            <w:r w:rsidR="70A602B4" w:rsidRPr="7CE722FD">
              <w:rPr>
                <w:rFonts w:asciiTheme="minorHAnsi" w:eastAsia="Times New Roman" w:hAnsiTheme="minorHAnsi" w:cs="Calibri"/>
                <w:color w:val="000000" w:themeColor="text1"/>
                <w:sz w:val="20"/>
                <w:lang w:val="en-IE" w:eastAsia="en-IE"/>
              </w:rPr>
              <w:t xml:space="preserve"> </w:t>
            </w:r>
            <w:r w:rsidR="70A602B4" w:rsidRPr="67D8FE76">
              <w:rPr>
                <w:rFonts w:asciiTheme="minorHAnsi" w:eastAsia="Times New Roman" w:hAnsiTheme="minorHAnsi" w:cs="Calibri"/>
                <w:color w:val="000000" w:themeColor="text1"/>
                <w:sz w:val="20"/>
                <w:lang w:val="en-IE" w:eastAsia="en-IE"/>
              </w:rPr>
              <w:t>t</w:t>
            </w:r>
            <w:r w:rsidR="70A602B4" w:rsidRPr="67D8FE76">
              <w:rPr>
                <w:rFonts w:ascii="Aptos" w:eastAsia="Aptos" w:hAnsi="Aptos" w:cs="Aptos"/>
                <w:sz w:val="20"/>
                <w:lang w:val="en-IE"/>
              </w:rPr>
              <w:t>he</w:t>
            </w:r>
            <w:r w:rsidR="70A602B4" w:rsidRPr="7CE722FD">
              <w:rPr>
                <w:rFonts w:ascii="Aptos" w:eastAsia="Aptos" w:hAnsi="Aptos" w:cs="Aptos"/>
                <w:sz w:val="20"/>
                <w:lang w:val="en-IE"/>
              </w:rPr>
              <w:t xml:space="preserve"> use of wallet intermediaries, private-key or smart-contract-based control mechanisms </w:t>
            </w:r>
            <w:r w:rsidRPr="7CE722FD">
              <w:rPr>
                <w:rFonts w:asciiTheme="minorHAnsi" w:eastAsia="Times New Roman" w:hAnsiTheme="minorHAnsi" w:cs="Calibri"/>
                <w:color w:val="000000" w:themeColor="text1"/>
                <w:sz w:val="20"/>
                <w:lang w:val="en-IE" w:eastAsia="en-IE"/>
              </w:rPr>
              <w:t>mandates</w:t>
            </w:r>
            <w:r w:rsidRPr="00305246">
              <w:rPr>
                <w:rFonts w:asciiTheme="minorHAnsi" w:eastAsia="Times New Roman" w:hAnsiTheme="minorHAnsi" w:cs="Calibri"/>
                <w:color w:val="000000"/>
                <w:kern w:val="0"/>
                <w:sz w:val="20"/>
                <w:lang w:val="en-IE" w:eastAsia="en-IE"/>
              </w:rPr>
              <w:t xml:space="preserve"> or comparable arrangements</w:t>
            </w:r>
            <w:r w:rsidR="528D760A" w:rsidRPr="67D8FE76">
              <w:rPr>
                <w:rFonts w:asciiTheme="minorHAnsi" w:eastAsia="Times New Roman" w:hAnsiTheme="minorHAnsi" w:cs="Calibri"/>
                <w:color w:val="000000" w:themeColor="text1"/>
                <w:sz w:val="20"/>
                <w:lang w:val="en-IE" w:eastAsia="en-IE"/>
              </w:rPr>
              <w:t>)</w:t>
            </w:r>
            <w:r w:rsidR="2A3ADE72" w:rsidRPr="67D8FE76">
              <w:rPr>
                <w:rFonts w:asciiTheme="minorHAnsi" w:eastAsia="Times New Roman" w:hAnsiTheme="minorHAnsi" w:cs="Calibri"/>
                <w:color w:val="000000" w:themeColor="text1"/>
                <w:sz w:val="20"/>
                <w:lang w:val="en-IE" w:eastAsia="en-IE"/>
              </w:rPr>
              <w:t xml:space="preserve">, particularly where these contribute to the </w:t>
            </w:r>
            <w:r w:rsidR="2A3ADE72" w:rsidRPr="63B47A04">
              <w:rPr>
                <w:rFonts w:asciiTheme="minorHAnsi" w:eastAsia="Times New Roman" w:hAnsiTheme="minorHAnsi" w:cs="Calibri"/>
                <w:color w:val="000000" w:themeColor="text1"/>
                <w:sz w:val="20"/>
                <w:lang w:val="en-IE" w:eastAsia="en-IE"/>
              </w:rPr>
              <w:t>complexity</w:t>
            </w:r>
            <w:r w:rsidR="2A3ADE72" w:rsidRPr="67D8FE76">
              <w:rPr>
                <w:rFonts w:asciiTheme="minorHAnsi" w:eastAsia="Times New Roman" w:hAnsiTheme="minorHAnsi" w:cs="Calibri"/>
                <w:color w:val="000000" w:themeColor="text1"/>
                <w:sz w:val="20"/>
                <w:lang w:val="en-IE" w:eastAsia="en-IE"/>
              </w:rPr>
              <w:t xml:space="preserve"> or reduced </w:t>
            </w:r>
            <w:r w:rsidR="2A3ADE72" w:rsidRPr="36C204AF">
              <w:rPr>
                <w:rFonts w:asciiTheme="minorHAnsi" w:eastAsia="Times New Roman" w:hAnsiTheme="minorHAnsi" w:cs="Calibri"/>
                <w:color w:val="000000" w:themeColor="text1"/>
                <w:sz w:val="20"/>
                <w:lang w:val="en-IE" w:eastAsia="en-IE"/>
              </w:rPr>
              <w:t>transparency of the structure</w:t>
            </w:r>
            <w:r w:rsidRPr="00305246">
              <w:rPr>
                <w:rFonts w:asciiTheme="minorHAnsi" w:eastAsia="Times New Roman" w:hAnsiTheme="minorHAnsi" w:cs="Calibri"/>
                <w:color w:val="000000"/>
                <w:kern w:val="0"/>
                <w:sz w:val="20"/>
                <w:lang w:val="en-IE" w:eastAsia="en-IE"/>
              </w:rPr>
              <w:t>.</w:t>
            </w:r>
          </w:p>
          <w:bookmarkEnd w:id="81"/>
          <w:p w14:paraId="1E2E065F" w14:textId="678A5E16" w:rsidR="007F6561" w:rsidRPr="00EC7C0A" w:rsidRDefault="007F6561" w:rsidP="00305246">
            <w:pPr>
              <w:spacing w:before="0" w:after="0" w:line="240" w:lineRule="auto"/>
              <w:jc w:val="both"/>
              <w:rPr>
                <w:rFonts w:asciiTheme="minorHAnsi" w:eastAsia="Times New Roman" w:hAnsiTheme="minorHAnsi" w:cs="Calibri"/>
                <w:b/>
                <w:bCs/>
                <w:color w:val="000000"/>
                <w:kern w:val="0"/>
                <w:sz w:val="20"/>
                <w:u w:val="single"/>
                <w:lang w:val="en-IE" w:eastAsia="en-IE"/>
              </w:rPr>
            </w:pPr>
          </w:p>
        </w:tc>
      </w:tr>
      <w:tr w:rsidR="00C15C6C" w:rsidRPr="009B282E" w14:paraId="066093BE" w14:textId="77777777" w:rsidTr="003A7C34">
        <w:tc>
          <w:tcPr>
            <w:tcW w:w="1673" w:type="dxa"/>
            <w:tcBorders>
              <w:top w:val="single" w:sz="4" w:space="0" w:color="auto"/>
              <w:left w:val="single" w:sz="4" w:space="0" w:color="auto"/>
              <w:bottom w:val="single" w:sz="4" w:space="0" w:color="auto"/>
              <w:right w:val="single" w:sz="4" w:space="0" w:color="auto"/>
            </w:tcBorders>
          </w:tcPr>
          <w:p w14:paraId="48BC30C1" w14:textId="35D1A990" w:rsidR="00C15C6C" w:rsidRPr="009275BC" w:rsidRDefault="00FD5D54" w:rsidP="00F32516">
            <w:pPr>
              <w:pStyle w:val="InstructionsText"/>
              <w:rPr>
                <w:rStyle w:val="FormatvorlageInstructionsTabelleText"/>
                <w:rFonts w:asciiTheme="minorHAnsi" w:hAnsiTheme="minorHAnsi"/>
                <w:bCs/>
              </w:rPr>
            </w:pPr>
            <w:r w:rsidRPr="009275BC">
              <w:rPr>
                <w:rStyle w:val="FormatvorlageInstructionsTabelleText"/>
                <w:rFonts w:asciiTheme="minorHAnsi" w:hAnsiTheme="minorHAnsi"/>
              </w:rPr>
              <w:t>C0120</w:t>
            </w:r>
          </w:p>
        </w:tc>
        <w:tc>
          <w:tcPr>
            <w:tcW w:w="7616" w:type="dxa"/>
            <w:tcBorders>
              <w:top w:val="single" w:sz="4" w:space="0" w:color="auto"/>
              <w:left w:val="single" w:sz="4" w:space="0" w:color="auto"/>
              <w:bottom w:val="single" w:sz="4" w:space="0" w:color="auto"/>
              <w:right w:val="single" w:sz="4" w:space="0" w:color="auto"/>
            </w:tcBorders>
          </w:tcPr>
          <w:p w14:paraId="1AA64414" w14:textId="4BBC9DF8" w:rsidR="00153BE7" w:rsidRPr="00EC7C0A" w:rsidRDefault="004012B5" w:rsidP="00B70712">
            <w:pPr>
              <w:pStyle w:val="InstructionsText2"/>
              <w:rPr>
                <w:rStyle w:val="InstructionsTabelleberschrift"/>
                <w:rFonts w:asciiTheme="minorHAnsi" w:hAnsiTheme="minorHAnsi"/>
              </w:rPr>
            </w:pPr>
            <w:r>
              <w:rPr>
                <w:rStyle w:val="InstructionsTabelleberschrift"/>
                <w:rFonts w:asciiTheme="minorHAnsi" w:hAnsiTheme="minorHAnsi"/>
              </w:rPr>
              <w:t>C</w:t>
            </w:r>
            <w:r w:rsidR="00153BE7" w:rsidRPr="00EC7C0A">
              <w:rPr>
                <w:rStyle w:val="InstructionsTabelleberschrift"/>
                <w:rFonts w:asciiTheme="minorHAnsi" w:hAnsiTheme="minorHAnsi"/>
              </w:rPr>
              <w:t>ustomers with high</w:t>
            </w:r>
            <w:r w:rsidR="4B5E9459" w:rsidRPr="467A3946">
              <w:rPr>
                <w:rStyle w:val="InstructionsTabelleberschrift"/>
                <w:rFonts w:asciiTheme="minorHAnsi" w:hAnsiTheme="minorHAnsi"/>
              </w:rPr>
              <w:t>-</w:t>
            </w:r>
            <w:r w:rsidR="00153BE7" w:rsidRPr="00EC7C0A">
              <w:rPr>
                <w:rStyle w:val="InstructionsTabelleberschrift"/>
                <w:rFonts w:asciiTheme="minorHAnsi" w:hAnsiTheme="minorHAnsi"/>
              </w:rPr>
              <w:t>risk activities</w:t>
            </w:r>
          </w:p>
          <w:p w14:paraId="02FA5D9E" w14:textId="18DBCD9E" w:rsidR="00A210B2" w:rsidRDefault="00A210B2" w:rsidP="00153BE7">
            <w:pPr>
              <w:spacing w:before="0" w:after="0" w:line="240" w:lineRule="auto"/>
              <w:jc w:val="both"/>
              <w:rPr>
                <w:rFonts w:asciiTheme="minorHAnsi" w:eastAsia="Times New Roman" w:hAnsiTheme="minorHAnsi" w:cs="Calibri"/>
                <w:color w:val="000000"/>
                <w:kern w:val="0"/>
                <w:sz w:val="20"/>
                <w:lang w:eastAsia="en-IE"/>
              </w:rPr>
            </w:pPr>
            <w:r>
              <w:rPr>
                <w:rFonts w:asciiTheme="minorHAnsi" w:eastAsia="Times New Roman" w:hAnsiTheme="minorHAnsi" w:cs="Calibri"/>
                <w:color w:val="000000"/>
                <w:kern w:val="0"/>
                <w:sz w:val="20"/>
                <w:lang w:val="en-IE" w:eastAsia="en-IE"/>
              </w:rPr>
              <w:t>A</w:t>
            </w:r>
            <w:r w:rsidRPr="00A210B2">
              <w:rPr>
                <w:rFonts w:asciiTheme="minorHAnsi" w:eastAsia="Times New Roman" w:hAnsiTheme="minorHAnsi" w:cs="Calibri"/>
                <w:color w:val="000000"/>
                <w:kern w:val="0"/>
                <w:sz w:val="20"/>
                <w:lang w:val="en-IE" w:eastAsia="en-IE"/>
              </w:rPr>
              <w:t>s of end of the reference year.</w:t>
            </w:r>
          </w:p>
          <w:p w14:paraId="7DC7559F" w14:textId="77777777" w:rsidR="00A210B2" w:rsidRDefault="00A210B2" w:rsidP="00153BE7">
            <w:pPr>
              <w:spacing w:before="0" w:after="0" w:line="240" w:lineRule="auto"/>
              <w:jc w:val="both"/>
              <w:rPr>
                <w:rFonts w:asciiTheme="minorHAnsi" w:eastAsia="Times New Roman" w:hAnsiTheme="minorHAnsi" w:cs="Calibri"/>
                <w:color w:val="000000"/>
                <w:kern w:val="0"/>
                <w:sz w:val="20"/>
                <w:lang w:eastAsia="en-IE"/>
              </w:rPr>
            </w:pPr>
          </w:p>
          <w:p w14:paraId="778E604B" w14:textId="6A4FBAD5" w:rsidR="00153BE7" w:rsidRPr="00EC7C0A" w:rsidRDefault="00153BE7" w:rsidP="00153BE7">
            <w:pPr>
              <w:spacing w:before="0" w:after="0" w:line="240" w:lineRule="auto"/>
              <w:jc w:val="both"/>
              <w:rPr>
                <w:rFonts w:asciiTheme="minorHAnsi" w:eastAsia="Times New Roman" w:hAnsiTheme="minorHAnsi" w:cs="Calibri"/>
                <w:color w:val="000000"/>
                <w:kern w:val="0"/>
                <w:sz w:val="20"/>
                <w:lang w:eastAsia="en-IE"/>
              </w:rPr>
            </w:pPr>
            <w:r w:rsidRPr="00EC7C0A">
              <w:rPr>
                <w:rFonts w:asciiTheme="minorHAnsi" w:eastAsia="Times New Roman" w:hAnsiTheme="minorHAnsi" w:cs="Calibri"/>
                <w:color w:val="000000"/>
                <w:kern w:val="0"/>
                <w:sz w:val="20"/>
                <w:lang w:eastAsia="en-IE"/>
              </w:rPr>
              <w:t>A ‘high-risk activity’ should include, at least, the activities mentioned under Annex III</w:t>
            </w:r>
            <w:r w:rsidR="00702372">
              <w:rPr>
                <w:rFonts w:asciiTheme="minorHAnsi" w:eastAsia="Times New Roman" w:hAnsiTheme="minorHAnsi" w:cs="Calibri"/>
                <w:color w:val="000000"/>
                <w:kern w:val="0"/>
                <w:sz w:val="20"/>
                <w:lang w:eastAsia="en-IE"/>
              </w:rPr>
              <w:t xml:space="preserve"> of AMLR</w:t>
            </w:r>
            <w:r w:rsidRPr="00EC7C0A">
              <w:rPr>
                <w:rFonts w:asciiTheme="minorHAnsi" w:eastAsia="Times New Roman" w:hAnsiTheme="minorHAnsi" w:cs="Calibri"/>
                <w:color w:val="000000"/>
                <w:kern w:val="0"/>
                <w:sz w:val="20"/>
                <w:lang w:eastAsia="en-IE"/>
              </w:rPr>
              <w:t xml:space="preserve"> :</w:t>
            </w:r>
          </w:p>
          <w:p w14:paraId="0C405017" w14:textId="77777777" w:rsidR="00F329EB" w:rsidRDefault="00F329EB" w:rsidP="00153BE7">
            <w:pPr>
              <w:spacing w:before="0" w:after="0" w:line="240" w:lineRule="auto"/>
              <w:jc w:val="both"/>
              <w:rPr>
                <w:rFonts w:asciiTheme="minorHAnsi" w:eastAsia="Times New Roman" w:hAnsiTheme="minorHAnsi" w:cs="Calibri"/>
                <w:color w:val="000000"/>
                <w:kern w:val="0"/>
                <w:sz w:val="20"/>
                <w:lang w:val="en-IE" w:eastAsia="en-IE"/>
              </w:rPr>
            </w:pPr>
          </w:p>
          <w:p w14:paraId="2C1123D2" w14:textId="1DB38D4C" w:rsidR="00153BE7" w:rsidRPr="00EC7C0A" w:rsidRDefault="00153BE7" w:rsidP="00153BE7">
            <w:pPr>
              <w:spacing w:before="0" w:after="0" w:line="240" w:lineRule="auto"/>
              <w:jc w:val="both"/>
              <w:rPr>
                <w:rFonts w:asciiTheme="minorHAnsi" w:eastAsia="Times New Roman" w:hAnsiTheme="minorHAnsi" w:cs="Calibri"/>
                <w:color w:val="000000"/>
                <w:kern w:val="0"/>
                <w:sz w:val="20"/>
                <w:lang w:val="en-IE" w:eastAsia="en-IE"/>
              </w:rPr>
            </w:pPr>
            <w:r w:rsidRPr="00EC7C0A">
              <w:rPr>
                <w:rFonts w:asciiTheme="minorHAnsi" w:eastAsia="Times New Roman" w:hAnsiTheme="minorHAnsi" w:cs="Calibri"/>
                <w:color w:val="000000"/>
                <w:kern w:val="0"/>
                <w:sz w:val="20"/>
                <w:lang w:val="en-IE" w:eastAsia="en-IE"/>
              </w:rPr>
              <w:t>(1) Customer risk factors:</w:t>
            </w:r>
          </w:p>
          <w:p w14:paraId="2897EB75" w14:textId="06E46670" w:rsidR="00153BE7" w:rsidRPr="00EC7C0A" w:rsidRDefault="00153BE7" w:rsidP="004854E3">
            <w:pPr>
              <w:pStyle w:val="ListParagraph"/>
              <w:numPr>
                <w:ilvl w:val="0"/>
                <w:numId w:val="78"/>
              </w:numPr>
              <w:spacing w:before="0" w:after="0" w:line="240" w:lineRule="auto"/>
              <w:jc w:val="both"/>
              <w:rPr>
                <w:rFonts w:asciiTheme="minorHAnsi" w:eastAsia="Times New Roman" w:hAnsiTheme="minorHAnsi" w:cs="Calibri"/>
                <w:color w:val="000000"/>
                <w:kern w:val="0"/>
                <w:sz w:val="20"/>
                <w:lang w:val="en-IE" w:eastAsia="en-IE"/>
              </w:rPr>
            </w:pPr>
            <w:r w:rsidRPr="00EC7C0A">
              <w:rPr>
                <w:rFonts w:asciiTheme="minorHAnsi" w:eastAsia="Times New Roman" w:hAnsiTheme="minorHAnsi" w:cs="Calibri"/>
                <w:color w:val="000000"/>
                <w:kern w:val="0"/>
                <w:sz w:val="20"/>
                <w:lang w:val="en-IE" w:eastAsia="en-IE"/>
              </w:rPr>
              <w:t>the business relationship or occasional transaction is conducted in unusual circumstances;</w:t>
            </w:r>
          </w:p>
          <w:p w14:paraId="6730BBDF" w14:textId="4E7492A5" w:rsidR="00153BE7" w:rsidRPr="00EC7C0A" w:rsidRDefault="00153BE7" w:rsidP="004854E3">
            <w:pPr>
              <w:pStyle w:val="ListParagraph"/>
              <w:numPr>
                <w:ilvl w:val="0"/>
                <w:numId w:val="78"/>
              </w:numPr>
              <w:spacing w:before="0" w:after="0" w:line="240" w:lineRule="auto"/>
              <w:jc w:val="both"/>
              <w:rPr>
                <w:rFonts w:asciiTheme="minorHAnsi" w:eastAsia="Times New Roman" w:hAnsiTheme="minorHAnsi" w:cs="Calibri"/>
                <w:color w:val="000000"/>
                <w:kern w:val="0"/>
                <w:sz w:val="20"/>
                <w:lang w:val="en-IE" w:eastAsia="en-IE"/>
              </w:rPr>
            </w:pPr>
            <w:r w:rsidRPr="00EC7C0A">
              <w:rPr>
                <w:rFonts w:asciiTheme="minorHAnsi" w:eastAsia="Times New Roman" w:hAnsiTheme="minorHAnsi" w:cs="Calibri"/>
                <w:color w:val="000000"/>
                <w:kern w:val="0"/>
                <w:sz w:val="20"/>
                <w:lang w:val="en-IE" w:eastAsia="en-IE"/>
              </w:rPr>
              <w:t>customers that are resident in geographical areas of higher risk as set out in point (3);</w:t>
            </w:r>
          </w:p>
          <w:p w14:paraId="53A44815" w14:textId="38D04CF2" w:rsidR="00153BE7" w:rsidRPr="00EC7C0A" w:rsidRDefault="00153BE7" w:rsidP="004854E3">
            <w:pPr>
              <w:pStyle w:val="ListParagraph"/>
              <w:numPr>
                <w:ilvl w:val="0"/>
                <w:numId w:val="78"/>
              </w:numPr>
              <w:spacing w:before="0" w:after="0" w:line="240" w:lineRule="auto"/>
              <w:jc w:val="both"/>
              <w:rPr>
                <w:rFonts w:asciiTheme="minorHAnsi" w:eastAsia="Times New Roman" w:hAnsiTheme="minorHAnsi" w:cs="Calibri"/>
                <w:color w:val="000000"/>
                <w:kern w:val="0"/>
                <w:sz w:val="20"/>
                <w:lang w:val="en-IE" w:eastAsia="en-IE"/>
              </w:rPr>
            </w:pPr>
            <w:r w:rsidRPr="00EC7C0A">
              <w:rPr>
                <w:rFonts w:asciiTheme="minorHAnsi" w:eastAsia="Times New Roman" w:hAnsiTheme="minorHAnsi" w:cs="Calibri"/>
                <w:color w:val="000000"/>
                <w:kern w:val="0"/>
                <w:sz w:val="20"/>
                <w:lang w:val="en-IE" w:eastAsia="en-IE"/>
              </w:rPr>
              <w:t>legal persons or legal arrangements that are personal asset-holding vehicles;</w:t>
            </w:r>
          </w:p>
          <w:p w14:paraId="606E20F3" w14:textId="4ECD5A61" w:rsidR="00153BE7" w:rsidRPr="00EC7C0A" w:rsidRDefault="00153BE7" w:rsidP="004854E3">
            <w:pPr>
              <w:pStyle w:val="ListParagraph"/>
              <w:numPr>
                <w:ilvl w:val="0"/>
                <w:numId w:val="78"/>
              </w:numPr>
              <w:spacing w:before="0" w:after="0" w:line="240" w:lineRule="auto"/>
              <w:jc w:val="both"/>
              <w:rPr>
                <w:rFonts w:asciiTheme="minorHAnsi" w:eastAsia="Times New Roman" w:hAnsiTheme="minorHAnsi" w:cs="Calibri"/>
                <w:color w:val="000000"/>
                <w:kern w:val="0"/>
                <w:sz w:val="20"/>
                <w:lang w:val="en-IE" w:eastAsia="en-IE"/>
              </w:rPr>
            </w:pPr>
            <w:r w:rsidRPr="00EC7C0A">
              <w:rPr>
                <w:rFonts w:asciiTheme="minorHAnsi" w:eastAsia="Times New Roman" w:hAnsiTheme="minorHAnsi" w:cs="Calibri"/>
                <w:color w:val="000000"/>
                <w:kern w:val="0"/>
                <w:sz w:val="20"/>
                <w:lang w:val="en-IE" w:eastAsia="en-IE"/>
              </w:rPr>
              <w:t>corporate entities that have nominee shareholders or shares in bearer form;</w:t>
            </w:r>
          </w:p>
          <w:p w14:paraId="7BF2E383" w14:textId="56AB24BD" w:rsidR="00153BE7" w:rsidRPr="00EC7C0A" w:rsidRDefault="00153BE7" w:rsidP="004854E3">
            <w:pPr>
              <w:pStyle w:val="ListParagraph"/>
              <w:numPr>
                <w:ilvl w:val="0"/>
                <w:numId w:val="78"/>
              </w:numPr>
              <w:spacing w:before="0" w:after="0" w:line="240" w:lineRule="auto"/>
              <w:jc w:val="both"/>
              <w:rPr>
                <w:rFonts w:asciiTheme="minorHAnsi" w:eastAsia="Times New Roman" w:hAnsiTheme="minorHAnsi" w:cs="Calibri"/>
                <w:color w:val="000000"/>
                <w:kern w:val="0"/>
                <w:sz w:val="20"/>
                <w:lang w:val="en-IE" w:eastAsia="en-IE"/>
              </w:rPr>
            </w:pPr>
            <w:r w:rsidRPr="00EC7C0A">
              <w:rPr>
                <w:rFonts w:asciiTheme="minorHAnsi" w:eastAsia="Times New Roman" w:hAnsiTheme="minorHAnsi" w:cs="Calibri"/>
                <w:color w:val="000000"/>
                <w:kern w:val="0"/>
                <w:sz w:val="20"/>
                <w:lang w:val="en-IE" w:eastAsia="en-IE"/>
              </w:rPr>
              <w:t>businesses that are cash-intensive;</w:t>
            </w:r>
          </w:p>
          <w:p w14:paraId="300F259B" w14:textId="24262CE7" w:rsidR="00153BE7" w:rsidRPr="00EC7C0A" w:rsidRDefault="00153BE7" w:rsidP="004854E3">
            <w:pPr>
              <w:pStyle w:val="ListParagraph"/>
              <w:numPr>
                <w:ilvl w:val="0"/>
                <w:numId w:val="78"/>
              </w:numPr>
              <w:spacing w:before="0" w:after="0" w:line="240" w:lineRule="auto"/>
              <w:jc w:val="both"/>
              <w:rPr>
                <w:rFonts w:asciiTheme="minorHAnsi" w:eastAsia="Times New Roman" w:hAnsiTheme="minorHAnsi" w:cs="Calibri"/>
                <w:color w:val="000000"/>
                <w:kern w:val="0"/>
                <w:sz w:val="20"/>
                <w:lang w:val="en-IE" w:eastAsia="en-IE"/>
              </w:rPr>
            </w:pPr>
            <w:r w:rsidRPr="00EC7C0A">
              <w:rPr>
                <w:rFonts w:asciiTheme="minorHAnsi" w:eastAsia="Times New Roman" w:hAnsiTheme="minorHAnsi" w:cs="Calibri"/>
                <w:color w:val="000000"/>
                <w:kern w:val="0"/>
                <w:sz w:val="20"/>
                <w:lang w:val="en-IE" w:eastAsia="en-IE"/>
              </w:rPr>
              <w:t>the ownership structure of the company appears unusual or excessively complex given the nature of the company’s business;</w:t>
            </w:r>
          </w:p>
          <w:p w14:paraId="50227F74" w14:textId="602249C6" w:rsidR="00153BE7" w:rsidRPr="00EC7C0A" w:rsidRDefault="00153BE7" w:rsidP="004854E3">
            <w:pPr>
              <w:pStyle w:val="ListParagraph"/>
              <w:numPr>
                <w:ilvl w:val="0"/>
                <w:numId w:val="78"/>
              </w:numPr>
              <w:spacing w:before="0" w:after="0" w:line="240" w:lineRule="auto"/>
              <w:jc w:val="both"/>
              <w:rPr>
                <w:rFonts w:asciiTheme="minorHAnsi" w:eastAsia="Times New Roman" w:hAnsiTheme="minorHAnsi" w:cs="Calibri"/>
                <w:color w:val="000000"/>
                <w:kern w:val="0"/>
                <w:sz w:val="20"/>
                <w:lang w:val="en-IE" w:eastAsia="en-IE"/>
              </w:rPr>
            </w:pPr>
            <w:r w:rsidRPr="00EC7C0A">
              <w:rPr>
                <w:rFonts w:asciiTheme="minorHAnsi" w:eastAsia="Times New Roman" w:hAnsiTheme="minorHAnsi" w:cs="Calibri"/>
                <w:color w:val="000000"/>
                <w:kern w:val="0"/>
                <w:sz w:val="20"/>
                <w:lang w:val="en-IE" w:eastAsia="en-IE"/>
              </w:rPr>
              <w:t xml:space="preserve">customer is a third-country national who applies for residence rights in a Member State in exchange of any kind of investment, including capital transfers, purchase or renting of property, investment in government bonds, </w:t>
            </w:r>
          </w:p>
          <w:p w14:paraId="56805E4E" w14:textId="0C033FCE" w:rsidR="00153BE7" w:rsidRPr="00EC7C0A" w:rsidRDefault="00153BE7" w:rsidP="004854E3">
            <w:pPr>
              <w:pStyle w:val="ListParagraph"/>
              <w:numPr>
                <w:ilvl w:val="0"/>
                <w:numId w:val="78"/>
              </w:numPr>
              <w:spacing w:before="0" w:after="0" w:line="240" w:lineRule="auto"/>
              <w:jc w:val="both"/>
              <w:rPr>
                <w:rFonts w:asciiTheme="minorHAnsi" w:eastAsia="Times New Roman" w:hAnsiTheme="minorHAnsi" w:cs="Calibri"/>
                <w:color w:val="000000"/>
                <w:kern w:val="0"/>
                <w:sz w:val="20"/>
                <w:lang w:val="en-IE" w:eastAsia="en-IE"/>
              </w:rPr>
            </w:pPr>
            <w:r w:rsidRPr="00EC7C0A">
              <w:rPr>
                <w:rFonts w:asciiTheme="minorHAnsi" w:eastAsia="Times New Roman" w:hAnsiTheme="minorHAnsi" w:cs="Calibri"/>
                <w:color w:val="000000"/>
                <w:kern w:val="0"/>
                <w:sz w:val="20"/>
                <w:lang w:val="en-IE" w:eastAsia="en-IE"/>
              </w:rPr>
              <w:t xml:space="preserve">investment in corporate entities, donation or endowment of an activity contributing to the public good and </w:t>
            </w:r>
            <w:r w:rsidR="00837ACA">
              <w:rPr>
                <w:rFonts w:asciiTheme="minorHAnsi" w:eastAsia="Times New Roman" w:hAnsiTheme="minorHAnsi" w:cs="Calibri"/>
                <w:color w:val="000000"/>
                <w:kern w:val="0"/>
                <w:sz w:val="20"/>
                <w:lang w:val="en-IE" w:eastAsia="en-IE"/>
              </w:rPr>
              <w:t>contributions to the state budget;</w:t>
            </w:r>
          </w:p>
          <w:p w14:paraId="6A89B5EE" w14:textId="11C14277" w:rsidR="00153BE7" w:rsidRPr="00EC7C0A" w:rsidRDefault="00153BE7" w:rsidP="004854E3">
            <w:pPr>
              <w:pStyle w:val="ListParagraph"/>
              <w:numPr>
                <w:ilvl w:val="0"/>
                <w:numId w:val="78"/>
              </w:numPr>
              <w:spacing w:before="0" w:after="0" w:line="240" w:lineRule="auto"/>
              <w:jc w:val="both"/>
              <w:rPr>
                <w:rFonts w:asciiTheme="minorHAnsi" w:eastAsia="Times New Roman" w:hAnsiTheme="minorHAnsi" w:cs="Calibri"/>
                <w:color w:val="000000"/>
                <w:kern w:val="0"/>
                <w:sz w:val="20"/>
                <w:lang w:val="en-IE" w:eastAsia="en-IE"/>
              </w:rPr>
            </w:pPr>
            <w:r w:rsidRPr="00EC7C0A">
              <w:rPr>
                <w:rFonts w:asciiTheme="minorHAnsi" w:eastAsia="Times New Roman" w:hAnsiTheme="minorHAnsi" w:cs="Calibri"/>
                <w:color w:val="000000"/>
                <w:kern w:val="0"/>
                <w:sz w:val="20"/>
                <w:lang w:val="en-IE" w:eastAsia="en-IE"/>
              </w:rPr>
              <w:t>customer is a legal entity or arrangement created or set up in a jurisdiction in which it has no real economic activity</w:t>
            </w:r>
            <w:r w:rsidR="00A81ADB">
              <w:rPr>
                <w:rFonts w:asciiTheme="minorHAnsi" w:eastAsia="Times New Roman" w:hAnsiTheme="minorHAnsi" w:cs="Calibri"/>
                <w:color w:val="000000"/>
                <w:kern w:val="0"/>
                <w:sz w:val="20"/>
                <w:lang w:val="en-IE" w:eastAsia="en-IE"/>
              </w:rPr>
              <w:t>;</w:t>
            </w:r>
            <w:r w:rsidRPr="00EC7C0A">
              <w:rPr>
                <w:rFonts w:asciiTheme="minorHAnsi" w:eastAsia="Times New Roman" w:hAnsiTheme="minorHAnsi" w:cs="Calibri"/>
                <w:color w:val="000000"/>
                <w:kern w:val="0"/>
                <w:sz w:val="20"/>
                <w:lang w:val="en-IE" w:eastAsia="en-IE"/>
              </w:rPr>
              <w:t xml:space="preserve"> </w:t>
            </w:r>
          </w:p>
          <w:p w14:paraId="40155CAE" w14:textId="77777777" w:rsidR="00153BE7" w:rsidRPr="00EC7C0A" w:rsidRDefault="00153BE7" w:rsidP="004854E3">
            <w:pPr>
              <w:pStyle w:val="ListParagraph"/>
              <w:numPr>
                <w:ilvl w:val="0"/>
                <w:numId w:val="78"/>
              </w:numPr>
              <w:spacing w:before="0" w:after="0" w:line="240" w:lineRule="auto"/>
              <w:jc w:val="both"/>
              <w:rPr>
                <w:rFonts w:asciiTheme="minorHAnsi" w:eastAsia="Times New Roman" w:hAnsiTheme="minorHAnsi" w:cs="Calibri"/>
                <w:color w:val="000000"/>
                <w:kern w:val="0"/>
                <w:sz w:val="20"/>
                <w:lang w:val="en-IE" w:eastAsia="en-IE"/>
              </w:rPr>
            </w:pPr>
            <w:r w:rsidRPr="00EC7C0A">
              <w:rPr>
                <w:rFonts w:asciiTheme="minorHAnsi" w:eastAsia="Times New Roman" w:hAnsiTheme="minorHAnsi" w:cs="Calibri"/>
                <w:color w:val="000000"/>
                <w:kern w:val="0"/>
                <w:sz w:val="20"/>
                <w:lang w:val="en-IE" w:eastAsia="en-IE"/>
              </w:rPr>
              <w:t>substantial economic presence or apparent economic rationale;</w:t>
            </w:r>
          </w:p>
          <w:p w14:paraId="0E91444C" w14:textId="5A005442" w:rsidR="00153BE7" w:rsidRPr="00EC7C0A" w:rsidRDefault="00153BE7" w:rsidP="004854E3">
            <w:pPr>
              <w:pStyle w:val="ListParagraph"/>
              <w:numPr>
                <w:ilvl w:val="0"/>
                <w:numId w:val="78"/>
              </w:numPr>
              <w:spacing w:before="0" w:after="0" w:line="240" w:lineRule="auto"/>
              <w:jc w:val="both"/>
              <w:rPr>
                <w:rFonts w:asciiTheme="minorHAnsi" w:eastAsia="Times New Roman" w:hAnsiTheme="minorHAnsi" w:cs="Calibri"/>
                <w:color w:val="000000"/>
                <w:kern w:val="0"/>
                <w:sz w:val="20"/>
                <w:lang w:val="en-IE" w:eastAsia="en-IE"/>
              </w:rPr>
            </w:pPr>
            <w:r w:rsidRPr="00EC7C0A">
              <w:rPr>
                <w:rFonts w:asciiTheme="minorHAnsi" w:eastAsia="Times New Roman" w:hAnsiTheme="minorHAnsi" w:cs="Calibri"/>
                <w:color w:val="000000"/>
                <w:kern w:val="0"/>
                <w:sz w:val="20"/>
                <w:lang w:val="en-IE" w:eastAsia="en-IE"/>
              </w:rPr>
              <w:t>customer is directly or indirectly owned by one or several entities or arrangements under point (h);</w:t>
            </w:r>
          </w:p>
          <w:p w14:paraId="1DDDAC26" w14:textId="77777777" w:rsidR="00F329EB" w:rsidRDefault="00F329EB" w:rsidP="00153BE7">
            <w:pPr>
              <w:spacing w:before="0" w:after="0" w:line="240" w:lineRule="auto"/>
              <w:jc w:val="both"/>
              <w:rPr>
                <w:rFonts w:asciiTheme="minorHAnsi" w:eastAsia="Times New Roman" w:hAnsiTheme="minorHAnsi" w:cs="Calibri"/>
                <w:color w:val="000000"/>
                <w:kern w:val="0"/>
                <w:sz w:val="20"/>
                <w:lang w:val="en-IE" w:eastAsia="en-IE"/>
              </w:rPr>
            </w:pPr>
          </w:p>
          <w:p w14:paraId="75F5DD37" w14:textId="1A4D2DAB" w:rsidR="00153BE7" w:rsidRPr="00EC7C0A" w:rsidRDefault="00153BE7" w:rsidP="00153BE7">
            <w:pPr>
              <w:spacing w:before="0" w:after="0" w:line="240" w:lineRule="auto"/>
              <w:jc w:val="both"/>
              <w:rPr>
                <w:rFonts w:asciiTheme="minorHAnsi" w:eastAsia="Times New Roman" w:hAnsiTheme="minorHAnsi" w:cs="Calibri"/>
                <w:color w:val="000000"/>
                <w:kern w:val="0"/>
                <w:sz w:val="20"/>
                <w:lang w:val="en-IE" w:eastAsia="en-IE"/>
              </w:rPr>
            </w:pPr>
            <w:r w:rsidRPr="00EC7C0A">
              <w:rPr>
                <w:rFonts w:asciiTheme="minorHAnsi" w:eastAsia="Times New Roman" w:hAnsiTheme="minorHAnsi" w:cs="Calibri"/>
                <w:color w:val="000000"/>
                <w:kern w:val="0"/>
                <w:sz w:val="20"/>
                <w:lang w:val="en-IE" w:eastAsia="en-IE"/>
              </w:rPr>
              <w:t>(2) Product, service, transaction or delivery channel risk factors:</w:t>
            </w:r>
          </w:p>
          <w:p w14:paraId="74347D5D" w14:textId="6FFC24E8" w:rsidR="00153BE7" w:rsidRPr="00EC7C0A" w:rsidRDefault="00153BE7" w:rsidP="00186951">
            <w:pPr>
              <w:pStyle w:val="ListParagraph"/>
              <w:numPr>
                <w:ilvl w:val="0"/>
                <w:numId w:val="132"/>
              </w:numPr>
              <w:spacing w:before="0" w:after="0" w:line="240" w:lineRule="auto"/>
              <w:jc w:val="both"/>
              <w:rPr>
                <w:rFonts w:asciiTheme="minorHAnsi" w:eastAsia="Times New Roman" w:hAnsiTheme="minorHAnsi" w:cs="Calibri"/>
                <w:color w:val="000000"/>
                <w:kern w:val="0"/>
                <w:sz w:val="20"/>
                <w:lang w:val="en-IE" w:eastAsia="en-IE"/>
              </w:rPr>
            </w:pPr>
            <w:r w:rsidRPr="00EC7C0A">
              <w:rPr>
                <w:rFonts w:asciiTheme="minorHAnsi" w:eastAsia="Times New Roman" w:hAnsiTheme="minorHAnsi" w:cs="Calibri"/>
                <w:color w:val="000000"/>
                <w:kern w:val="0"/>
                <w:sz w:val="20"/>
                <w:lang w:val="en-IE" w:eastAsia="en-IE"/>
              </w:rPr>
              <w:t>private banking;</w:t>
            </w:r>
          </w:p>
          <w:p w14:paraId="1CBA58B1" w14:textId="29D6C3B6" w:rsidR="00153BE7" w:rsidRPr="00EC7C0A" w:rsidRDefault="00153BE7" w:rsidP="00186951">
            <w:pPr>
              <w:pStyle w:val="ListParagraph"/>
              <w:numPr>
                <w:ilvl w:val="0"/>
                <w:numId w:val="132"/>
              </w:numPr>
              <w:spacing w:before="0" w:after="0" w:line="240" w:lineRule="auto"/>
              <w:jc w:val="both"/>
              <w:rPr>
                <w:rFonts w:asciiTheme="minorHAnsi" w:eastAsia="Times New Roman" w:hAnsiTheme="minorHAnsi" w:cs="Calibri"/>
                <w:color w:val="000000"/>
                <w:kern w:val="0"/>
                <w:sz w:val="20"/>
                <w:lang w:val="en-IE" w:eastAsia="en-IE"/>
              </w:rPr>
            </w:pPr>
            <w:r w:rsidRPr="00EC7C0A">
              <w:rPr>
                <w:rFonts w:asciiTheme="minorHAnsi" w:eastAsia="Times New Roman" w:hAnsiTheme="minorHAnsi" w:cs="Calibri"/>
                <w:color w:val="000000"/>
                <w:kern w:val="0"/>
                <w:sz w:val="20"/>
                <w:lang w:val="en-IE" w:eastAsia="en-IE"/>
              </w:rPr>
              <w:t>products or transactions that might favour anonymity;</w:t>
            </w:r>
          </w:p>
          <w:p w14:paraId="33E9342D" w14:textId="0FEEBF09" w:rsidR="00153BE7" w:rsidRPr="00EC7C0A" w:rsidRDefault="00153BE7" w:rsidP="00186951">
            <w:pPr>
              <w:pStyle w:val="ListParagraph"/>
              <w:numPr>
                <w:ilvl w:val="0"/>
                <w:numId w:val="132"/>
              </w:numPr>
              <w:spacing w:before="0" w:after="0" w:line="240" w:lineRule="auto"/>
              <w:jc w:val="both"/>
              <w:rPr>
                <w:rFonts w:asciiTheme="minorHAnsi" w:eastAsia="Times New Roman" w:hAnsiTheme="minorHAnsi" w:cs="Calibri"/>
                <w:color w:val="000000"/>
                <w:kern w:val="0"/>
                <w:sz w:val="20"/>
                <w:lang w:val="en-IE" w:eastAsia="en-IE"/>
              </w:rPr>
            </w:pPr>
            <w:r w:rsidRPr="00EC7C0A">
              <w:rPr>
                <w:rFonts w:asciiTheme="minorHAnsi" w:eastAsia="Times New Roman" w:hAnsiTheme="minorHAnsi" w:cs="Calibri"/>
                <w:color w:val="000000"/>
                <w:kern w:val="0"/>
                <w:sz w:val="20"/>
                <w:lang w:val="en-IE" w:eastAsia="en-IE"/>
              </w:rPr>
              <w:t>payment received from unknown or unassociated third parties;</w:t>
            </w:r>
          </w:p>
          <w:p w14:paraId="14836CD4" w14:textId="2D43B85B" w:rsidR="00153BE7" w:rsidRPr="00EC7C0A" w:rsidRDefault="00153BE7" w:rsidP="00186951">
            <w:pPr>
              <w:pStyle w:val="ListParagraph"/>
              <w:numPr>
                <w:ilvl w:val="0"/>
                <w:numId w:val="132"/>
              </w:numPr>
              <w:spacing w:before="0" w:after="0" w:line="240" w:lineRule="auto"/>
              <w:jc w:val="both"/>
              <w:rPr>
                <w:rFonts w:asciiTheme="minorHAnsi" w:eastAsia="Times New Roman" w:hAnsiTheme="minorHAnsi" w:cs="Calibri"/>
                <w:color w:val="000000"/>
                <w:kern w:val="0"/>
                <w:sz w:val="20"/>
                <w:lang w:val="en-IE" w:eastAsia="en-IE"/>
              </w:rPr>
            </w:pPr>
            <w:r w:rsidRPr="00EC7C0A">
              <w:rPr>
                <w:rFonts w:asciiTheme="minorHAnsi" w:eastAsia="Times New Roman" w:hAnsiTheme="minorHAnsi" w:cs="Calibri"/>
                <w:color w:val="000000"/>
                <w:kern w:val="0"/>
                <w:sz w:val="20"/>
                <w:lang w:val="en-IE" w:eastAsia="en-IE"/>
              </w:rPr>
              <w:t>new products and new business practices, including new delivery mechanism, and the use of new or developing technologies for both new and pre-existing products;</w:t>
            </w:r>
          </w:p>
          <w:p w14:paraId="10F2C9A0" w14:textId="45B7EAA9" w:rsidR="00153BE7" w:rsidRPr="00EC7C0A" w:rsidRDefault="00153BE7" w:rsidP="00186951">
            <w:pPr>
              <w:pStyle w:val="ListParagraph"/>
              <w:numPr>
                <w:ilvl w:val="0"/>
                <w:numId w:val="132"/>
              </w:numPr>
              <w:spacing w:before="0" w:after="0" w:line="240" w:lineRule="auto"/>
              <w:jc w:val="both"/>
              <w:rPr>
                <w:rFonts w:asciiTheme="minorHAnsi" w:eastAsia="Times New Roman" w:hAnsiTheme="minorHAnsi" w:cs="Calibri"/>
                <w:color w:val="000000"/>
                <w:kern w:val="0"/>
                <w:sz w:val="20"/>
                <w:lang w:val="en-IE" w:eastAsia="en-IE"/>
              </w:rPr>
            </w:pPr>
            <w:r w:rsidRPr="00EC7C0A">
              <w:rPr>
                <w:rFonts w:asciiTheme="minorHAnsi" w:eastAsia="Times New Roman" w:hAnsiTheme="minorHAnsi" w:cs="Calibri"/>
                <w:color w:val="000000"/>
                <w:kern w:val="0"/>
                <w:sz w:val="20"/>
                <w:lang w:val="en-IE" w:eastAsia="en-IE"/>
              </w:rPr>
              <w:t>transactions related to oil, arms, precious metals or stones, tobacco products, cultural artefacts and other items of archaeological, historical, cultural and religious importance, or of rare scientific value, as well as ivory and protected species;</w:t>
            </w:r>
          </w:p>
          <w:p w14:paraId="1ECE8AA9" w14:textId="77777777" w:rsidR="00F329EB" w:rsidRDefault="00F329EB" w:rsidP="00153BE7">
            <w:pPr>
              <w:spacing w:before="0" w:after="0" w:line="240" w:lineRule="auto"/>
              <w:jc w:val="both"/>
              <w:rPr>
                <w:rFonts w:asciiTheme="minorHAnsi" w:eastAsia="Times New Roman" w:hAnsiTheme="minorHAnsi" w:cs="Calibri"/>
                <w:color w:val="000000"/>
                <w:kern w:val="0"/>
                <w:sz w:val="20"/>
                <w:lang w:val="en-IE" w:eastAsia="en-IE"/>
              </w:rPr>
            </w:pPr>
          </w:p>
          <w:p w14:paraId="4D2DB2FA" w14:textId="5C21FC07" w:rsidR="00153BE7" w:rsidRPr="00EC7C0A" w:rsidRDefault="00153BE7" w:rsidP="00153BE7">
            <w:pPr>
              <w:spacing w:before="0" w:after="0" w:line="240" w:lineRule="auto"/>
              <w:jc w:val="both"/>
              <w:rPr>
                <w:rFonts w:asciiTheme="minorHAnsi" w:eastAsia="Times New Roman" w:hAnsiTheme="minorHAnsi" w:cs="Calibri"/>
                <w:color w:val="000000"/>
                <w:kern w:val="0"/>
                <w:sz w:val="20"/>
                <w:lang w:val="en-IE" w:eastAsia="en-IE"/>
              </w:rPr>
            </w:pPr>
            <w:r w:rsidRPr="00EC7C0A">
              <w:rPr>
                <w:rFonts w:asciiTheme="minorHAnsi" w:eastAsia="Times New Roman" w:hAnsiTheme="minorHAnsi" w:cs="Calibri"/>
                <w:color w:val="000000"/>
                <w:kern w:val="0"/>
                <w:sz w:val="20"/>
                <w:lang w:val="en-IE" w:eastAsia="en-IE"/>
              </w:rPr>
              <w:t>(3) Geographical risk factors:</w:t>
            </w:r>
          </w:p>
          <w:p w14:paraId="6D37EEF8" w14:textId="68AB1EC5" w:rsidR="00153BE7" w:rsidRPr="00EC7C0A" w:rsidRDefault="00153BE7" w:rsidP="004854E3">
            <w:pPr>
              <w:pStyle w:val="ListParagraph"/>
              <w:numPr>
                <w:ilvl w:val="0"/>
                <w:numId w:val="80"/>
              </w:numPr>
              <w:spacing w:before="0" w:after="0" w:line="240" w:lineRule="auto"/>
              <w:jc w:val="both"/>
              <w:rPr>
                <w:rFonts w:asciiTheme="minorHAnsi" w:eastAsia="Times New Roman" w:hAnsiTheme="minorHAnsi" w:cs="Calibri"/>
                <w:color w:val="000000"/>
                <w:kern w:val="0"/>
                <w:sz w:val="20"/>
                <w:lang w:val="en-IE" w:eastAsia="en-IE"/>
              </w:rPr>
            </w:pPr>
            <w:r w:rsidRPr="00EC7C0A">
              <w:rPr>
                <w:rFonts w:asciiTheme="minorHAnsi" w:eastAsia="Times New Roman" w:hAnsiTheme="minorHAnsi" w:cs="Calibri"/>
                <w:color w:val="000000"/>
                <w:kern w:val="0"/>
                <w:sz w:val="20"/>
                <w:lang w:val="en-IE" w:eastAsia="en-IE"/>
              </w:rPr>
              <w:t>third countries subject to increased monitoring or otherwise identified by the FATF due to the compliance weaknesses in their AML/CFT systems;</w:t>
            </w:r>
          </w:p>
          <w:p w14:paraId="15D78B3E" w14:textId="40474E8B" w:rsidR="00153BE7" w:rsidRPr="00EC7C0A" w:rsidRDefault="00153BE7" w:rsidP="004854E3">
            <w:pPr>
              <w:pStyle w:val="ListParagraph"/>
              <w:numPr>
                <w:ilvl w:val="0"/>
                <w:numId w:val="80"/>
              </w:numPr>
              <w:spacing w:before="0" w:after="0" w:line="240" w:lineRule="auto"/>
              <w:jc w:val="both"/>
              <w:rPr>
                <w:rFonts w:asciiTheme="minorHAnsi" w:eastAsia="Times New Roman" w:hAnsiTheme="minorHAnsi" w:cs="Calibri"/>
                <w:color w:val="000000"/>
                <w:kern w:val="0"/>
                <w:sz w:val="20"/>
                <w:lang w:val="en-IE" w:eastAsia="en-IE"/>
              </w:rPr>
            </w:pPr>
            <w:r w:rsidRPr="00EC7C0A">
              <w:rPr>
                <w:rFonts w:asciiTheme="minorHAnsi" w:eastAsia="Times New Roman" w:hAnsiTheme="minorHAnsi" w:cs="Calibri"/>
                <w:color w:val="000000"/>
                <w:kern w:val="0"/>
                <w:sz w:val="20"/>
                <w:lang w:val="en-IE" w:eastAsia="en-IE"/>
              </w:rPr>
              <w:t>third countries identified by credible sources/acknowledged processes, such as mutual evaluations, detailed assessment reports or published follow-up reports, as not having effective AML/CFT systems;</w:t>
            </w:r>
          </w:p>
          <w:p w14:paraId="090599C6" w14:textId="436EB7EA" w:rsidR="00153BE7" w:rsidRDefault="00153BE7" w:rsidP="004854E3">
            <w:pPr>
              <w:pStyle w:val="ListParagraph"/>
              <w:numPr>
                <w:ilvl w:val="0"/>
                <w:numId w:val="80"/>
              </w:numPr>
              <w:spacing w:before="0" w:after="0" w:line="240" w:lineRule="auto"/>
              <w:jc w:val="both"/>
              <w:rPr>
                <w:rFonts w:asciiTheme="minorHAnsi" w:eastAsia="Times New Roman" w:hAnsiTheme="minorHAnsi" w:cs="Calibri"/>
                <w:color w:val="000000"/>
                <w:kern w:val="0"/>
                <w:sz w:val="20"/>
                <w:lang w:val="en-IE" w:eastAsia="en-IE"/>
              </w:rPr>
            </w:pPr>
            <w:r w:rsidRPr="00EC7C0A">
              <w:rPr>
                <w:rFonts w:asciiTheme="minorHAnsi" w:eastAsia="Times New Roman" w:hAnsiTheme="minorHAnsi" w:cs="Calibri"/>
                <w:color w:val="000000"/>
                <w:kern w:val="0"/>
                <w:sz w:val="20"/>
                <w:lang w:val="en-IE" w:eastAsia="en-IE"/>
              </w:rPr>
              <w:t>third countries identified by credible sources/acknowledged processes as having significant levels of corruption or other criminal activity.</w:t>
            </w:r>
          </w:p>
          <w:p w14:paraId="32CC5AAF" w14:textId="77777777" w:rsidR="00F12415" w:rsidRDefault="00F12415" w:rsidP="00F12415">
            <w:pPr>
              <w:spacing w:before="0" w:after="0" w:line="240" w:lineRule="auto"/>
              <w:jc w:val="both"/>
              <w:rPr>
                <w:rFonts w:asciiTheme="minorHAnsi" w:eastAsia="Times New Roman" w:hAnsiTheme="minorHAnsi" w:cs="Calibri"/>
                <w:color w:val="000000"/>
                <w:kern w:val="0"/>
                <w:sz w:val="20"/>
                <w:lang w:val="en-IE" w:eastAsia="en-IE"/>
              </w:rPr>
            </w:pPr>
          </w:p>
          <w:p w14:paraId="3496C02B" w14:textId="77777777" w:rsidR="00C15C6C" w:rsidRPr="00003055" w:rsidRDefault="34B7546C" w:rsidP="000D21D1">
            <w:pPr>
              <w:spacing w:before="0" w:after="0" w:line="240" w:lineRule="auto"/>
              <w:jc w:val="both"/>
              <w:rPr>
                <w:rFonts w:asciiTheme="minorHAnsi" w:eastAsia="Times New Roman" w:hAnsiTheme="minorHAnsi" w:cs="Calibri"/>
                <w:color w:val="000000" w:themeColor="text1"/>
                <w:sz w:val="20"/>
                <w:lang w:val="en-IE" w:eastAsia="en-IE"/>
              </w:rPr>
            </w:pPr>
            <w:r w:rsidRPr="00003055">
              <w:rPr>
                <w:rFonts w:asciiTheme="minorHAnsi" w:eastAsia="Times New Roman" w:hAnsiTheme="minorHAnsi" w:cs="Calibri"/>
                <w:color w:val="000000" w:themeColor="text1"/>
                <w:sz w:val="20"/>
                <w:lang w:val="en-IE" w:eastAsia="en-IE"/>
              </w:rPr>
              <w:t>Indicate number of customers with at least one high-risk activity during the reference year.</w:t>
            </w:r>
          </w:p>
          <w:p w14:paraId="1BE975BB" w14:textId="77777777" w:rsidR="00E47574" w:rsidRPr="00003055" w:rsidRDefault="00E47574" w:rsidP="000D21D1">
            <w:pPr>
              <w:spacing w:before="0" w:after="0" w:line="240" w:lineRule="auto"/>
              <w:jc w:val="both"/>
              <w:rPr>
                <w:rFonts w:asciiTheme="minorHAnsi" w:eastAsia="Times New Roman" w:hAnsiTheme="minorHAnsi" w:cs="Calibri"/>
                <w:color w:val="000000" w:themeColor="text1"/>
                <w:sz w:val="20"/>
                <w:lang w:val="en-IE" w:eastAsia="en-IE"/>
              </w:rPr>
            </w:pPr>
          </w:p>
          <w:p w14:paraId="76A72C6F" w14:textId="0AC3D049" w:rsidR="00C15C6C" w:rsidRPr="002F736E" w:rsidRDefault="00E47574" w:rsidP="000D21D1">
            <w:pPr>
              <w:spacing w:before="0" w:after="0" w:line="240" w:lineRule="auto"/>
              <w:jc w:val="both"/>
              <w:rPr>
                <w:rFonts w:asciiTheme="minorHAnsi" w:eastAsia="Times New Roman" w:hAnsiTheme="minorHAnsi" w:cs="Calibri"/>
                <w:color w:val="000000"/>
                <w:kern w:val="0"/>
                <w:sz w:val="20"/>
                <w:u w:val="single"/>
                <w:lang w:val="en-IE" w:eastAsia="en-IE"/>
              </w:rPr>
            </w:pPr>
            <w:r w:rsidRPr="00003055">
              <w:rPr>
                <w:rFonts w:asciiTheme="minorHAnsi" w:eastAsia="Times New Roman" w:hAnsiTheme="minorHAnsi" w:cs="Calibri"/>
                <w:color w:val="000000"/>
                <w:kern w:val="0"/>
                <w:sz w:val="20"/>
                <w:lang w:eastAsia="en-IE"/>
              </w:rPr>
              <w:t xml:space="preserve">Some of the </w:t>
            </w:r>
            <w:r w:rsidR="0071060E" w:rsidRPr="00003055">
              <w:rPr>
                <w:rFonts w:asciiTheme="minorHAnsi" w:eastAsia="Times New Roman" w:hAnsiTheme="minorHAnsi" w:cs="Calibri"/>
                <w:color w:val="000000"/>
                <w:kern w:val="0"/>
                <w:sz w:val="20"/>
                <w:lang w:eastAsia="en-IE"/>
              </w:rPr>
              <w:t xml:space="preserve">above </w:t>
            </w:r>
            <w:r w:rsidRPr="00003055">
              <w:rPr>
                <w:rFonts w:asciiTheme="minorHAnsi" w:eastAsia="Times New Roman" w:hAnsiTheme="minorHAnsi" w:cs="Calibri"/>
                <w:color w:val="000000"/>
                <w:kern w:val="0"/>
                <w:sz w:val="20"/>
                <w:lang w:eastAsia="en-IE"/>
              </w:rPr>
              <w:t>risk-factors are not found in Annex III of the currently applicable AML Directive (Directive (EU) 2015/849 as subsequently amended)</w:t>
            </w:r>
            <w:r w:rsidR="0071060E" w:rsidRPr="00003055">
              <w:rPr>
                <w:rFonts w:asciiTheme="minorHAnsi" w:eastAsia="Times New Roman" w:hAnsiTheme="minorHAnsi" w:cs="Calibri"/>
                <w:color w:val="000000"/>
                <w:kern w:val="0"/>
                <w:sz w:val="20"/>
                <w:lang w:eastAsia="en-IE"/>
              </w:rPr>
              <w:t xml:space="preserve"> and may therefore be new to obliged entities</w:t>
            </w:r>
            <w:r w:rsidRPr="00003055">
              <w:rPr>
                <w:rFonts w:asciiTheme="minorHAnsi" w:eastAsia="Times New Roman" w:hAnsiTheme="minorHAnsi" w:cs="Calibri"/>
                <w:color w:val="000000"/>
                <w:kern w:val="0"/>
                <w:sz w:val="20"/>
                <w:lang w:eastAsia="en-IE"/>
              </w:rPr>
              <w:t xml:space="preserve">. </w:t>
            </w:r>
            <w:r w:rsidR="00316456" w:rsidRPr="00003055">
              <w:rPr>
                <w:rFonts w:asciiTheme="minorHAnsi" w:eastAsia="Times New Roman" w:hAnsiTheme="minorHAnsi" w:cs="Calibri"/>
                <w:color w:val="000000"/>
                <w:kern w:val="0"/>
                <w:sz w:val="20"/>
                <w:lang w:eastAsia="en-IE"/>
              </w:rPr>
              <w:t xml:space="preserve">Where this is the case, obliged entities are nevertheless </w:t>
            </w:r>
            <w:r w:rsidRPr="00003055">
              <w:rPr>
                <w:rFonts w:asciiTheme="minorHAnsi" w:eastAsia="Times New Roman" w:hAnsiTheme="minorHAnsi" w:cs="Calibri"/>
                <w:color w:val="000000"/>
                <w:kern w:val="0"/>
                <w:sz w:val="20"/>
                <w:lang w:eastAsia="en-IE"/>
              </w:rPr>
              <w:t xml:space="preserve">invited to </w:t>
            </w:r>
            <w:r w:rsidR="00316456" w:rsidRPr="00003055">
              <w:rPr>
                <w:rFonts w:asciiTheme="minorHAnsi" w:eastAsia="Times New Roman" w:hAnsiTheme="minorHAnsi" w:cs="Calibri"/>
                <w:color w:val="000000"/>
                <w:kern w:val="0"/>
                <w:sz w:val="20"/>
                <w:lang w:eastAsia="en-IE"/>
              </w:rPr>
              <w:t>provide information on th</w:t>
            </w:r>
            <w:r w:rsidR="00010992" w:rsidRPr="00003055">
              <w:rPr>
                <w:rFonts w:asciiTheme="minorHAnsi" w:eastAsia="Times New Roman" w:hAnsiTheme="minorHAnsi" w:cs="Calibri"/>
                <w:color w:val="000000"/>
                <w:kern w:val="0"/>
                <w:sz w:val="20"/>
                <w:lang w:eastAsia="en-IE"/>
              </w:rPr>
              <w:t>is</w:t>
            </w:r>
            <w:r w:rsidR="00316456" w:rsidRPr="00003055">
              <w:rPr>
                <w:rFonts w:asciiTheme="minorHAnsi" w:eastAsia="Times New Roman" w:hAnsiTheme="minorHAnsi" w:cs="Calibri"/>
                <w:color w:val="000000"/>
                <w:kern w:val="0"/>
                <w:sz w:val="20"/>
                <w:lang w:eastAsia="en-IE"/>
              </w:rPr>
              <w:t xml:space="preserve"> datapoint </w:t>
            </w:r>
            <w:r w:rsidRPr="00003055">
              <w:rPr>
                <w:rFonts w:asciiTheme="minorHAnsi" w:eastAsia="Times New Roman" w:hAnsiTheme="minorHAnsi" w:cs="Calibri"/>
                <w:color w:val="000000"/>
                <w:kern w:val="0"/>
                <w:sz w:val="20"/>
                <w:lang w:eastAsia="en-IE"/>
              </w:rPr>
              <w:t>on a best effort basis.</w:t>
            </w:r>
          </w:p>
        </w:tc>
      </w:tr>
      <w:tr w:rsidR="00F5409A" w:rsidRPr="009B282E" w14:paraId="5D020DE6" w14:textId="77777777" w:rsidTr="003A7C34">
        <w:tc>
          <w:tcPr>
            <w:tcW w:w="1673" w:type="dxa"/>
            <w:tcBorders>
              <w:top w:val="single" w:sz="4" w:space="0" w:color="auto"/>
              <w:left w:val="single" w:sz="4" w:space="0" w:color="auto"/>
              <w:bottom w:val="single" w:sz="4" w:space="0" w:color="auto"/>
              <w:right w:val="single" w:sz="4" w:space="0" w:color="auto"/>
            </w:tcBorders>
          </w:tcPr>
          <w:p w14:paraId="19D52D3A" w14:textId="4DB25D5F" w:rsidR="00F5409A" w:rsidRPr="009275BC" w:rsidRDefault="00FD5D54" w:rsidP="00F32516">
            <w:pPr>
              <w:pStyle w:val="InstructionsText"/>
              <w:rPr>
                <w:rStyle w:val="FormatvorlageInstructionsTabelleText"/>
                <w:rFonts w:asciiTheme="minorHAnsi" w:hAnsiTheme="minorHAnsi"/>
                <w:bCs/>
              </w:rPr>
            </w:pPr>
            <w:r w:rsidRPr="009275BC">
              <w:rPr>
                <w:rStyle w:val="FormatvorlageInstructionsTabelleText"/>
                <w:rFonts w:asciiTheme="minorHAnsi" w:hAnsiTheme="minorHAnsi"/>
              </w:rPr>
              <w:t>C0130</w:t>
            </w:r>
          </w:p>
        </w:tc>
        <w:tc>
          <w:tcPr>
            <w:tcW w:w="7616" w:type="dxa"/>
            <w:tcBorders>
              <w:top w:val="single" w:sz="4" w:space="0" w:color="auto"/>
              <w:left w:val="single" w:sz="4" w:space="0" w:color="auto"/>
              <w:bottom w:val="single" w:sz="4" w:space="0" w:color="auto"/>
              <w:right w:val="single" w:sz="4" w:space="0" w:color="auto"/>
            </w:tcBorders>
          </w:tcPr>
          <w:p w14:paraId="78490A1D" w14:textId="77A630BE" w:rsidR="00231B6A" w:rsidRPr="00EC7C0A" w:rsidRDefault="006077EE" w:rsidP="00B70712">
            <w:pPr>
              <w:pStyle w:val="InstructionsText2"/>
              <w:rPr>
                <w:rStyle w:val="InstructionsTabelleberschrift"/>
                <w:rFonts w:asciiTheme="minorHAnsi" w:hAnsiTheme="minorHAnsi"/>
              </w:rPr>
            </w:pPr>
            <w:r>
              <w:rPr>
                <w:rStyle w:val="InstructionsTabelleberschrift"/>
                <w:rFonts w:asciiTheme="minorHAnsi" w:hAnsiTheme="minorHAnsi"/>
              </w:rPr>
              <w:t>L</w:t>
            </w:r>
            <w:r w:rsidR="00231B6A" w:rsidRPr="00EC7C0A">
              <w:rPr>
                <w:rStyle w:val="InstructionsTabelleberschrift"/>
                <w:rFonts w:asciiTheme="minorHAnsi" w:hAnsiTheme="minorHAnsi"/>
              </w:rPr>
              <w:t>egal entities with at least 1 B</w:t>
            </w:r>
            <w:r w:rsidR="009006D3">
              <w:rPr>
                <w:rStyle w:val="InstructionsTabelleberschrift"/>
                <w:rFonts w:asciiTheme="minorHAnsi" w:hAnsiTheme="minorHAnsi"/>
              </w:rPr>
              <w:t xml:space="preserve">eneficial Owner </w:t>
            </w:r>
            <w:r w:rsidR="00447355">
              <w:rPr>
                <w:rStyle w:val="InstructionsTabelleberschrift"/>
                <w:rFonts w:asciiTheme="minorHAnsi" w:hAnsiTheme="minorHAnsi"/>
              </w:rPr>
              <w:t xml:space="preserve">resident </w:t>
            </w:r>
            <w:r w:rsidR="00231B6A" w:rsidRPr="00EC7C0A">
              <w:rPr>
                <w:rStyle w:val="InstructionsTabelleberschrift"/>
                <w:rFonts w:asciiTheme="minorHAnsi" w:hAnsiTheme="minorHAnsi"/>
              </w:rPr>
              <w:t xml:space="preserve">in non-EEA countries </w:t>
            </w:r>
          </w:p>
          <w:p w14:paraId="705026FC" w14:textId="70459B57" w:rsidR="00A05C14" w:rsidRDefault="008C404E" w:rsidP="75AD484B">
            <w:pPr>
              <w:spacing w:before="0" w:after="0" w:line="240" w:lineRule="auto"/>
              <w:jc w:val="both"/>
              <w:rPr>
                <w:rFonts w:asciiTheme="minorHAnsi" w:hAnsiTheme="minorHAnsi"/>
                <w:sz w:val="20"/>
                <w:lang w:val="en-IE"/>
              </w:rPr>
            </w:pPr>
            <w:r>
              <w:rPr>
                <w:rFonts w:asciiTheme="minorHAnsi" w:hAnsiTheme="minorHAnsi"/>
                <w:sz w:val="20"/>
                <w:lang w:val="en-IE"/>
              </w:rPr>
              <w:t xml:space="preserve">This datapoint is not applicable </w:t>
            </w:r>
            <w:r w:rsidR="004F6083">
              <w:rPr>
                <w:rFonts w:asciiTheme="minorHAnsi" w:hAnsiTheme="minorHAnsi"/>
                <w:sz w:val="20"/>
                <w:lang w:val="en-IE"/>
              </w:rPr>
              <w:t>for BC</w:t>
            </w:r>
            <w:r w:rsidR="00DE53FF">
              <w:rPr>
                <w:rFonts w:asciiTheme="minorHAnsi" w:hAnsiTheme="minorHAnsi"/>
                <w:sz w:val="20"/>
                <w:lang w:val="en-IE"/>
              </w:rPr>
              <w:t>.</w:t>
            </w:r>
          </w:p>
          <w:p w14:paraId="5A99D01B" w14:textId="77777777" w:rsidR="00B177C2" w:rsidRDefault="00B177C2" w:rsidP="75AD484B">
            <w:pPr>
              <w:spacing w:before="0" w:after="0" w:line="240" w:lineRule="auto"/>
              <w:jc w:val="both"/>
              <w:rPr>
                <w:rFonts w:asciiTheme="minorHAnsi" w:hAnsiTheme="minorHAnsi"/>
                <w:sz w:val="20"/>
                <w:lang w:val="en-IE"/>
              </w:rPr>
            </w:pPr>
          </w:p>
          <w:p w14:paraId="38BECEF5" w14:textId="61A878F9" w:rsidR="00901A4D" w:rsidRDefault="00C541ED" w:rsidP="75AD484B">
            <w:pPr>
              <w:spacing w:before="0" w:after="0" w:line="240" w:lineRule="auto"/>
              <w:jc w:val="both"/>
              <w:rPr>
                <w:rFonts w:asciiTheme="minorHAnsi" w:eastAsia="Times New Roman" w:hAnsiTheme="minorHAnsi" w:cs="Calibri"/>
                <w:color w:val="000000" w:themeColor="text1"/>
                <w:sz w:val="20"/>
                <w:lang w:val="en-IE" w:eastAsia="en-IE"/>
              </w:rPr>
            </w:pPr>
            <w:r>
              <w:rPr>
                <w:rFonts w:asciiTheme="minorHAnsi" w:hAnsiTheme="minorHAnsi"/>
                <w:sz w:val="20"/>
                <w:lang w:val="en-IE"/>
              </w:rPr>
              <w:t xml:space="preserve">Legal </w:t>
            </w:r>
            <w:r w:rsidR="009568F5">
              <w:rPr>
                <w:rFonts w:asciiTheme="minorHAnsi" w:hAnsiTheme="minorHAnsi"/>
                <w:sz w:val="20"/>
                <w:lang w:val="en-IE"/>
              </w:rPr>
              <w:t>person</w:t>
            </w:r>
            <w:r>
              <w:rPr>
                <w:rFonts w:asciiTheme="minorHAnsi" w:hAnsiTheme="minorHAnsi"/>
                <w:sz w:val="20"/>
                <w:lang w:val="en-IE"/>
              </w:rPr>
              <w:t xml:space="preserve"> customers with at least one </w:t>
            </w:r>
            <w:r w:rsidR="001C6559">
              <w:rPr>
                <w:rFonts w:asciiTheme="minorHAnsi" w:hAnsiTheme="minorHAnsi"/>
                <w:sz w:val="20"/>
                <w:lang w:val="en-IE"/>
              </w:rPr>
              <w:t>beneficial owner resident in a non-EEA country, a</w:t>
            </w:r>
            <w:r w:rsidR="52B2F6CD" w:rsidRPr="75AD484B">
              <w:rPr>
                <w:rFonts w:asciiTheme="minorHAnsi" w:hAnsiTheme="minorHAnsi"/>
                <w:sz w:val="20"/>
                <w:lang w:val="en-IE"/>
              </w:rPr>
              <w:t>s of end of the reference year.</w:t>
            </w:r>
            <w:r w:rsidR="52B2F6CD" w:rsidRPr="75AD484B">
              <w:rPr>
                <w:rFonts w:asciiTheme="minorHAnsi" w:eastAsia="Times New Roman" w:hAnsiTheme="minorHAnsi" w:cs="Calibri"/>
                <w:color w:val="000000" w:themeColor="text1"/>
                <w:sz w:val="20"/>
                <w:lang w:val="en-IE" w:eastAsia="en-IE"/>
              </w:rPr>
              <w:t xml:space="preserve"> </w:t>
            </w:r>
          </w:p>
          <w:p w14:paraId="5B50C70B" w14:textId="43B02C60" w:rsidR="00901A4D" w:rsidRDefault="00901A4D" w:rsidP="5C96DF38">
            <w:pPr>
              <w:spacing w:before="0" w:after="0" w:line="240" w:lineRule="auto"/>
              <w:jc w:val="both"/>
              <w:rPr>
                <w:rFonts w:asciiTheme="minorHAnsi" w:eastAsia="Times New Roman" w:hAnsiTheme="minorHAnsi" w:cs="Calibri"/>
                <w:color w:val="000000" w:themeColor="text1"/>
                <w:sz w:val="20"/>
                <w:lang w:val="en-IE" w:eastAsia="en-IE"/>
              </w:rPr>
            </w:pPr>
          </w:p>
          <w:p w14:paraId="7D021A52" w14:textId="64593F0A" w:rsidR="00567554" w:rsidRDefault="00491899" w:rsidP="00E836C7">
            <w:pPr>
              <w:spacing w:before="0" w:after="0" w:line="240" w:lineRule="auto"/>
              <w:jc w:val="both"/>
              <w:rPr>
                <w:rFonts w:asciiTheme="minorHAnsi" w:eastAsia="Times New Roman" w:hAnsiTheme="minorHAnsi" w:cs="Calibri"/>
                <w:color w:val="000000"/>
                <w:kern w:val="0"/>
                <w:sz w:val="20"/>
                <w:lang w:val="en-IE" w:eastAsia="en-IE"/>
              </w:rPr>
            </w:pPr>
            <w:r>
              <w:rPr>
                <w:rFonts w:asciiTheme="minorHAnsi" w:eastAsia="Times New Roman" w:hAnsiTheme="minorHAnsi" w:cs="Calibri"/>
                <w:color w:val="000000"/>
                <w:kern w:val="0"/>
                <w:sz w:val="20"/>
                <w:lang w:val="en-IE" w:eastAsia="en-IE"/>
              </w:rPr>
              <w:t xml:space="preserve">In </w:t>
            </w:r>
            <w:r w:rsidR="00F25918">
              <w:rPr>
                <w:rFonts w:asciiTheme="minorHAnsi" w:eastAsia="Times New Roman" w:hAnsiTheme="minorHAnsi" w:cs="Calibri"/>
                <w:color w:val="000000"/>
                <w:kern w:val="0"/>
                <w:sz w:val="20"/>
                <w:lang w:val="en-IE" w:eastAsia="en-IE"/>
              </w:rPr>
              <w:t xml:space="preserve">known </w:t>
            </w:r>
            <w:r>
              <w:rPr>
                <w:rFonts w:asciiTheme="minorHAnsi" w:eastAsia="Times New Roman" w:hAnsiTheme="minorHAnsi" w:cs="Calibri"/>
                <w:color w:val="000000"/>
                <w:kern w:val="0"/>
                <w:sz w:val="20"/>
                <w:lang w:val="en-IE" w:eastAsia="en-IE"/>
              </w:rPr>
              <w:t>case</w:t>
            </w:r>
            <w:r w:rsidR="00F25918">
              <w:rPr>
                <w:rFonts w:asciiTheme="minorHAnsi" w:eastAsia="Times New Roman" w:hAnsiTheme="minorHAnsi" w:cs="Calibri"/>
                <w:color w:val="000000"/>
                <w:kern w:val="0"/>
                <w:sz w:val="20"/>
                <w:lang w:val="en-IE" w:eastAsia="en-IE"/>
              </w:rPr>
              <w:t>s</w:t>
            </w:r>
            <w:r>
              <w:rPr>
                <w:rFonts w:asciiTheme="minorHAnsi" w:eastAsia="Times New Roman" w:hAnsiTheme="minorHAnsi" w:cs="Calibri"/>
                <w:color w:val="000000"/>
                <w:kern w:val="0"/>
                <w:sz w:val="20"/>
                <w:lang w:val="en-IE" w:eastAsia="en-IE"/>
              </w:rPr>
              <w:t xml:space="preserve"> of dual residency (EEA and non-EEA), report the residence of the non-EEA country. I</w:t>
            </w:r>
            <w:r w:rsidR="000D1FDB">
              <w:rPr>
                <w:rFonts w:asciiTheme="minorHAnsi" w:eastAsia="Times New Roman" w:hAnsiTheme="minorHAnsi" w:cs="Calibri"/>
                <w:color w:val="000000"/>
                <w:kern w:val="0"/>
                <w:sz w:val="20"/>
                <w:lang w:val="en-IE" w:eastAsia="en-IE"/>
              </w:rPr>
              <w:t>n known cases where</w:t>
            </w:r>
            <w:r>
              <w:rPr>
                <w:rFonts w:asciiTheme="minorHAnsi" w:eastAsia="Times New Roman" w:hAnsiTheme="minorHAnsi" w:cs="Calibri"/>
                <w:color w:val="000000"/>
                <w:kern w:val="0"/>
                <w:sz w:val="20"/>
                <w:lang w:val="en-IE" w:eastAsia="en-IE"/>
              </w:rPr>
              <w:t xml:space="preserve"> </w:t>
            </w:r>
            <w:r w:rsidR="000D1FDB">
              <w:rPr>
                <w:rFonts w:asciiTheme="minorHAnsi" w:eastAsia="Times New Roman" w:hAnsiTheme="minorHAnsi" w:cs="Calibri"/>
                <w:color w:val="000000"/>
                <w:kern w:val="0"/>
                <w:sz w:val="20"/>
                <w:lang w:val="en-IE" w:eastAsia="en-IE"/>
              </w:rPr>
              <w:t>a</w:t>
            </w:r>
            <w:r>
              <w:rPr>
                <w:rFonts w:asciiTheme="minorHAnsi" w:eastAsia="Times New Roman" w:hAnsiTheme="minorHAnsi" w:cs="Calibri"/>
                <w:color w:val="000000"/>
                <w:kern w:val="0"/>
                <w:sz w:val="20"/>
                <w:lang w:val="en-IE" w:eastAsia="en-IE"/>
              </w:rPr>
              <w:t xml:space="preserve"> BO </w:t>
            </w:r>
            <w:r w:rsidR="002F2872">
              <w:rPr>
                <w:rFonts w:asciiTheme="minorHAnsi" w:eastAsia="Times New Roman" w:hAnsiTheme="minorHAnsi" w:cs="Calibri"/>
                <w:color w:val="000000"/>
                <w:kern w:val="0"/>
                <w:sz w:val="20"/>
                <w:lang w:val="en-IE" w:eastAsia="en-IE"/>
              </w:rPr>
              <w:t>holds</w:t>
            </w:r>
            <w:r>
              <w:rPr>
                <w:rFonts w:asciiTheme="minorHAnsi" w:eastAsia="Times New Roman" w:hAnsiTheme="minorHAnsi" w:cs="Calibri"/>
                <w:color w:val="000000"/>
                <w:kern w:val="0"/>
                <w:sz w:val="20"/>
                <w:lang w:val="en-IE" w:eastAsia="en-IE"/>
              </w:rPr>
              <w:t xml:space="preserve"> residence</w:t>
            </w:r>
            <w:r w:rsidR="002F2872">
              <w:rPr>
                <w:rFonts w:asciiTheme="minorHAnsi" w:eastAsia="Times New Roman" w:hAnsiTheme="minorHAnsi" w:cs="Calibri"/>
                <w:color w:val="000000"/>
                <w:kern w:val="0"/>
                <w:sz w:val="20"/>
                <w:lang w:val="en-IE" w:eastAsia="en-IE"/>
              </w:rPr>
              <w:t>s</w:t>
            </w:r>
            <w:r>
              <w:rPr>
                <w:rFonts w:asciiTheme="minorHAnsi" w:eastAsia="Times New Roman" w:hAnsiTheme="minorHAnsi" w:cs="Calibri"/>
                <w:color w:val="000000"/>
                <w:kern w:val="0"/>
                <w:sz w:val="20"/>
                <w:lang w:val="en-IE" w:eastAsia="en-IE"/>
              </w:rPr>
              <w:t xml:space="preserve"> in </w:t>
            </w:r>
            <w:r w:rsidR="002F2872">
              <w:rPr>
                <w:rFonts w:asciiTheme="minorHAnsi" w:eastAsia="Times New Roman" w:hAnsiTheme="minorHAnsi" w:cs="Calibri"/>
                <w:color w:val="000000"/>
                <w:kern w:val="0"/>
                <w:sz w:val="20"/>
                <w:lang w:val="en-IE" w:eastAsia="en-IE"/>
              </w:rPr>
              <w:t xml:space="preserve">several </w:t>
            </w:r>
            <w:r>
              <w:rPr>
                <w:rFonts w:asciiTheme="minorHAnsi" w:eastAsia="Times New Roman" w:hAnsiTheme="minorHAnsi" w:cs="Calibri"/>
                <w:color w:val="000000"/>
                <w:kern w:val="0"/>
                <w:sz w:val="20"/>
                <w:lang w:val="en-IE" w:eastAsia="en-IE"/>
              </w:rPr>
              <w:t xml:space="preserve">non-EEA countries, report </w:t>
            </w:r>
            <w:r w:rsidRPr="002875AF">
              <w:rPr>
                <w:rFonts w:asciiTheme="minorHAnsi" w:eastAsia="Times New Roman" w:hAnsiTheme="minorHAnsi" w:cs="Calibri"/>
                <w:color w:val="000000"/>
                <w:kern w:val="0"/>
                <w:sz w:val="20"/>
                <w:lang w:eastAsia="en-IE"/>
              </w:rPr>
              <w:t xml:space="preserve">the </w:t>
            </w:r>
            <w:r w:rsidR="00BE1F3C">
              <w:rPr>
                <w:rFonts w:asciiTheme="minorHAnsi" w:eastAsia="Times New Roman" w:hAnsiTheme="minorHAnsi" w:cs="Calibri"/>
                <w:color w:val="000000"/>
                <w:kern w:val="0"/>
                <w:sz w:val="20"/>
                <w:lang w:eastAsia="en-IE"/>
              </w:rPr>
              <w:t>usual place of</w:t>
            </w:r>
            <w:r w:rsidR="002875AF" w:rsidRPr="002875AF">
              <w:rPr>
                <w:rFonts w:asciiTheme="minorHAnsi" w:eastAsia="Times New Roman" w:hAnsiTheme="minorHAnsi" w:cs="Calibri"/>
                <w:color w:val="000000"/>
                <w:kern w:val="0"/>
                <w:sz w:val="20"/>
                <w:lang w:eastAsia="en-IE"/>
              </w:rPr>
              <w:t xml:space="preserve"> residence as per </w:t>
            </w:r>
            <w:r w:rsidR="00BE1F3C">
              <w:rPr>
                <w:rFonts w:asciiTheme="minorHAnsi" w:eastAsia="Times New Roman" w:hAnsiTheme="minorHAnsi" w:cs="Calibri"/>
                <w:color w:val="000000"/>
                <w:kern w:val="0"/>
                <w:sz w:val="20"/>
                <w:lang w:eastAsia="en-IE"/>
              </w:rPr>
              <w:t>CDD</w:t>
            </w:r>
            <w:r w:rsidR="00BE1F3C" w:rsidRPr="002875AF">
              <w:rPr>
                <w:rFonts w:asciiTheme="minorHAnsi" w:eastAsia="Times New Roman" w:hAnsiTheme="minorHAnsi" w:cs="Calibri"/>
                <w:color w:val="000000"/>
                <w:kern w:val="0"/>
                <w:sz w:val="20"/>
                <w:lang w:eastAsia="en-IE"/>
              </w:rPr>
              <w:t xml:space="preserve"> </w:t>
            </w:r>
            <w:r w:rsidR="002875AF" w:rsidRPr="002875AF">
              <w:rPr>
                <w:rFonts w:asciiTheme="minorHAnsi" w:eastAsia="Times New Roman" w:hAnsiTheme="minorHAnsi" w:cs="Calibri"/>
                <w:color w:val="000000"/>
                <w:kern w:val="0"/>
                <w:sz w:val="20"/>
                <w:lang w:eastAsia="en-IE"/>
              </w:rPr>
              <w:t>records</w:t>
            </w:r>
            <w:r w:rsidR="001636EF">
              <w:rPr>
                <w:rFonts w:asciiTheme="minorHAnsi" w:eastAsia="Times New Roman" w:hAnsiTheme="minorHAnsi" w:cs="Calibri"/>
                <w:color w:val="000000"/>
                <w:kern w:val="0"/>
                <w:sz w:val="20"/>
                <w:lang w:eastAsia="en-IE"/>
              </w:rPr>
              <w:t xml:space="preserve"> or </w:t>
            </w:r>
            <w:r w:rsidR="009056F4">
              <w:rPr>
                <w:rFonts w:asciiTheme="minorHAnsi" w:eastAsia="Times New Roman" w:hAnsiTheme="minorHAnsi" w:cs="Calibri"/>
                <w:color w:val="000000"/>
                <w:kern w:val="0"/>
                <w:sz w:val="20"/>
                <w:lang w:eastAsia="en-IE"/>
              </w:rPr>
              <w:t>(</w:t>
            </w:r>
            <w:r w:rsidR="001636EF">
              <w:rPr>
                <w:rFonts w:asciiTheme="minorHAnsi" w:eastAsia="Times New Roman" w:hAnsiTheme="minorHAnsi" w:cs="Calibri"/>
                <w:color w:val="000000"/>
                <w:kern w:val="0"/>
                <w:sz w:val="20"/>
                <w:lang w:eastAsia="en-IE"/>
              </w:rPr>
              <w:t xml:space="preserve">if </w:t>
            </w:r>
            <w:r w:rsidR="009056F4">
              <w:rPr>
                <w:rFonts w:asciiTheme="minorHAnsi" w:eastAsia="Times New Roman" w:hAnsiTheme="minorHAnsi" w:cs="Calibri"/>
                <w:color w:val="000000"/>
                <w:kern w:val="0"/>
                <w:sz w:val="20"/>
                <w:lang w:eastAsia="en-IE"/>
              </w:rPr>
              <w:t>registered)</w:t>
            </w:r>
            <w:r w:rsidR="002875AF" w:rsidRPr="002875AF">
              <w:rPr>
                <w:rFonts w:asciiTheme="minorHAnsi" w:eastAsia="Times New Roman" w:hAnsiTheme="minorHAnsi" w:cs="Calibri"/>
                <w:color w:val="000000"/>
                <w:kern w:val="0"/>
                <w:sz w:val="20"/>
                <w:lang w:eastAsia="en-IE"/>
              </w:rPr>
              <w:t xml:space="preserve"> </w:t>
            </w:r>
            <w:r>
              <w:rPr>
                <w:rFonts w:asciiTheme="minorHAnsi" w:eastAsia="Times New Roman" w:hAnsiTheme="minorHAnsi" w:cs="Calibri"/>
                <w:color w:val="000000"/>
                <w:kern w:val="0"/>
                <w:sz w:val="20"/>
                <w:lang w:val="en-IE" w:eastAsia="en-IE"/>
              </w:rPr>
              <w:t xml:space="preserve">the </w:t>
            </w:r>
            <w:r w:rsidR="002B0016">
              <w:rPr>
                <w:rFonts w:asciiTheme="minorHAnsi" w:eastAsia="Times New Roman" w:hAnsiTheme="minorHAnsi" w:cs="Calibri"/>
                <w:color w:val="000000"/>
                <w:kern w:val="0"/>
                <w:sz w:val="20"/>
                <w:lang w:val="en-IE" w:eastAsia="en-IE"/>
              </w:rPr>
              <w:t>residence in the</w:t>
            </w:r>
            <w:r w:rsidR="00471148">
              <w:rPr>
                <w:rFonts w:asciiTheme="minorHAnsi" w:eastAsia="Times New Roman" w:hAnsiTheme="minorHAnsi" w:cs="Calibri"/>
                <w:color w:val="000000"/>
                <w:kern w:val="0"/>
                <w:sz w:val="20"/>
                <w:lang w:val="en-IE" w:eastAsia="en-IE"/>
              </w:rPr>
              <w:t xml:space="preserve"> country </w:t>
            </w:r>
            <w:r w:rsidR="00032A99">
              <w:rPr>
                <w:rFonts w:asciiTheme="minorHAnsi" w:eastAsia="Times New Roman" w:hAnsiTheme="minorHAnsi" w:cs="Calibri"/>
                <w:color w:val="000000"/>
                <w:kern w:val="0"/>
                <w:sz w:val="20"/>
                <w:lang w:val="en-IE" w:eastAsia="en-IE"/>
              </w:rPr>
              <w:t>with the highest AML/CFT risk (</w:t>
            </w:r>
            <w:r w:rsidR="00E70FCB">
              <w:rPr>
                <w:rFonts w:asciiTheme="minorHAnsi" w:eastAsia="Times New Roman" w:hAnsiTheme="minorHAnsi" w:cs="Calibri"/>
                <w:color w:val="000000"/>
                <w:kern w:val="0"/>
                <w:sz w:val="20"/>
                <w:lang w:val="en-IE" w:eastAsia="en-IE"/>
              </w:rPr>
              <w:t xml:space="preserve">according to </w:t>
            </w:r>
            <w:r w:rsidR="006E7E28">
              <w:rPr>
                <w:rFonts w:asciiTheme="minorHAnsi" w:eastAsia="Times New Roman" w:hAnsiTheme="minorHAnsi" w:cs="Calibri"/>
                <w:color w:val="000000"/>
                <w:kern w:val="0"/>
                <w:sz w:val="20"/>
                <w:lang w:val="en-IE" w:eastAsia="en-IE"/>
              </w:rPr>
              <w:t xml:space="preserve">the </w:t>
            </w:r>
            <w:hyperlink r:id="rId14" w:history="1">
              <w:r w:rsidR="006E7E28" w:rsidRPr="0012560B">
                <w:rPr>
                  <w:rStyle w:val="Hyperlink"/>
                  <w:rFonts w:eastAsia="Times New Roman" w:cs="Calibri"/>
                  <w:kern w:val="0"/>
                  <w:sz w:val="20"/>
                  <w:lang w:val="en-IE" w:eastAsia="en-IE"/>
                </w:rPr>
                <w:t>EU list of high-risk third countries</w:t>
              </w:r>
            </w:hyperlink>
            <w:r w:rsidR="0012560B">
              <w:rPr>
                <w:rFonts w:asciiTheme="minorHAnsi" w:eastAsia="Times New Roman" w:hAnsiTheme="minorHAnsi" w:cs="Calibri"/>
                <w:color w:val="000000"/>
                <w:kern w:val="0"/>
                <w:sz w:val="20"/>
                <w:lang w:val="en-IE" w:eastAsia="en-IE"/>
              </w:rPr>
              <w:t xml:space="preserve"> and the </w:t>
            </w:r>
            <w:hyperlink r:id="rId15" w:history="1">
              <w:r w:rsidR="0012560B" w:rsidRPr="00567554">
                <w:rPr>
                  <w:rStyle w:val="Hyperlink"/>
                  <w:rFonts w:eastAsia="Times New Roman" w:cs="Calibri"/>
                  <w:kern w:val="0"/>
                  <w:sz w:val="20"/>
                  <w:lang w:val="en-IE" w:eastAsia="en-IE"/>
                </w:rPr>
                <w:t>FTAF list</w:t>
              </w:r>
              <w:r w:rsidR="00E866AB" w:rsidRPr="00567554">
                <w:rPr>
                  <w:rStyle w:val="Hyperlink"/>
                  <w:rFonts w:eastAsia="Times New Roman" w:cs="Calibri"/>
                  <w:kern w:val="0"/>
                  <w:sz w:val="20"/>
                  <w:lang w:val="en-IE" w:eastAsia="en-IE"/>
                </w:rPr>
                <w:t>s</w:t>
              </w:r>
            </w:hyperlink>
            <w:r w:rsidR="0012560B">
              <w:rPr>
                <w:rFonts w:asciiTheme="minorHAnsi" w:eastAsia="Times New Roman" w:hAnsiTheme="minorHAnsi" w:cs="Calibri"/>
                <w:color w:val="000000"/>
                <w:kern w:val="0"/>
                <w:sz w:val="20"/>
                <w:lang w:val="en-IE" w:eastAsia="en-IE"/>
              </w:rPr>
              <w:t>)</w:t>
            </w:r>
            <w:r>
              <w:rPr>
                <w:rFonts w:asciiTheme="minorHAnsi" w:eastAsia="Times New Roman" w:hAnsiTheme="minorHAnsi" w:cs="Calibri"/>
                <w:color w:val="000000"/>
                <w:kern w:val="0"/>
                <w:sz w:val="20"/>
                <w:lang w:val="en-IE" w:eastAsia="en-IE"/>
              </w:rPr>
              <w:t xml:space="preserve">. </w:t>
            </w:r>
            <w:r w:rsidR="006B3782">
              <w:rPr>
                <w:rFonts w:asciiTheme="minorHAnsi" w:eastAsia="Times New Roman" w:hAnsiTheme="minorHAnsi" w:cs="Calibri"/>
                <w:color w:val="000000"/>
                <w:kern w:val="0"/>
                <w:sz w:val="20"/>
                <w:lang w:val="en-IE" w:eastAsia="en-IE"/>
              </w:rPr>
              <w:t xml:space="preserve">These instructions </w:t>
            </w:r>
            <w:r w:rsidR="0099325A">
              <w:rPr>
                <w:rFonts w:asciiTheme="minorHAnsi" w:eastAsia="Times New Roman" w:hAnsiTheme="minorHAnsi" w:cs="Calibri"/>
                <w:color w:val="000000"/>
                <w:kern w:val="0"/>
                <w:sz w:val="20"/>
                <w:lang w:val="en-IE" w:eastAsia="en-IE"/>
              </w:rPr>
              <w:t xml:space="preserve">apply </w:t>
            </w:r>
            <w:r w:rsidR="006B3782">
              <w:rPr>
                <w:rFonts w:asciiTheme="minorHAnsi" w:eastAsia="Times New Roman" w:hAnsiTheme="minorHAnsi" w:cs="Calibri"/>
                <w:color w:val="000000"/>
                <w:kern w:val="0"/>
                <w:sz w:val="20"/>
                <w:lang w:val="en-IE" w:eastAsia="en-IE"/>
              </w:rPr>
              <w:t xml:space="preserve">irrespective of </w:t>
            </w:r>
            <w:r w:rsidR="0099325A">
              <w:rPr>
                <w:rFonts w:asciiTheme="minorHAnsi" w:eastAsia="Times New Roman" w:hAnsiTheme="minorHAnsi" w:cs="Calibri"/>
                <w:color w:val="000000"/>
                <w:kern w:val="0"/>
                <w:sz w:val="20"/>
                <w:lang w:val="en-IE" w:eastAsia="en-IE"/>
              </w:rPr>
              <w:t>any</w:t>
            </w:r>
            <w:r w:rsidR="00491A4D">
              <w:rPr>
                <w:rFonts w:asciiTheme="minorHAnsi" w:eastAsia="Times New Roman" w:hAnsiTheme="minorHAnsi" w:cs="Calibri"/>
                <w:color w:val="000000"/>
                <w:kern w:val="0"/>
                <w:sz w:val="20"/>
                <w:lang w:val="en-IE" w:eastAsia="en-IE"/>
              </w:rPr>
              <w:t xml:space="preserve"> </w:t>
            </w:r>
            <w:r w:rsidR="003747CC">
              <w:rPr>
                <w:rFonts w:asciiTheme="minorHAnsi" w:eastAsia="Times New Roman" w:hAnsiTheme="minorHAnsi" w:cs="Calibri"/>
                <w:color w:val="000000"/>
                <w:kern w:val="0"/>
                <w:sz w:val="20"/>
                <w:lang w:val="en-IE" w:eastAsia="en-IE"/>
              </w:rPr>
              <w:t>distinction</w:t>
            </w:r>
            <w:r w:rsidR="007A16B0">
              <w:rPr>
                <w:rFonts w:asciiTheme="minorHAnsi" w:eastAsia="Times New Roman" w:hAnsiTheme="minorHAnsi" w:cs="Calibri"/>
                <w:color w:val="000000"/>
                <w:kern w:val="0"/>
                <w:sz w:val="20"/>
                <w:lang w:val="en-IE" w:eastAsia="en-IE"/>
              </w:rPr>
              <w:t xml:space="preserve"> </w:t>
            </w:r>
            <w:r w:rsidR="000A45DA">
              <w:rPr>
                <w:rFonts w:asciiTheme="minorHAnsi" w:eastAsia="Times New Roman" w:hAnsiTheme="minorHAnsi" w:cs="Calibri"/>
                <w:color w:val="000000"/>
                <w:kern w:val="0"/>
                <w:sz w:val="20"/>
                <w:lang w:val="en-IE" w:eastAsia="en-IE"/>
              </w:rPr>
              <w:t>between</w:t>
            </w:r>
            <w:r w:rsidR="00491A4D">
              <w:rPr>
                <w:rFonts w:asciiTheme="minorHAnsi" w:eastAsia="Times New Roman" w:hAnsiTheme="minorHAnsi" w:cs="Calibri"/>
                <w:color w:val="000000"/>
                <w:kern w:val="0"/>
                <w:sz w:val="20"/>
                <w:lang w:val="en-IE" w:eastAsia="en-IE"/>
              </w:rPr>
              <w:t xml:space="preserve"> </w:t>
            </w:r>
            <w:r w:rsidR="0099325A">
              <w:rPr>
                <w:rFonts w:asciiTheme="minorHAnsi" w:eastAsia="Times New Roman" w:hAnsiTheme="minorHAnsi" w:cs="Calibri"/>
                <w:color w:val="000000"/>
                <w:kern w:val="0"/>
                <w:sz w:val="20"/>
                <w:lang w:val="en-IE" w:eastAsia="en-IE"/>
              </w:rPr>
              <w:t>temporary</w:t>
            </w:r>
            <w:r w:rsidR="000A45DA">
              <w:rPr>
                <w:rFonts w:asciiTheme="minorHAnsi" w:eastAsia="Times New Roman" w:hAnsiTheme="minorHAnsi" w:cs="Calibri"/>
                <w:color w:val="000000"/>
                <w:kern w:val="0"/>
                <w:sz w:val="20"/>
                <w:lang w:val="en-IE" w:eastAsia="en-IE"/>
              </w:rPr>
              <w:t xml:space="preserve"> or </w:t>
            </w:r>
            <w:r w:rsidR="0099325A">
              <w:rPr>
                <w:rFonts w:asciiTheme="minorHAnsi" w:eastAsia="Times New Roman" w:hAnsiTheme="minorHAnsi" w:cs="Calibri"/>
                <w:color w:val="000000"/>
                <w:kern w:val="0"/>
                <w:sz w:val="20"/>
                <w:lang w:val="en-IE" w:eastAsia="en-IE"/>
              </w:rPr>
              <w:t>permanent residence</w:t>
            </w:r>
            <w:r w:rsidR="000A45DA">
              <w:rPr>
                <w:rFonts w:asciiTheme="minorHAnsi" w:eastAsia="Times New Roman" w:hAnsiTheme="minorHAnsi" w:cs="Calibri"/>
                <w:color w:val="000000"/>
                <w:kern w:val="0"/>
                <w:sz w:val="20"/>
                <w:lang w:val="en-IE" w:eastAsia="en-IE"/>
              </w:rPr>
              <w:t>s</w:t>
            </w:r>
            <w:r w:rsidR="0099325A">
              <w:rPr>
                <w:rFonts w:asciiTheme="minorHAnsi" w:eastAsia="Times New Roman" w:hAnsiTheme="minorHAnsi" w:cs="Calibri"/>
                <w:color w:val="000000"/>
                <w:kern w:val="0"/>
                <w:sz w:val="20"/>
                <w:lang w:val="en-IE" w:eastAsia="en-IE"/>
              </w:rPr>
              <w:t>.</w:t>
            </w:r>
          </w:p>
          <w:p w14:paraId="61FBFA4C" w14:textId="77777777" w:rsidR="00567554" w:rsidRDefault="00567554" w:rsidP="00E836C7">
            <w:pPr>
              <w:spacing w:before="0" w:after="0" w:line="240" w:lineRule="auto"/>
              <w:jc w:val="both"/>
              <w:rPr>
                <w:rFonts w:asciiTheme="minorHAnsi" w:eastAsia="Times New Roman" w:hAnsiTheme="minorHAnsi" w:cs="Calibri"/>
                <w:color w:val="000000"/>
                <w:kern w:val="0"/>
                <w:sz w:val="20"/>
                <w:lang w:val="en-IE" w:eastAsia="en-IE"/>
              </w:rPr>
            </w:pPr>
          </w:p>
          <w:p w14:paraId="027D0009" w14:textId="52EF29C2" w:rsidR="002F06F1" w:rsidRDefault="00560751" w:rsidP="00560751">
            <w:pPr>
              <w:spacing w:before="0" w:after="0" w:line="240" w:lineRule="auto"/>
              <w:jc w:val="both"/>
              <w:rPr>
                <w:rFonts w:asciiTheme="minorHAnsi" w:eastAsia="Times New Roman" w:hAnsiTheme="minorHAnsi" w:cs="Calibri"/>
                <w:color w:val="000000"/>
                <w:kern w:val="0"/>
                <w:sz w:val="20"/>
                <w:lang w:eastAsia="en-IE"/>
              </w:rPr>
            </w:pPr>
            <w:r>
              <w:rPr>
                <w:rFonts w:asciiTheme="minorHAnsi" w:eastAsia="Times New Roman" w:hAnsiTheme="minorHAnsi" w:cs="Calibri"/>
                <w:color w:val="000000"/>
                <w:kern w:val="0"/>
                <w:sz w:val="20"/>
                <w:lang w:val="en-IE" w:eastAsia="en-IE"/>
              </w:rPr>
              <w:t xml:space="preserve">As per </w:t>
            </w:r>
            <w:r w:rsidR="003D344D">
              <w:rPr>
                <w:rFonts w:asciiTheme="minorHAnsi" w:eastAsia="Times New Roman" w:hAnsiTheme="minorHAnsi" w:cs="Calibri"/>
                <w:color w:val="000000"/>
                <w:kern w:val="0"/>
                <w:sz w:val="20"/>
                <w:lang w:val="en-IE" w:eastAsia="en-IE"/>
              </w:rPr>
              <w:t>Article</w:t>
            </w:r>
            <w:r>
              <w:rPr>
                <w:rFonts w:asciiTheme="minorHAnsi" w:eastAsia="Times New Roman" w:hAnsiTheme="minorHAnsi" w:cs="Calibri"/>
                <w:color w:val="000000"/>
                <w:kern w:val="0"/>
                <w:sz w:val="20"/>
                <w:lang w:val="en-IE" w:eastAsia="en-IE"/>
              </w:rPr>
              <w:t xml:space="preserve"> 2(1)(28) AMLR, </w:t>
            </w:r>
            <w:r w:rsidRPr="00560751">
              <w:rPr>
                <w:rFonts w:asciiTheme="minorHAnsi" w:eastAsia="Times New Roman" w:hAnsiTheme="minorHAnsi" w:cs="Calibri"/>
                <w:color w:val="000000"/>
                <w:kern w:val="0"/>
                <w:sz w:val="20"/>
                <w:lang w:eastAsia="en-IE"/>
              </w:rPr>
              <w:t xml:space="preserve">‘beneficial owner’ means </w:t>
            </w:r>
            <w:r w:rsidR="004B6172">
              <w:rPr>
                <w:rFonts w:asciiTheme="minorHAnsi" w:eastAsia="Times New Roman" w:hAnsiTheme="minorHAnsi" w:cs="Calibri"/>
                <w:color w:val="000000"/>
                <w:kern w:val="0"/>
                <w:sz w:val="20"/>
                <w:lang w:eastAsia="en-IE"/>
              </w:rPr>
              <w:t>“</w:t>
            </w:r>
            <w:r w:rsidRPr="00560751">
              <w:rPr>
                <w:rFonts w:asciiTheme="minorHAnsi" w:eastAsia="Times New Roman" w:hAnsiTheme="minorHAnsi" w:cs="Calibri"/>
                <w:color w:val="000000"/>
                <w:kern w:val="0"/>
                <w:sz w:val="20"/>
                <w:lang w:eastAsia="en-IE"/>
              </w:rPr>
              <w:t>any natural person who ultimately owns or controls a legal entity or an express trust or similar legal arrangement</w:t>
            </w:r>
            <w:r w:rsidR="004B6172">
              <w:rPr>
                <w:rFonts w:asciiTheme="minorHAnsi" w:eastAsia="Times New Roman" w:hAnsiTheme="minorHAnsi" w:cs="Calibri"/>
                <w:color w:val="000000"/>
                <w:kern w:val="0"/>
                <w:sz w:val="20"/>
                <w:lang w:eastAsia="en-IE"/>
              </w:rPr>
              <w:t>”</w:t>
            </w:r>
            <w:r>
              <w:rPr>
                <w:rFonts w:asciiTheme="minorHAnsi" w:eastAsia="Times New Roman" w:hAnsiTheme="minorHAnsi" w:cs="Calibri"/>
                <w:color w:val="000000"/>
                <w:kern w:val="0"/>
                <w:sz w:val="20"/>
                <w:lang w:eastAsia="en-IE"/>
              </w:rPr>
              <w:t>.</w:t>
            </w:r>
          </w:p>
          <w:p w14:paraId="762E746D" w14:textId="77777777" w:rsidR="009D2CBB" w:rsidRDefault="009D2CBB" w:rsidP="00560751">
            <w:pPr>
              <w:spacing w:before="0" w:after="0" w:line="240" w:lineRule="auto"/>
              <w:jc w:val="both"/>
              <w:rPr>
                <w:rFonts w:asciiTheme="minorHAnsi" w:eastAsia="Times New Roman" w:hAnsiTheme="minorHAnsi" w:cs="Calibri"/>
                <w:color w:val="000000"/>
                <w:kern w:val="0"/>
                <w:sz w:val="20"/>
                <w:lang w:eastAsia="en-IE"/>
              </w:rPr>
            </w:pPr>
          </w:p>
          <w:p w14:paraId="44749C9E" w14:textId="3C21DC1B" w:rsidR="009D2CBB" w:rsidRDefault="0074771C" w:rsidP="00560751">
            <w:pPr>
              <w:spacing w:before="0" w:after="0" w:line="240" w:lineRule="auto"/>
              <w:jc w:val="both"/>
              <w:rPr>
                <w:rFonts w:asciiTheme="minorHAnsi" w:eastAsia="Times New Roman" w:hAnsiTheme="minorHAnsi" w:cs="Calibri"/>
                <w:color w:val="000000"/>
                <w:kern w:val="0"/>
                <w:sz w:val="20"/>
                <w:lang w:val="en-IE" w:eastAsia="en-IE"/>
              </w:rPr>
            </w:pPr>
            <w:r>
              <w:rPr>
                <w:rFonts w:asciiTheme="minorHAnsi" w:eastAsia="Times New Roman" w:hAnsiTheme="minorHAnsi" w:cs="Calibri"/>
                <w:color w:val="000000"/>
                <w:kern w:val="0"/>
                <w:sz w:val="20"/>
                <w:lang w:eastAsia="en-IE"/>
              </w:rPr>
              <w:t>As per recital 12</w:t>
            </w:r>
            <w:r w:rsidR="003B02D6">
              <w:rPr>
                <w:rFonts w:asciiTheme="minorHAnsi" w:eastAsia="Times New Roman" w:hAnsiTheme="minorHAnsi" w:cs="Calibri"/>
                <w:color w:val="000000"/>
                <w:kern w:val="0"/>
                <w:sz w:val="20"/>
                <w:lang w:eastAsia="en-IE"/>
              </w:rPr>
              <w:t>5 AMLR,</w:t>
            </w:r>
            <w:r w:rsidR="009D2CBB">
              <w:rPr>
                <w:rFonts w:asciiTheme="minorHAnsi" w:eastAsia="Times New Roman" w:hAnsiTheme="minorHAnsi" w:cs="Calibri"/>
                <w:color w:val="000000"/>
                <w:kern w:val="0"/>
                <w:sz w:val="20"/>
                <w:lang w:eastAsia="en-IE"/>
              </w:rPr>
              <w:t xml:space="preserve"> </w:t>
            </w:r>
            <w:r w:rsidR="009D2CBB" w:rsidRPr="009D2CBB">
              <w:rPr>
                <w:rFonts w:asciiTheme="minorHAnsi" w:eastAsia="Times New Roman" w:hAnsiTheme="minorHAnsi" w:cs="Calibri"/>
                <w:color w:val="000000"/>
                <w:kern w:val="0"/>
                <w:sz w:val="20"/>
                <w:lang w:eastAsia="en-IE"/>
              </w:rPr>
              <w:t>senior managing officials</w:t>
            </w:r>
            <w:r w:rsidR="00B12477">
              <w:rPr>
                <w:rFonts w:asciiTheme="minorHAnsi" w:eastAsia="Times New Roman" w:hAnsiTheme="minorHAnsi" w:cs="Calibri"/>
                <w:color w:val="000000"/>
                <w:kern w:val="0"/>
                <w:sz w:val="20"/>
                <w:lang w:eastAsia="en-IE"/>
              </w:rPr>
              <w:t xml:space="preserve"> (SMOs) reported instead of the beneficial owners where </w:t>
            </w:r>
            <w:r w:rsidRPr="0074771C">
              <w:rPr>
                <w:rFonts w:asciiTheme="minorHAnsi" w:eastAsia="Times New Roman" w:hAnsiTheme="minorHAnsi" w:cs="Calibri"/>
                <w:color w:val="000000"/>
                <w:kern w:val="0"/>
                <w:sz w:val="20"/>
                <w:lang w:eastAsia="en-IE"/>
              </w:rPr>
              <w:t>no natural person is identifiable</w:t>
            </w:r>
            <w:r w:rsidR="003B02D6">
              <w:rPr>
                <w:rFonts w:asciiTheme="minorHAnsi" w:eastAsia="Times New Roman" w:hAnsiTheme="minorHAnsi" w:cs="Calibri"/>
                <w:color w:val="000000"/>
                <w:kern w:val="0"/>
                <w:sz w:val="20"/>
                <w:lang w:eastAsia="en-IE"/>
              </w:rPr>
              <w:t xml:space="preserve"> </w:t>
            </w:r>
            <w:r w:rsidRPr="0074771C">
              <w:rPr>
                <w:rFonts w:asciiTheme="minorHAnsi" w:eastAsia="Times New Roman" w:hAnsiTheme="minorHAnsi" w:cs="Calibri"/>
                <w:color w:val="000000"/>
                <w:kern w:val="0"/>
                <w:sz w:val="20"/>
                <w:lang w:eastAsia="en-IE"/>
              </w:rPr>
              <w:t>who ultimately owns or exerts control over an entity</w:t>
            </w:r>
            <w:r w:rsidR="003B02D6">
              <w:rPr>
                <w:rFonts w:asciiTheme="minorHAnsi" w:eastAsia="Times New Roman" w:hAnsiTheme="minorHAnsi" w:cs="Calibri"/>
                <w:color w:val="000000"/>
                <w:kern w:val="0"/>
                <w:sz w:val="20"/>
                <w:lang w:eastAsia="en-IE"/>
              </w:rPr>
              <w:t xml:space="preserve"> </w:t>
            </w:r>
            <w:r w:rsidR="002B2225">
              <w:rPr>
                <w:rFonts w:asciiTheme="minorHAnsi" w:eastAsia="Times New Roman" w:hAnsiTheme="minorHAnsi" w:cs="Calibri"/>
                <w:color w:val="000000"/>
                <w:kern w:val="0"/>
                <w:sz w:val="20"/>
                <w:lang w:eastAsia="en-IE"/>
              </w:rPr>
              <w:t xml:space="preserve">(as per </w:t>
            </w:r>
            <w:r w:rsidR="003D344D">
              <w:rPr>
                <w:rFonts w:asciiTheme="minorHAnsi" w:eastAsia="Times New Roman" w:hAnsiTheme="minorHAnsi" w:cs="Calibri"/>
                <w:color w:val="000000"/>
                <w:kern w:val="0"/>
                <w:sz w:val="20"/>
                <w:lang w:val="en-IE" w:eastAsia="en-IE"/>
              </w:rPr>
              <w:t xml:space="preserve">Article </w:t>
            </w:r>
            <w:r w:rsidR="002B2225">
              <w:rPr>
                <w:rFonts w:asciiTheme="minorHAnsi" w:eastAsia="Times New Roman" w:hAnsiTheme="minorHAnsi" w:cs="Calibri"/>
                <w:color w:val="000000"/>
                <w:kern w:val="0"/>
                <w:sz w:val="20"/>
                <w:lang w:eastAsia="en-IE"/>
              </w:rPr>
              <w:t>22(2) AMLR)</w:t>
            </w:r>
            <w:r w:rsidR="002B2225" w:rsidRPr="0074771C">
              <w:rPr>
                <w:rFonts w:asciiTheme="minorHAnsi" w:eastAsia="Times New Roman" w:hAnsiTheme="minorHAnsi" w:cs="Calibri"/>
                <w:color w:val="000000"/>
                <w:kern w:val="0"/>
                <w:sz w:val="20"/>
                <w:lang w:eastAsia="en-IE"/>
              </w:rPr>
              <w:t xml:space="preserve"> </w:t>
            </w:r>
            <w:r w:rsidR="003B02D6">
              <w:rPr>
                <w:rFonts w:asciiTheme="minorHAnsi" w:eastAsia="Times New Roman" w:hAnsiTheme="minorHAnsi" w:cs="Calibri"/>
                <w:color w:val="000000"/>
                <w:kern w:val="0"/>
                <w:sz w:val="20"/>
                <w:lang w:eastAsia="en-IE"/>
              </w:rPr>
              <w:t xml:space="preserve">are </w:t>
            </w:r>
            <w:r w:rsidR="003B02D6" w:rsidRPr="009F7158">
              <w:rPr>
                <w:rFonts w:asciiTheme="minorHAnsi" w:eastAsia="Times New Roman" w:hAnsiTheme="minorHAnsi" w:cs="Calibri"/>
                <w:color w:val="000000"/>
                <w:kern w:val="0"/>
                <w:sz w:val="20"/>
                <w:u w:val="single"/>
                <w:lang w:eastAsia="en-IE"/>
              </w:rPr>
              <w:t>not</w:t>
            </w:r>
            <w:r w:rsidR="003B02D6">
              <w:rPr>
                <w:rFonts w:asciiTheme="minorHAnsi" w:eastAsia="Times New Roman" w:hAnsiTheme="minorHAnsi" w:cs="Calibri"/>
                <w:color w:val="000000"/>
                <w:kern w:val="0"/>
                <w:sz w:val="20"/>
                <w:lang w:eastAsia="en-IE"/>
              </w:rPr>
              <w:t xml:space="preserve"> beneficial owners</w:t>
            </w:r>
            <w:r w:rsidR="002B2225">
              <w:rPr>
                <w:rFonts w:asciiTheme="minorHAnsi" w:eastAsia="Times New Roman" w:hAnsiTheme="minorHAnsi" w:cs="Calibri"/>
                <w:color w:val="000000"/>
                <w:kern w:val="0"/>
                <w:sz w:val="20"/>
                <w:lang w:eastAsia="en-IE"/>
              </w:rPr>
              <w:t>,</w:t>
            </w:r>
            <w:r w:rsidR="003B02D6">
              <w:rPr>
                <w:rFonts w:asciiTheme="minorHAnsi" w:eastAsia="Times New Roman" w:hAnsiTheme="minorHAnsi" w:cs="Calibri"/>
                <w:color w:val="000000"/>
                <w:kern w:val="0"/>
                <w:sz w:val="20"/>
                <w:lang w:eastAsia="en-IE"/>
              </w:rPr>
              <w:t xml:space="preserve"> and shall not be counted for the purpose of reporting this datapoint.</w:t>
            </w:r>
          </w:p>
          <w:p w14:paraId="2234C1F8" w14:textId="47D6F1C2" w:rsidR="00560751" w:rsidRPr="00EC7C0A" w:rsidRDefault="00560751" w:rsidP="00560751">
            <w:pPr>
              <w:spacing w:before="0" w:after="0" w:line="240" w:lineRule="auto"/>
              <w:jc w:val="both"/>
              <w:rPr>
                <w:rFonts w:asciiTheme="minorHAnsi" w:eastAsia="Times New Roman" w:hAnsiTheme="minorHAnsi" w:cs="Calibri"/>
                <w:color w:val="000000"/>
                <w:kern w:val="0"/>
                <w:sz w:val="20"/>
                <w:lang w:val="en-IE" w:eastAsia="en-IE"/>
              </w:rPr>
            </w:pPr>
          </w:p>
        </w:tc>
      </w:tr>
      <w:tr w:rsidR="00231B6A" w:rsidRPr="009B282E" w14:paraId="035A795F" w14:textId="77777777" w:rsidTr="003A7C34">
        <w:tc>
          <w:tcPr>
            <w:tcW w:w="1673" w:type="dxa"/>
            <w:tcBorders>
              <w:top w:val="single" w:sz="4" w:space="0" w:color="auto"/>
              <w:left w:val="single" w:sz="4" w:space="0" w:color="auto"/>
              <w:bottom w:val="single" w:sz="4" w:space="0" w:color="auto"/>
              <w:right w:val="single" w:sz="4" w:space="0" w:color="auto"/>
            </w:tcBorders>
          </w:tcPr>
          <w:p w14:paraId="21E40A7B" w14:textId="0AEE0C3F" w:rsidR="00231B6A" w:rsidRPr="009275BC" w:rsidRDefault="00FD5D54" w:rsidP="00F32516">
            <w:pPr>
              <w:pStyle w:val="InstructionsText"/>
              <w:rPr>
                <w:rStyle w:val="FormatvorlageInstructionsTabelleText"/>
                <w:rFonts w:asciiTheme="minorHAnsi" w:hAnsiTheme="minorHAnsi"/>
                <w:bCs/>
              </w:rPr>
            </w:pPr>
            <w:r w:rsidRPr="009275BC">
              <w:rPr>
                <w:rStyle w:val="FormatvorlageInstructionsTabelleText"/>
                <w:rFonts w:asciiTheme="minorHAnsi" w:hAnsiTheme="minorHAnsi"/>
              </w:rPr>
              <w:t>C0140</w:t>
            </w:r>
          </w:p>
        </w:tc>
        <w:tc>
          <w:tcPr>
            <w:tcW w:w="7616" w:type="dxa"/>
            <w:tcBorders>
              <w:top w:val="single" w:sz="4" w:space="0" w:color="auto"/>
              <w:left w:val="single" w:sz="4" w:space="0" w:color="auto"/>
              <w:bottom w:val="single" w:sz="4" w:space="0" w:color="auto"/>
              <w:right w:val="single" w:sz="4" w:space="0" w:color="auto"/>
            </w:tcBorders>
          </w:tcPr>
          <w:p w14:paraId="32BE0643" w14:textId="791A28CE" w:rsidR="00491899" w:rsidRDefault="00F80260" w:rsidP="00FF09A8">
            <w:pPr>
              <w:pStyle w:val="InstructionsText2"/>
              <w:rPr>
                <w:rFonts w:asciiTheme="minorHAnsi" w:hAnsiTheme="minorHAnsi" w:cs="Calibri"/>
                <w:color w:val="000000"/>
                <w:sz w:val="20"/>
                <w:lang w:val="en-IE" w:eastAsia="en-IE"/>
              </w:rPr>
            </w:pPr>
            <w:r>
              <w:rPr>
                <w:rStyle w:val="InstructionsTabelleberschrift"/>
                <w:rFonts w:asciiTheme="minorHAnsi" w:hAnsiTheme="minorHAnsi"/>
              </w:rPr>
              <w:t>C</w:t>
            </w:r>
            <w:r w:rsidR="00852943" w:rsidRPr="00EC7C0A">
              <w:rPr>
                <w:rStyle w:val="InstructionsTabelleberschrift"/>
                <w:rFonts w:asciiTheme="minorHAnsi" w:hAnsiTheme="minorHAnsi"/>
              </w:rPr>
              <w:t xml:space="preserve">ustomers with cross border </w:t>
            </w:r>
            <w:r w:rsidR="00DF2E92">
              <w:rPr>
                <w:rStyle w:val="InstructionsTabelleberschrift"/>
                <w:rFonts w:asciiTheme="minorHAnsi" w:hAnsiTheme="minorHAnsi"/>
              </w:rPr>
              <w:t>T</w:t>
            </w:r>
            <w:r w:rsidR="00DF2E92" w:rsidRPr="00EC7C0A">
              <w:rPr>
                <w:rStyle w:val="InstructionsTabelleberschrift"/>
                <w:rFonts w:asciiTheme="minorHAnsi" w:hAnsiTheme="minorHAnsi"/>
              </w:rPr>
              <w:t xml:space="preserve">ransactions </w:t>
            </w:r>
            <w:r w:rsidR="00491899" w:rsidRPr="00FF09A8">
              <w:rPr>
                <w:rFonts w:ascii="Aptos" w:hAnsi="Aptos" w:cs="Calibri"/>
                <w:b/>
                <w:sz w:val="20"/>
                <w:u w:val="single"/>
                <w:lang w:val="en-IE" w:eastAsia="en-IE"/>
              </w:rPr>
              <w:t>- Non-EEA</w:t>
            </w:r>
          </w:p>
          <w:p w14:paraId="04F0E47F" w14:textId="38EFCCC7" w:rsidR="00852943" w:rsidRPr="00EC7C0A" w:rsidRDefault="00852943" w:rsidP="00852943">
            <w:pPr>
              <w:spacing w:before="0" w:after="0" w:line="240" w:lineRule="auto"/>
              <w:jc w:val="both"/>
              <w:rPr>
                <w:rFonts w:asciiTheme="minorHAnsi" w:eastAsia="Times New Roman" w:hAnsiTheme="minorHAnsi" w:cs="Calibri"/>
                <w:color w:val="000000"/>
                <w:kern w:val="0"/>
                <w:sz w:val="20"/>
                <w:lang w:val="en-IE" w:eastAsia="en-IE"/>
              </w:rPr>
            </w:pPr>
            <w:r w:rsidRPr="00EC7C0A">
              <w:rPr>
                <w:rFonts w:asciiTheme="minorHAnsi" w:eastAsia="Times New Roman" w:hAnsiTheme="minorHAnsi" w:cs="Calibri"/>
                <w:color w:val="000000"/>
                <w:kern w:val="0"/>
                <w:sz w:val="20"/>
                <w:lang w:val="en-IE" w:eastAsia="en-IE"/>
              </w:rPr>
              <w:t xml:space="preserve">Customers with at least one </w:t>
            </w:r>
            <w:r w:rsidR="00C97D4F">
              <w:rPr>
                <w:rFonts w:asciiTheme="minorHAnsi" w:eastAsia="Times New Roman" w:hAnsiTheme="minorHAnsi" w:cs="Calibri"/>
                <w:color w:val="000000"/>
                <w:kern w:val="0"/>
                <w:sz w:val="20"/>
                <w:lang w:val="en-IE" w:eastAsia="en-IE"/>
              </w:rPr>
              <w:t xml:space="preserve">(individual) </w:t>
            </w:r>
            <w:r w:rsidRPr="00EC7C0A">
              <w:rPr>
                <w:rFonts w:asciiTheme="minorHAnsi" w:eastAsia="Times New Roman" w:hAnsiTheme="minorHAnsi" w:cs="Calibri"/>
                <w:color w:val="000000"/>
                <w:kern w:val="0"/>
                <w:sz w:val="20"/>
                <w:lang w:val="en-IE" w:eastAsia="en-IE"/>
              </w:rPr>
              <w:t xml:space="preserve">transaction over EUR 250 from/to a non-EEA country </w:t>
            </w:r>
            <w:r w:rsidR="69DB67A7" w:rsidRPr="07AC7BFA">
              <w:rPr>
                <w:rFonts w:asciiTheme="minorHAnsi" w:eastAsia="Times New Roman" w:hAnsiTheme="minorHAnsi" w:cs="Calibri"/>
                <w:color w:val="000000"/>
                <w:kern w:val="0"/>
                <w:sz w:val="20"/>
                <w:lang w:val="en-IE" w:eastAsia="en-IE"/>
              </w:rPr>
              <w:t>during</w:t>
            </w:r>
            <w:r w:rsidRPr="00EC7C0A">
              <w:rPr>
                <w:rFonts w:asciiTheme="minorHAnsi" w:eastAsia="Times New Roman" w:hAnsiTheme="minorHAnsi" w:cs="Calibri"/>
                <w:color w:val="000000"/>
                <w:kern w:val="0"/>
                <w:sz w:val="20"/>
                <w:lang w:val="en-IE" w:eastAsia="en-IE"/>
              </w:rPr>
              <w:t xml:space="preserve"> the </w:t>
            </w:r>
            <w:r w:rsidR="00E33D3D">
              <w:rPr>
                <w:rFonts w:asciiTheme="minorHAnsi" w:eastAsia="Times New Roman" w:hAnsiTheme="minorHAnsi" w:cs="Calibri"/>
                <w:color w:val="000000"/>
                <w:kern w:val="0"/>
                <w:sz w:val="20"/>
                <w:lang w:val="en-IE" w:eastAsia="en-IE"/>
              </w:rPr>
              <w:t>reference</w:t>
            </w:r>
            <w:r w:rsidRPr="00EC7C0A">
              <w:rPr>
                <w:rFonts w:asciiTheme="minorHAnsi" w:eastAsia="Times New Roman" w:hAnsiTheme="minorHAnsi" w:cs="Calibri"/>
                <w:color w:val="000000"/>
                <w:kern w:val="0"/>
                <w:sz w:val="20"/>
                <w:lang w:val="en-IE" w:eastAsia="en-IE"/>
              </w:rPr>
              <w:t xml:space="preserve"> year</w:t>
            </w:r>
            <w:r w:rsidR="0080641D">
              <w:rPr>
                <w:rFonts w:asciiTheme="minorHAnsi" w:eastAsia="Times New Roman" w:hAnsiTheme="minorHAnsi" w:cs="Calibri"/>
                <w:color w:val="000000"/>
                <w:kern w:val="0"/>
                <w:sz w:val="20"/>
                <w:lang w:val="en-IE" w:eastAsia="en-IE"/>
              </w:rPr>
              <w:t xml:space="preserve"> (initiation </w:t>
            </w:r>
            <w:r w:rsidR="00386C55">
              <w:rPr>
                <w:rFonts w:asciiTheme="minorHAnsi" w:eastAsia="Times New Roman" w:hAnsiTheme="minorHAnsi" w:cs="Calibri"/>
                <w:color w:val="000000"/>
                <w:kern w:val="0"/>
                <w:sz w:val="20"/>
                <w:lang w:val="en-IE" w:eastAsia="en-IE"/>
              </w:rPr>
              <w:t xml:space="preserve">by either the </w:t>
            </w:r>
            <w:r w:rsidR="00D7236B">
              <w:rPr>
                <w:rFonts w:asciiTheme="minorHAnsi" w:eastAsia="Times New Roman" w:hAnsiTheme="minorHAnsi" w:cs="Calibri"/>
                <w:color w:val="000000"/>
                <w:kern w:val="0"/>
                <w:sz w:val="20"/>
                <w:lang w:val="en-IE" w:eastAsia="en-IE"/>
              </w:rPr>
              <w:t>customer</w:t>
            </w:r>
            <w:r w:rsidR="00386C55">
              <w:rPr>
                <w:rFonts w:asciiTheme="minorHAnsi" w:eastAsia="Times New Roman" w:hAnsiTheme="minorHAnsi" w:cs="Calibri"/>
                <w:color w:val="000000"/>
                <w:kern w:val="0"/>
                <w:sz w:val="20"/>
                <w:lang w:val="en-IE" w:eastAsia="en-IE"/>
              </w:rPr>
              <w:t xml:space="preserve"> or the counterparty</w:t>
            </w:r>
            <w:r w:rsidR="00D7236B">
              <w:rPr>
                <w:rFonts w:asciiTheme="minorHAnsi" w:eastAsia="Times New Roman" w:hAnsiTheme="minorHAnsi" w:cs="Calibri"/>
                <w:color w:val="000000"/>
                <w:kern w:val="0"/>
                <w:sz w:val="20"/>
                <w:lang w:val="en-IE" w:eastAsia="en-IE"/>
              </w:rPr>
              <w:t>)</w:t>
            </w:r>
            <w:r w:rsidRPr="00EC7C0A">
              <w:rPr>
                <w:rFonts w:asciiTheme="minorHAnsi" w:eastAsia="Times New Roman" w:hAnsiTheme="minorHAnsi" w:cs="Calibri"/>
                <w:color w:val="000000"/>
                <w:kern w:val="0"/>
                <w:sz w:val="20"/>
                <w:lang w:val="en-IE" w:eastAsia="en-IE"/>
              </w:rPr>
              <w:t>.</w:t>
            </w:r>
          </w:p>
          <w:p w14:paraId="5D1FD2F9" w14:textId="77777777" w:rsidR="005372A9" w:rsidRDefault="005372A9" w:rsidP="00852943">
            <w:pPr>
              <w:spacing w:before="0" w:after="0" w:line="240" w:lineRule="auto"/>
              <w:jc w:val="both"/>
              <w:rPr>
                <w:rFonts w:asciiTheme="minorHAnsi" w:eastAsia="Times New Roman" w:hAnsiTheme="minorHAnsi" w:cs="Calibri"/>
                <w:color w:val="000000"/>
                <w:kern w:val="0"/>
                <w:sz w:val="20"/>
                <w:lang w:val="en-IE" w:eastAsia="en-IE"/>
              </w:rPr>
            </w:pPr>
          </w:p>
          <w:p w14:paraId="5A823CE9" w14:textId="66E36C93" w:rsidR="005372A9" w:rsidRPr="00EC7C0A" w:rsidRDefault="00C83CAB" w:rsidP="00852943">
            <w:pPr>
              <w:spacing w:before="0" w:after="0" w:line="240" w:lineRule="auto"/>
              <w:jc w:val="both"/>
              <w:rPr>
                <w:rFonts w:asciiTheme="minorHAnsi" w:eastAsia="Times New Roman" w:hAnsiTheme="minorHAnsi" w:cs="Calibri"/>
                <w:color w:val="000000"/>
                <w:kern w:val="0"/>
                <w:sz w:val="20"/>
                <w:lang w:val="en-IE" w:eastAsia="en-IE"/>
              </w:rPr>
            </w:pPr>
            <w:r>
              <w:rPr>
                <w:rFonts w:asciiTheme="minorHAnsi" w:eastAsia="Times New Roman" w:hAnsiTheme="minorHAnsi" w:cs="Calibri"/>
                <w:color w:val="000000"/>
                <w:kern w:val="0"/>
                <w:sz w:val="20"/>
                <w:lang w:val="en-IE" w:eastAsia="en-IE"/>
              </w:rPr>
              <w:t xml:space="preserve">In the context of this data collection </w:t>
            </w:r>
            <w:r w:rsidR="008C14BC">
              <w:rPr>
                <w:rFonts w:asciiTheme="minorHAnsi" w:eastAsia="Times New Roman" w:hAnsiTheme="minorHAnsi" w:cs="Calibri"/>
                <w:color w:val="000000"/>
                <w:kern w:val="0"/>
                <w:sz w:val="20"/>
                <w:lang w:val="en-IE" w:eastAsia="en-IE"/>
              </w:rPr>
              <w:t>Non</w:t>
            </w:r>
            <w:r w:rsidR="00B25646">
              <w:rPr>
                <w:rFonts w:asciiTheme="minorHAnsi" w:eastAsia="Times New Roman" w:hAnsiTheme="minorHAnsi" w:cs="Calibri"/>
                <w:color w:val="000000"/>
                <w:kern w:val="0"/>
                <w:sz w:val="20"/>
                <w:lang w:val="en-IE" w:eastAsia="en-IE"/>
              </w:rPr>
              <w:t>-</w:t>
            </w:r>
            <w:r w:rsidR="008C14BC">
              <w:rPr>
                <w:rFonts w:asciiTheme="minorHAnsi" w:eastAsia="Times New Roman" w:hAnsiTheme="minorHAnsi" w:cs="Calibri"/>
                <w:color w:val="000000"/>
                <w:kern w:val="0"/>
                <w:sz w:val="20"/>
                <w:lang w:val="en-IE" w:eastAsia="en-IE"/>
              </w:rPr>
              <w:t xml:space="preserve">EEA </w:t>
            </w:r>
            <w:r>
              <w:rPr>
                <w:rFonts w:asciiTheme="minorHAnsi" w:eastAsia="Times New Roman" w:hAnsiTheme="minorHAnsi" w:cs="Calibri"/>
                <w:color w:val="000000"/>
                <w:kern w:val="0"/>
                <w:sz w:val="20"/>
                <w:lang w:val="en-IE" w:eastAsia="en-IE"/>
              </w:rPr>
              <w:t>countr</w:t>
            </w:r>
            <w:r w:rsidR="008F2B4C">
              <w:rPr>
                <w:rFonts w:asciiTheme="minorHAnsi" w:eastAsia="Times New Roman" w:hAnsiTheme="minorHAnsi" w:cs="Calibri"/>
                <w:color w:val="000000"/>
                <w:kern w:val="0"/>
                <w:sz w:val="20"/>
                <w:lang w:val="en-IE" w:eastAsia="en-IE"/>
              </w:rPr>
              <w:t xml:space="preserve">ies </w:t>
            </w:r>
            <w:r w:rsidR="008C14BC">
              <w:rPr>
                <w:rFonts w:asciiTheme="minorHAnsi" w:eastAsia="Times New Roman" w:hAnsiTheme="minorHAnsi" w:cs="Calibri"/>
                <w:color w:val="000000"/>
                <w:kern w:val="0"/>
                <w:sz w:val="20"/>
                <w:lang w:val="en-IE" w:eastAsia="en-IE"/>
              </w:rPr>
              <w:t xml:space="preserve">refer to the </w:t>
            </w:r>
            <w:r w:rsidR="00B94323">
              <w:rPr>
                <w:rFonts w:asciiTheme="minorHAnsi" w:eastAsia="Times New Roman" w:hAnsiTheme="minorHAnsi" w:cs="Calibri"/>
                <w:color w:val="000000"/>
                <w:kern w:val="0"/>
                <w:sz w:val="20"/>
                <w:lang w:val="en-IE" w:eastAsia="en-IE"/>
              </w:rPr>
              <w:t xml:space="preserve">counterparty’s </w:t>
            </w:r>
            <w:r w:rsidR="00317871">
              <w:rPr>
                <w:rFonts w:asciiTheme="minorHAnsi" w:eastAsia="Times New Roman" w:hAnsiTheme="minorHAnsi" w:cs="Calibri"/>
                <w:color w:val="000000"/>
                <w:kern w:val="0"/>
                <w:sz w:val="20"/>
                <w:lang w:val="en-IE" w:eastAsia="en-IE"/>
              </w:rPr>
              <w:t>account</w:t>
            </w:r>
            <w:r w:rsidR="00606559">
              <w:rPr>
                <w:rFonts w:asciiTheme="minorHAnsi" w:eastAsia="Times New Roman" w:hAnsiTheme="minorHAnsi" w:cs="Calibri"/>
                <w:color w:val="000000"/>
                <w:kern w:val="0"/>
                <w:sz w:val="20"/>
                <w:lang w:val="en-IE" w:eastAsia="en-IE"/>
              </w:rPr>
              <w:t xml:space="preserve"> </w:t>
            </w:r>
            <w:r w:rsidR="00B94323">
              <w:rPr>
                <w:rFonts w:asciiTheme="minorHAnsi" w:eastAsia="Times New Roman" w:hAnsiTheme="minorHAnsi" w:cs="Calibri"/>
                <w:color w:val="000000"/>
                <w:kern w:val="0"/>
                <w:sz w:val="20"/>
                <w:lang w:val="en-IE" w:eastAsia="en-IE"/>
              </w:rPr>
              <w:t>location</w:t>
            </w:r>
            <w:r w:rsidR="00317871">
              <w:rPr>
                <w:rFonts w:asciiTheme="minorHAnsi" w:eastAsia="Times New Roman" w:hAnsiTheme="minorHAnsi" w:cs="Calibri"/>
                <w:color w:val="000000"/>
                <w:kern w:val="0"/>
                <w:sz w:val="20"/>
                <w:lang w:val="en-IE" w:eastAsia="en-IE"/>
              </w:rPr>
              <w:t xml:space="preserve"> </w:t>
            </w:r>
            <w:r w:rsidR="0047255B">
              <w:rPr>
                <w:rFonts w:asciiTheme="minorHAnsi" w:eastAsia="Times New Roman" w:hAnsiTheme="minorHAnsi" w:cs="Calibri"/>
                <w:color w:val="000000"/>
                <w:kern w:val="0"/>
                <w:sz w:val="20"/>
                <w:lang w:val="en-IE" w:eastAsia="en-IE"/>
              </w:rPr>
              <w:t>(country</w:t>
            </w:r>
            <w:r w:rsidR="00606559">
              <w:rPr>
                <w:rFonts w:asciiTheme="minorHAnsi" w:eastAsia="Times New Roman" w:hAnsiTheme="minorHAnsi" w:cs="Calibri"/>
                <w:color w:val="000000"/>
                <w:kern w:val="0"/>
                <w:sz w:val="20"/>
                <w:lang w:val="en-IE" w:eastAsia="en-IE"/>
              </w:rPr>
              <w:t>)</w:t>
            </w:r>
            <w:r w:rsidR="00B94323">
              <w:rPr>
                <w:rFonts w:asciiTheme="minorHAnsi" w:eastAsia="Times New Roman" w:hAnsiTheme="minorHAnsi" w:cs="Calibri"/>
                <w:color w:val="000000"/>
                <w:kern w:val="0"/>
                <w:sz w:val="20"/>
                <w:lang w:val="en-IE" w:eastAsia="en-IE"/>
              </w:rPr>
              <w:t xml:space="preserve">. </w:t>
            </w:r>
            <w:r w:rsidR="00BE6D50">
              <w:rPr>
                <w:rFonts w:asciiTheme="minorHAnsi" w:eastAsia="Times New Roman" w:hAnsiTheme="minorHAnsi" w:cs="Calibri"/>
                <w:color w:val="000000"/>
                <w:kern w:val="0"/>
                <w:sz w:val="20"/>
                <w:lang w:val="en-IE" w:eastAsia="en-IE"/>
              </w:rPr>
              <w:t xml:space="preserve">For clarity, this includes also </w:t>
            </w:r>
            <w:r w:rsidR="00360E23">
              <w:rPr>
                <w:rFonts w:asciiTheme="minorHAnsi" w:eastAsia="Times New Roman" w:hAnsiTheme="minorHAnsi" w:cs="Calibri"/>
                <w:color w:val="000000"/>
                <w:kern w:val="0"/>
                <w:sz w:val="20"/>
                <w:lang w:val="en-IE" w:eastAsia="en-IE"/>
              </w:rPr>
              <w:t xml:space="preserve">non-EEA countries </w:t>
            </w:r>
            <w:r w:rsidR="00F84CF8">
              <w:rPr>
                <w:rFonts w:asciiTheme="minorHAnsi" w:eastAsia="Times New Roman" w:hAnsiTheme="minorHAnsi" w:cs="Calibri"/>
                <w:color w:val="000000"/>
                <w:kern w:val="0"/>
                <w:sz w:val="20"/>
                <w:lang w:val="en-IE" w:eastAsia="en-IE"/>
              </w:rPr>
              <w:t xml:space="preserve">in the SEPA zone. </w:t>
            </w:r>
          </w:p>
          <w:p w14:paraId="5DE0CEB8" w14:textId="77777777" w:rsidR="009D1BE2" w:rsidRDefault="009D1BE2" w:rsidP="00852943">
            <w:pPr>
              <w:spacing w:before="0" w:after="0" w:line="240" w:lineRule="auto"/>
              <w:jc w:val="both"/>
              <w:rPr>
                <w:rFonts w:asciiTheme="minorHAnsi" w:eastAsia="Times New Roman" w:hAnsiTheme="minorHAnsi" w:cs="Calibri"/>
                <w:b/>
                <w:bCs/>
                <w:color w:val="000000"/>
                <w:kern w:val="0"/>
                <w:sz w:val="20"/>
                <w:lang w:val="en-IE" w:eastAsia="en-IE"/>
              </w:rPr>
            </w:pPr>
          </w:p>
          <w:p w14:paraId="4ADE1FB3" w14:textId="77777777" w:rsidR="00231B6A" w:rsidRDefault="00852943" w:rsidP="00852943">
            <w:pPr>
              <w:spacing w:before="0" w:after="0" w:line="240" w:lineRule="auto"/>
              <w:jc w:val="both"/>
              <w:rPr>
                <w:rFonts w:asciiTheme="minorHAnsi" w:eastAsia="Times New Roman" w:hAnsiTheme="minorHAnsi" w:cs="Calibri"/>
                <w:color w:val="000000"/>
                <w:kern w:val="0"/>
                <w:sz w:val="20"/>
                <w:lang w:val="en-IE" w:eastAsia="en-IE"/>
              </w:rPr>
            </w:pPr>
            <w:r w:rsidRPr="00EC7C0A">
              <w:rPr>
                <w:rFonts w:asciiTheme="minorHAnsi" w:eastAsia="Times New Roman" w:hAnsiTheme="minorHAnsi" w:cs="Calibri"/>
                <w:b/>
                <w:bCs/>
                <w:color w:val="000000"/>
                <w:kern w:val="0"/>
                <w:sz w:val="20"/>
                <w:lang w:val="en-IE" w:eastAsia="en-IE"/>
              </w:rPr>
              <w:t>For LI</w:t>
            </w:r>
            <w:r w:rsidRPr="00EC7C0A">
              <w:rPr>
                <w:rFonts w:asciiTheme="minorHAnsi" w:eastAsia="Times New Roman" w:hAnsiTheme="minorHAnsi" w:cs="Calibri"/>
                <w:color w:val="000000"/>
                <w:kern w:val="0"/>
                <w:sz w:val="20"/>
                <w:lang w:val="en-IE" w:eastAsia="en-IE"/>
              </w:rPr>
              <w:t>: Gross premiums written/claims received/paid from/to non-EEA countries, if different from the country of residence of the policyholder.</w:t>
            </w:r>
          </w:p>
          <w:p w14:paraId="21F00C7C" w14:textId="77777777" w:rsidR="00DD1379" w:rsidRDefault="00DD1379" w:rsidP="00852943">
            <w:pPr>
              <w:spacing w:before="0" w:after="0" w:line="240" w:lineRule="auto"/>
              <w:jc w:val="both"/>
              <w:rPr>
                <w:rFonts w:asciiTheme="minorHAnsi" w:eastAsia="Times New Roman" w:hAnsiTheme="minorHAnsi" w:cs="Calibri"/>
                <w:color w:val="000000"/>
                <w:kern w:val="0"/>
                <w:sz w:val="20"/>
                <w:lang w:val="en-IE" w:eastAsia="en-IE"/>
              </w:rPr>
            </w:pPr>
          </w:p>
          <w:p w14:paraId="6C94B93A" w14:textId="677FAAF8" w:rsidR="00DD1379" w:rsidRPr="00DD1379" w:rsidRDefault="00DD1379" w:rsidP="00DD1379">
            <w:pPr>
              <w:spacing w:before="0" w:after="0" w:line="240" w:lineRule="auto"/>
              <w:jc w:val="both"/>
              <w:rPr>
                <w:rFonts w:asciiTheme="minorHAnsi" w:eastAsia="Times New Roman" w:hAnsiTheme="minorHAnsi" w:cs="Calibri"/>
                <w:color w:val="000000"/>
                <w:kern w:val="0"/>
                <w:sz w:val="20"/>
                <w:lang w:val="en-IE" w:eastAsia="en-IE"/>
              </w:rPr>
            </w:pPr>
            <w:r w:rsidRPr="001C4ACF">
              <w:rPr>
                <w:rFonts w:asciiTheme="minorHAnsi" w:eastAsia="Times New Roman" w:hAnsiTheme="minorHAnsi" w:cs="Calibri"/>
                <w:b/>
                <w:bCs/>
                <w:color w:val="000000"/>
                <w:kern w:val="0"/>
                <w:sz w:val="20"/>
                <w:lang w:val="en-IE" w:eastAsia="en-IE"/>
              </w:rPr>
              <w:t xml:space="preserve">For </w:t>
            </w:r>
            <w:r w:rsidR="001C4ACF" w:rsidRPr="001C4ACF">
              <w:rPr>
                <w:rFonts w:asciiTheme="minorHAnsi" w:eastAsia="Times New Roman" w:hAnsiTheme="minorHAnsi" w:cs="Calibri"/>
                <w:b/>
                <w:bCs/>
                <w:color w:val="000000"/>
                <w:kern w:val="0"/>
                <w:sz w:val="20"/>
                <w:lang w:val="en-IE" w:eastAsia="en-IE"/>
              </w:rPr>
              <w:t>CASPs</w:t>
            </w:r>
            <w:r w:rsidR="001C4ACF">
              <w:rPr>
                <w:rFonts w:asciiTheme="minorHAnsi" w:eastAsia="Times New Roman" w:hAnsiTheme="minorHAnsi" w:cs="Calibri"/>
                <w:color w:val="000000"/>
                <w:kern w:val="0"/>
                <w:sz w:val="20"/>
                <w:lang w:val="en-IE" w:eastAsia="en-IE"/>
              </w:rPr>
              <w:t>: C</w:t>
            </w:r>
            <w:r w:rsidRPr="00DD1379">
              <w:rPr>
                <w:rFonts w:asciiTheme="minorHAnsi" w:eastAsia="Times New Roman" w:hAnsiTheme="minorHAnsi" w:cs="Calibri"/>
                <w:color w:val="000000"/>
                <w:kern w:val="0"/>
                <w:sz w:val="20"/>
                <w:lang w:val="en-IE" w:eastAsia="en-IE"/>
              </w:rPr>
              <w:t>ustomers with cross-border activity involving non-EEA countries should be identified based on customer-initiated transactions or instructions that, within the scope of the services provided, involve counterparties, wallets, service providers or fiat on- or off-ramps associated with non-EEA jurisdictions, as identified through customer due diligence, onboarding or</w:t>
            </w:r>
            <w:r w:rsidR="001D420D">
              <w:rPr>
                <w:rFonts w:asciiTheme="minorHAnsi" w:eastAsia="Times New Roman" w:hAnsiTheme="minorHAnsi" w:cs="Calibri"/>
                <w:color w:val="000000"/>
                <w:kern w:val="0"/>
                <w:sz w:val="20"/>
                <w:lang w:val="en-IE" w:eastAsia="en-IE"/>
              </w:rPr>
              <w:t xml:space="preserve"> any </w:t>
            </w:r>
            <w:r w:rsidRPr="00DD1379">
              <w:rPr>
                <w:rFonts w:asciiTheme="minorHAnsi" w:eastAsia="Times New Roman" w:hAnsiTheme="minorHAnsi" w:cs="Calibri"/>
                <w:color w:val="000000"/>
                <w:kern w:val="0"/>
                <w:sz w:val="20"/>
                <w:lang w:val="en-IE" w:eastAsia="en-IE"/>
              </w:rPr>
              <w:t>other information obtained in the ordinary course of business</w:t>
            </w:r>
            <w:r w:rsidR="001D420D">
              <w:rPr>
                <w:rFonts w:asciiTheme="minorHAnsi" w:eastAsia="Times New Roman" w:hAnsiTheme="minorHAnsi" w:cs="Calibri"/>
                <w:color w:val="000000"/>
                <w:kern w:val="0"/>
                <w:sz w:val="20"/>
                <w:lang w:val="en-IE" w:eastAsia="en-IE"/>
              </w:rPr>
              <w:t xml:space="preserve">. </w:t>
            </w:r>
          </w:p>
          <w:p w14:paraId="7228540A" w14:textId="5DDDD168" w:rsidR="00491899" w:rsidRDefault="00DD1379" w:rsidP="00DD1379">
            <w:pPr>
              <w:spacing w:before="0" w:after="0" w:line="240" w:lineRule="auto"/>
              <w:jc w:val="both"/>
              <w:rPr>
                <w:rFonts w:asciiTheme="minorHAnsi" w:eastAsia="Times New Roman" w:hAnsiTheme="minorHAnsi" w:cs="Calibri"/>
                <w:color w:val="000000"/>
                <w:kern w:val="0"/>
                <w:sz w:val="20"/>
                <w:lang w:val="en-IE" w:eastAsia="en-IE"/>
              </w:rPr>
            </w:pPr>
            <w:r w:rsidRPr="00DD1379">
              <w:rPr>
                <w:rFonts w:asciiTheme="minorHAnsi" w:eastAsia="Times New Roman" w:hAnsiTheme="minorHAnsi" w:cs="Calibri"/>
                <w:color w:val="000000"/>
                <w:kern w:val="0"/>
                <w:sz w:val="20"/>
                <w:lang w:val="en-IE" w:eastAsia="en-IE"/>
              </w:rPr>
              <w:t xml:space="preserve">For the purposes of this data point, such exposure may exist irrespective of whether a fiat transfer occurs and without requiring the conversion of crypto-asset movements into a EUR equivalent. Where fiat transfers are involved, the EUR 250 threshold applies. Where no fiat leg exists, the presence of non-EEA </w:t>
            </w:r>
            <w:r w:rsidR="00D268F6">
              <w:rPr>
                <w:rFonts w:asciiTheme="minorHAnsi" w:eastAsia="Times New Roman" w:hAnsiTheme="minorHAnsi" w:cs="Calibri"/>
                <w:color w:val="000000"/>
                <w:kern w:val="0"/>
                <w:sz w:val="20"/>
                <w:lang w:val="en-IE" w:eastAsia="en-IE"/>
              </w:rPr>
              <w:t xml:space="preserve">countries </w:t>
            </w:r>
            <w:r w:rsidRPr="00DD1379">
              <w:rPr>
                <w:rFonts w:asciiTheme="minorHAnsi" w:eastAsia="Times New Roman" w:hAnsiTheme="minorHAnsi" w:cs="Calibri"/>
                <w:color w:val="000000"/>
                <w:kern w:val="0"/>
                <w:sz w:val="20"/>
                <w:lang w:val="en-IE" w:eastAsia="en-IE"/>
              </w:rPr>
              <w:t xml:space="preserve">directional exposure should be reported irrespective of value. Each customer should be counted once if at least one such transaction or instruction occurred during the </w:t>
            </w:r>
            <w:r w:rsidR="00E1242D">
              <w:rPr>
                <w:rFonts w:asciiTheme="minorHAnsi" w:eastAsia="Times New Roman" w:hAnsiTheme="minorHAnsi" w:cs="Calibri"/>
                <w:color w:val="000000"/>
                <w:kern w:val="0"/>
                <w:sz w:val="20"/>
                <w:lang w:val="en-IE" w:eastAsia="en-IE"/>
              </w:rPr>
              <w:t>reference year</w:t>
            </w:r>
            <w:r w:rsidRPr="00DD1379">
              <w:rPr>
                <w:rFonts w:asciiTheme="minorHAnsi" w:eastAsia="Times New Roman" w:hAnsiTheme="minorHAnsi" w:cs="Calibri"/>
                <w:color w:val="000000"/>
                <w:kern w:val="0"/>
                <w:sz w:val="20"/>
                <w:lang w:val="en-IE" w:eastAsia="en-IE"/>
              </w:rPr>
              <w:t>.</w:t>
            </w:r>
          </w:p>
          <w:p w14:paraId="260AE7C1" w14:textId="77777777" w:rsidR="00491899" w:rsidRDefault="00491899" w:rsidP="00DD1379">
            <w:pPr>
              <w:spacing w:before="0" w:after="0" w:line="240" w:lineRule="auto"/>
              <w:jc w:val="both"/>
              <w:rPr>
                <w:rFonts w:asciiTheme="minorHAnsi" w:eastAsia="Times New Roman" w:hAnsiTheme="minorHAnsi" w:cs="Calibri"/>
                <w:color w:val="000000"/>
                <w:kern w:val="0"/>
                <w:sz w:val="20"/>
                <w:lang w:val="en-IE" w:eastAsia="en-IE"/>
              </w:rPr>
            </w:pPr>
          </w:p>
          <w:p w14:paraId="4472CE20" w14:textId="38157508" w:rsidR="00DD1379" w:rsidRPr="00517708" w:rsidRDefault="00DD1379" w:rsidP="00DD1379">
            <w:pPr>
              <w:spacing w:before="0" w:after="0" w:line="240" w:lineRule="auto"/>
              <w:jc w:val="both"/>
              <w:rPr>
                <w:rFonts w:asciiTheme="minorHAnsi" w:eastAsia="Times New Roman" w:hAnsiTheme="minorHAnsi" w:cs="Calibri"/>
                <w:b/>
                <w:bCs/>
                <w:color w:val="000000"/>
                <w:kern w:val="0"/>
                <w:sz w:val="20"/>
                <w:u w:val="single"/>
                <w:lang w:val="en-IE" w:eastAsia="en-IE"/>
              </w:rPr>
            </w:pPr>
          </w:p>
        </w:tc>
      </w:tr>
      <w:tr w:rsidR="00852943" w:rsidRPr="009B282E" w14:paraId="70703F8F" w14:textId="77777777" w:rsidTr="003A7C34">
        <w:tc>
          <w:tcPr>
            <w:tcW w:w="1673" w:type="dxa"/>
            <w:tcBorders>
              <w:top w:val="single" w:sz="4" w:space="0" w:color="auto"/>
              <w:left w:val="single" w:sz="4" w:space="0" w:color="auto"/>
              <w:bottom w:val="single" w:sz="4" w:space="0" w:color="auto"/>
              <w:right w:val="single" w:sz="4" w:space="0" w:color="auto"/>
            </w:tcBorders>
          </w:tcPr>
          <w:p w14:paraId="36DC56BB" w14:textId="1767B7F8" w:rsidR="00852943" w:rsidRPr="009275BC" w:rsidRDefault="00852943" w:rsidP="00F32516">
            <w:pPr>
              <w:pStyle w:val="InstructionsText"/>
              <w:rPr>
                <w:rStyle w:val="FormatvorlageInstructionsTabelleText"/>
                <w:rFonts w:asciiTheme="minorHAnsi" w:hAnsiTheme="minorHAnsi"/>
                <w:bCs/>
              </w:rPr>
            </w:pPr>
            <w:r w:rsidRPr="009275BC">
              <w:rPr>
                <w:rStyle w:val="FormatvorlageInstructionsTabelleText"/>
                <w:rFonts w:asciiTheme="minorHAnsi" w:hAnsiTheme="minorHAnsi"/>
              </w:rPr>
              <w:t>C01</w:t>
            </w:r>
            <w:r w:rsidR="00FD5D54">
              <w:rPr>
                <w:rStyle w:val="FormatvorlageInstructionsTabelleText"/>
                <w:rFonts w:asciiTheme="minorHAnsi" w:hAnsiTheme="minorHAnsi"/>
              </w:rPr>
              <w:t>50</w:t>
            </w:r>
          </w:p>
        </w:tc>
        <w:tc>
          <w:tcPr>
            <w:tcW w:w="7616" w:type="dxa"/>
            <w:tcBorders>
              <w:top w:val="single" w:sz="4" w:space="0" w:color="auto"/>
              <w:left w:val="single" w:sz="4" w:space="0" w:color="auto"/>
              <w:bottom w:val="single" w:sz="4" w:space="0" w:color="auto"/>
              <w:right w:val="single" w:sz="4" w:space="0" w:color="auto"/>
            </w:tcBorders>
          </w:tcPr>
          <w:p w14:paraId="567E04C5" w14:textId="476E8860" w:rsidR="00491899" w:rsidRDefault="00A9777A" w:rsidP="00EC5A28">
            <w:pPr>
              <w:pStyle w:val="InstructionsText2"/>
              <w:rPr>
                <w:rFonts w:asciiTheme="minorHAnsi" w:hAnsiTheme="minorHAnsi" w:cs="Calibri"/>
                <w:color w:val="000000"/>
                <w:sz w:val="20"/>
                <w:szCs w:val="20"/>
                <w:lang w:val="en-IE" w:eastAsia="en-IE"/>
              </w:rPr>
            </w:pPr>
            <w:r>
              <w:rPr>
                <w:rFonts w:ascii="Aptos" w:hAnsi="Aptos" w:cs="Calibri"/>
                <w:b/>
                <w:sz w:val="20"/>
                <w:szCs w:val="20"/>
                <w:u w:val="single"/>
                <w:lang w:val="en-IE" w:eastAsia="en-IE"/>
              </w:rPr>
              <w:t>‘</w:t>
            </w:r>
            <w:r w:rsidR="00491899" w:rsidRPr="02C18177">
              <w:rPr>
                <w:rFonts w:ascii="Aptos" w:hAnsi="Aptos" w:cs="Calibri"/>
                <w:b/>
                <w:sz w:val="20"/>
                <w:szCs w:val="20"/>
                <w:u w:val="single"/>
                <w:lang w:val="en-IE" w:eastAsia="en-IE"/>
              </w:rPr>
              <w:t xml:space="preserve">Walk-in </w:t>
            </w:r>
            <w:r w:rsidR="004F27D1">
              <w:rPr>
                <w:rStyle w:val="InstructionsTabelleberschrift"/>
                <w:rFonts w:asciiTheme="minorHAnsi" w:hAnsiTheme="minorHAnsi"/>
              </w:rPr>
              <w:t>c</w:t>
            </w:r>
            <w:r w:rsidR="00491899" w:rsidRPr="00EC5A28">
              <w:rPr>
                <w:rStyle w:val="InstructionsTabelleberschrift"/>
                <w:rFonts w:asciiTheme="minorHAnsi" w:hAnsiTheme="minorHAnsi"/>
              </w:rPr>
              <w:t>ustomers</w:t>
            </w:r>
            <w:r>
              <w:rPr>
                <w:rStyle w:val="InstructionsTabelleberschrift"/>
                <w:rFonts w:asciiTheme="minorHAnsi" w:hAnsiTheme="minorHAnsi"/>
              </w:rPr>
              <w:t>’</w:t>
            </w:r>
            <w:r w:rsidR="003E02E3">
              <w:rPr>
                <w:rStyle w:val="InstructionsTabelleberschrift"/>
                <w:rFonts w:asciiTheme="minorHAnsi" w:hAnsiTheme="minorHAnsi"/>
              </w:rPr>
              <w:t xml:space="preserve"> with </w:t>
            </w:r>
            <w:r w:rsidR="004B5591">
              <w:rPr>
                <w:rStyle w:val="InstructionsTabelleberschrift"/>
                <w:rFonts w:asciiTheme="minorHAnsi" w:hAnsiTheme="minorHAnsi"/>
              </w:rPr>
              <w:t>occasional transactions</w:t>
            </w:r>
          </w:p>
          <w:p w14:paraId="42BD36BA" w14:textId="19D26BD4" w:rsidR="004410F5" w:rsidRPr="004410F5" w:rsidRDefault="004410F5" w:rsidP="004410F5">
            <w:pPr>
              <w:spacing w:before="0" w:after="0" w:line="240" w:lineRule="auto"/>
              <w:jc w:val="both"/>
              <w:rPr>
                <w:rFonts w:asciiTheme="minorHAnsi" w:eastAsia="Times New Roman" w:hAnsiTheme="minorHAnsi" w:cs="Calibri"/>
                <w:color w:val="000000" w:themeColor="text1"/>
                <w:sz w:val="20"/>
                <w:lang w:val="en-IE" w:eastAsia="en-IE"/>
              </w:rPr>
            </w:pPr>
            <w:r w:rsidRPr="004410F5">
              <w:rPr>
                <w:rFonts w:asciiTheme="minorHAnsi" w:eastAsia="Times New Roman" w:hAnsiTheme="minorHAnsi" w:cs="Calibri"/>
                <w:color w:val="000000" w:themeColor="text1"/>
                <w:sz w:val="20"/>
                <w:lang w:val="en-IE" w:eastAsia="en-IE"/>
              </w:rPr>
              <w:t xml:space="preserve">This data point </w:t>
            </w:r>
            <w:r>
              <w:rPr>
                <w:rFonts w:asciiTheme="minorHAnsi" w:eastAsia="Times New Roman" w:hAnsiTheme="minorHAnsi" w:cs="Calibri"/>
                <w:color w:val="000000" w:themeColor="text1"/>
                <w:sz w:val="20"/>
                <w:lang w:val="en-IE" w:eastAsia="en-IE"/>
              </w:rPr>
              <w:t>is not applicable for</w:t>
            </w:r>
            <w:r w:rsidRPr="004410F5">
              <w:rPr>
                <w:rFonts w:asciiTheme="minorHAnsi" w:eastAsia="Times New Roman" w:hAnsiTheme="minorHAnsi" w:cs="Calibri"/>
                <w:color w:val="000000" w:themeColor="text1"/>
                <w:sz w:val="20"/>
                <w:lang w:val="en-IE" w:eastAsia="en-IE"/>
              </w:rPr>
              <w:t xml:space="preserve"> CP, LI, IF, AMC and O.</w:t>
            </w:r>
          </w:p>
          <w:p w14:paraId="0B7BAEBA" w14:textId="77777777" w:rsidR="004410F5" w:rsidRDefault="004410F5" w:rsidP="00EE21E3">
            <w:pPr>
              <w:spacing w:before="0" w:after="0" w:line="240" w:lineRule="auto"/>
              <w:jc w:val="both"/>
              <w:rPr>
                <w:rFonts w:asciiTheme="minorHAnsi" w:eastAsia="Times New Roman" w:hAnsiTheme="minorHAnsi" w:cs="Calibri"/>
                <w:color w:val="000000" w:themeColor="text1"/>
                <w:sz w:val="20"/>
                <w:lang w:val="en-IE" w:eastAsia="en-IE"/>
              </w:rPr>
            </w:pPr>
          </w:p>
          <w:p w14:paraId="2777DAB4" w14:textId="10C58B5F" w:rsidR="00491899" w:rsidRDefault="5DC54AA5" w:rsidP="00EE21E3">
            <w:pPr>
              <w:spacing w:before="0" w:after="0" w:line="240" w:lineRule="auto"/>
              <w:jc w:val="both"/>
              <w:rPr>
                <w:rFonts w:asciiTheme="minorHAnsi" w:eastAsia="Times New Roman" w:hAnsiTheme="minorHAnsi" w:cs="Calibri"/>
                <w:color w:val="000000" w:themeColor="text1"/>
                <w:sz w:val="20"/>
                <w:lang w:val="en-IE" w:eastAsia="en-IE"/>
              </w:rPr>
            </w:pPr>
            <w:r w:rsidRPr="125D8C06">
              <w:rPr>
                <w:rFonts w:asciiTheme="minorHAnsi" w:eastAsia="Times New Roman" w:hAnsiTheme="minorHAnsi" w:cs="Calibri"/>
                <w:color w:val="000000" w:themeColor="text1"/>
                <w:sz w:val="20"/>
                <w:lang w:val="en-IE" w:eastAsia="en-IE"/>
              </w:rPr>
              <w:t>Natural or legal person</w:t>
            </w:r>
            <w:r w:rsidR="00491899" w:rsidRPr="00EC5A28">
              <w:rPr>
                <w:rFonts w:asciiTheme="minorHAnsi" w:eastAsia="Times New Roman" w:hAnsiTheme="minorHAnsi" w:cs="Calibri"/>
                <w:color w:val="000000" w:themeColor="text1"/>
                <w:sz w:val="20"/>
                <w:lang w:val="en-IE" w:eastAsia="en-IE"/>
              </w:rPr>
              <w:t xml:space="preserve"> who conducted at least one occasional transaction </w:t>
            </w:r>
            <w:r w:rsidR="5ED8691D" w:rsidRPr="03637319">
              <w:rPr>
                <w:rFonts w:asciiTheme="minorHAnsi" w:eastAsia="Times New Roman" w:hAnsiTheme="minorHAnsi" w:cs="Calibri"/>
                <w:color w:val="000000" w:themeColor="text1"/>
                <w:sz w:val="20"/>
                <w:lang w:val="en-IE" w:eastAsia="en-IE"/>
              </w:rPr>
              <w:t xml:space="preserve">during the reference year </w:t>
            </w:r>
            <w:r w:rsidR="00491899" w:rsidRPr="00EC5A28">
              <w:rPr>
                <w:rFonts w:asciiTheme="minorHAnsi" w:eastAsia="Times New Roman" w:hAnsiTheme="minorHAnsi" w:cs="Calibri"/>
                <w:color w:val="000000" w:themeColor="text1"/>
                <w:sz w:val="20"/>
                <w:lang w:val="en-IE" w:eastAsia="en-IE"/>
              </w:rPr>
              <w:t>and have not entered into a business relationship with the obliged entity during the reference year.</w:t>
            </w:r>
          </w:p>
          <w:p w14:paraId="02ACFECC" w14:textId="2FDA60C7" w:rsidR="78F66760" w:rsidRDefault="78F66760" w:rsidP="78F66760">
            <w:pPr>
              <w:spacing w:before="0" w:after="0" w:line="240" w:lineRule="auto"/>
              <w:jc w:val="both"/>
              <w:rPr>
                <w:rFonts w:asciiTheme="minorHAnsi" w:eastAsia="Times New Roman" w:hAnsiTheme="minorHAnsi" w:cs="Calibri"/>
                <w:color w:val="000000" w:themeColor="text1"/>
                <w:sz w:val="20"/>
                <w:lang w:val="en-IE" w:eastAsia="en-IE"/>
              </w:rPr>
            </w:pPr>
          </w:p>
          <w:p w14:paraId="7B47233C" w14:textId="0F1F152C" w:rsidR="00A43D84" w:rsidRDefault="0168B777" w:rsidP="00EE21E3">
            <w:pPr>
              <w:spacing w:before="0" w:after="0" w:line="240" w:lineRule="auto"/>
              <w:jc w:val="both"/>
              <w:rPr>
                <w:rFonts w:asciiTheme="minorHAnsi" w:eastAsia="Times New Roman" w:hAnsiTheme="minorHAnsi" w:cs="Calibri"/>
                <w:color w:val="000000" w:themeColor="text1"/>
                <w:sz w:val="20"/>
                <w:lang w:val="en-IE" w:eastAsia="en-IE"/>
              </w:rPr>
            </w:pPr>
            <w:r w:rsidRPr="18944B84">
              <w:rPr>
                <w:rFonts w:asciiTheme="minorHAnsi" w:eastAsia="Times New Roman" w:hAnsiTheme="minorHAnsi" w:cs="Calibri"/>
                <w:color w:val="000000" w:themeColor="text1"/>
                <w:sz w:val="20"/>
                <w:lang w:val="en-IE" w:eastAsia="en-IE"/>
              </w:rPr>
              <w:t xml:space="preserve">For the purpose of this data collection exercise an occasional transaction means a transaction or a provision of services connected to a transaction that is not carried out as part of a business relationship as defined in Article 2(1)(19) </w:t>
            </w:r>
            <w:r w:rsidR="00632313">
              <w:rPr>
                <w:rFonts w:asciiTheme="minorHAnsi" w:eastAsia="Times New Roman" w:hAnsiTheme="minorHAnsi" w:cs="Calibri"/>
                <w:color w:val="000000" w:themeColor="text1"/>
                <w:sz w:val="20"/>
                <w:lang w:val="en-IE" w:eastAsia="en-IE"/>
              </w:rPr>
              <w:t>AMLR</w:t>
            </w:r>
            <w:r w:rsidRPr="00661DDB">
              <w:rPr>
                <w:rFonts w:asciiTheme="minorHAnsi" w:eastAsia="Times New Roman" w:hAnsiTheme="minorHAnsi" w:cs="Calibri"/>
                <w:color w:val="000000" w:themeColor="text1"/>
                <w:sz w:val="20"/>
                <w:lang w:val="en-IE" w:eastAsia="en-IE"/>
              </w:rPr>
              <w:t>.</w:t>
            </w:r>
            <w:r w:rsidRPr="18944B84">
              <w:rPr>
                <w:rFonts w:asciiTheme="minorHAnsi" w:eastAsia="Times New Roman" w:hAnsiTheme="minorHAnsi" w:cs="Calibri"/>
                <w:color w:val="000000" w:themeColor="text1"/>
                <w:sz w:val="20"/>
                <w:lang w:val="en-IE" w:eastAsia="en-IE"/>
              </w:rPr>
              <w:t xml:space="preserve"> For the purpose of this data collection exercise, the applicable thresholds defined in Article 19 </w:t>
            </w:r>
            <w:r w:rsidR="003517A9">
              <w:rPr>
                <w:rFonts w:asciiTheme="minorHAnsi" w:eastAsia="Times New Roman" w:hAnsiTheme="minorHAnsi" w:cs="Calibri"/>
                <w:color w:val="000000" w:themeColor="text1"/>
                <w:sz w:val="20"/>
                <w:lang w:val="en-IE" w:eastAsia="en-IE"/>
              </w:rPr>
              <w:t>AMLR</w:t>
            </w:r>
            <w:r w:rsidR="00162DD2">
              <w:rPr>
                <w:rFonts w:asciiTheme="minorHAnsi" w:eastAsia="Times New Roman" w:hAnsiTheme="minorHAnsi" w:cs="Calibri"/>
                <w:color w:val="000000" w:themeColor="text1"/>
                <w:sz w:val="20"/>
                <w:lang w:val="en-IE" w:eastAsia="en-IE"/>
              </w:rPr>
              <w:t xml:space="preserve"> </w:t>
            </w:r>
            <w:r w:rsidRPr="18944B84">
              <w:rPr>
                <w:rFonts w:asciiTheme="minorHAnsi" w:eastAsia="Times New Roman" w:hAnsiTheme="minorHAnsi" w:cs="Calibri"/>
                <w:color w:val="000000" w:themeColor="text1"/>
                <w:sz w:val="20"/>
                <w:lang w:val="en-IE" w:eastAsia="en-IE"/>
              </w:rPr>
              <w:t xml:space="preserve">are to be referred to for identifying </w:t>
            </w:r>
            <w:r w:rsidR="10E1657B" w:rsidRPr="18944B84">
              <w:rPr>
                <w:rFonts w:asciiTheme="minorHAnsi" w:eastAsia="Times New Roman" w:hAnsiTheme="minorHAnsi" w:cs="Calibri"/>
                <w:color w:val="000000" w:themeColor="text1"/>
                <w:sz w:val="20"/>
                <w:lang w:val="en-IE" w:eastAsia="en-IE"/>
              </w:rPr>
              <w:t xml:space="preserve">‘walk-in customers’ who conducted at least one </w:t>
            </w:r>
            <w:r w:rsidRPr="18944B84">
              <w:rPr>
                <w:rFonts w:asciiTheme="minorHAnsi" w:eastAsia="Times New Roman" w:hAnsiTheme="minorHAnsi" w:cs="Calibri"/>
                <w:color w:val="000000" w:themeColor="text1"/>
                <w:sz w:val="20"/>
                <w:lang w:val="en-IE" w:eastAsia="en-IE"/>
              </w:rPr>
              <w:t>occasional transactions.</w:t>
            </w:r>
          </w:p>
          <w:p w14:paraId="3DF80F50" w14:textId="55B1F7AF" w:rsidR="00852943" w:rsidRPr="00517708" w:rsidRDefault="00852943" w:rsidP="004410F5">
            <w:pPr>
              <w:spacing w:before="0" w:after="0" w:line="240" w:lineRule="auto"/>
              <w:jc w:val="both"/>
              <w:rPr>
                <w:rFonts w:asciiTheme="minorHAnsi" w:eastAsia="Times New Roman" w:hAnsiTheme="minorHAnsi" w:cs="Calibri"/>
                <w:b/>
                <w:bCs/>
                <w:color w:val="000000"/>
                <w:kern w:val="0"/>
                <w:sz w:val="20"/>
                <w:u w:val="single"/>
                <w:lang w:val="en-IE" w:eastAsia="en-IE"/>
              </w:rPr>
            </w:pPr>
          </w:p>
        </w:tc>
      </w:tr>
      <w:tr w:rsidR="00E0682B" w:rsidRPr="009B282E" w14:paraId="144C10D2" w14:textId="77777777" w:rsidTr="003A7C34">
        <w:tc>
          <w:tcPr>
            <w:tcW w:w="1673" w:type="dxa"/>
            <w:tcBorders>
              <w:top w:val="single" w:sz="4" w:space="0" w:color="auto"/>
              <w:left w:val="single" w:sz="4" w:space="0" w:color="auto"/>
              <w:bottom w:val="single" w:sz="4" w:space="0" w:color="auto"/>
              <w:right w:val="single" w:sz="4" w:space="0" w:color="auto"/>
            </w:tcBorders>
          </w:tcPr>
          <w:p w14:paraId="49B4F08F" w14:textId="1A7DE296" w:rsidR="00E0682B" w:rsidRPr="009275BC" w:rsidRDefault="00E0682B" w:rsidP="00F32516">
            <w:pPr>
              <w:pStyle w:val="InstructionsText"/>
              <w:rPr>
                <w:rStyle w:val="FormatvorlageInstructionsTabelleText"/>
                <w:rFonts w:asciiTheme="minorHAnsi" w:hAnsiTheme="minorHAnsi"/>
                <w:bCs/>
              </w:rPr>
            </w:pPr>
            <w:r w:rsidRPr="009275BC">
              <w:rPr>
                <w:rStyle w:val="FormatvorlageInstructionsTabelleText"/>
                <w:rFonts w:asciiTheme="minorHAnsi" w:hAnsiTheme="minorHAnsi"/>
              </w:rPr>
              <w:t>C01</w:t>
            </w:r>
            <w:r w:rsidR="00FD5D54">
              <w:rPr>
                <w:rStyle w:val="FormatvorlageInstructionsTabelleText"/>
                <w:rFonts w:asciiTheme="minorHAnsi" w:hAnsiTheme="minorHAnsi"/>
              </w:rPr>
              <w:t>60</w:t>
            </w:r>
          </w:p>
        </w:tc>
        <w:tc>
          <w:tcPr>
            <w:tcW w:w="7616" w:type="dxa"/>
            <w:tcBorders>
              <w:top w:val="single" w:sz="4" w:space="0" w:color="auto"/>
              <w:left w:val="single" w:sz="4" w:space="0" w:color="auto"/>
              <w:bottom w:val="single" w:sz="4" w:space="0" w:color="auto"/>
              <w:right w:val="single" w:sz="4" w:space="0" w:color="auto"/>
            </w:tcBorders>
          </w:tcPr>
          <w:p w14:paraId="0C3644BA" w14:textId="136DB912" w:rsidR="008F47A2" w:rsidRPr="00517708" w:rsidRDefault="00491899" w:rsidP="008F47A2">
            <w:pPr>
              <w:pStyle w:val="InstructionsText2"/>
              <w:rPr>
                <w:rStyle w:val="InstructionsTabelleberschrift"/>
                <w:rFonts w:asciiTheme="minorHAnsi" w:hAnsiTheme="minorHAnsi"/>
              </w:rPr>
            </w:pPr>
            <w:r w:rsidRPr="00FD6B3C">
              <w:rPr>
                <w:rFonts w:ascii="Aptos" w:hAnsi="Aptos" w:cs="Calibri"/>
                <w:b/>
                <w:sz w:val="20"/>
                <w:u w:val="single"/>
                <w:lang w:val="en-IE" w:eastAsia="en-IE"/>
              </w:rPr>
              <w:t>Occasional Transactions</w:t>
            </w:r>
            <w:r w:rsidR="008F47A2" w:rsidRPr="00517708">
              <w:rPr>
                <w:rStyle w:val="InstructionsTabelleberschrift"/>
                <w:rFonts w:asciiTheme="minorHAnsi" w:hAnsiTheme="minorHAnsi"/>
              </w:rPr>
              <w:t xml:space="preserve"> carried </w:t>
            </w:r>
            <w:r w:rsidR="008F47A2" w:rsidRPr="150FDFC5">
              <w:rPr>
                <w:rStyle w:val="InstructionsTabelleberschrift"/>
                <w:rFonts w:asciiTheme="minorHAnsi" w:hAnsiTheme="minorHAnsi"/>
              </w:rPr>
              <w:t>out by</w:t>
            </w:r>
            <w:r w:rsidR="008F47A2" w:rsidRPr="00517708">
              <w:rPr>
                <w:rStyle w:val="InstructionsTabelleberschrift"/>
                <w:rFonts w:asciiTheme="minorHAnsi" w:hAnsiTheme="minorHAnsi"/>
              </w:rPr>
              <w:t xml:space="preserve"> </w:t>
            </w:r>
            <w:r w:rsidR="004B442B">
              <w:rPr>
                <w:rStyle w:val="InstructionsTabelleberschrift"/>
                <w:rFonts w:asciiTheme="minorHAnsi" w:hAnsiTheme="minorHAnsi"/>
              </w:rPr>
              <w:t>‘</w:t>
            </w:r>
            <w:r w:rsidR="004F27D1">
              <w:rPr>
                <w:rStyle w:val="InstructionsTabelleberschrift"/>
                <w:rFonts w:asciiTheme="minorHAnsi" w:hAnsiTheme="minorHAnsi"/>
              </w:rPr>
              <w:t>W</w:t>
            </w:r>
            <w:r w:rsidR="008F47A2" w:rsidRPr="00517708">
              <w:rPr>
                <w:rStyle w:val="InstructionsTabelleberschrift"/>
                <w:rFonts w:asciiTheme="minorHAnsi" w:hAnsiTheme="minorHAnsi"/>
              </w:rPr>
              <w:t>alk</w:t>
            </w:r>
            <w:r w:rsidR="004F27D1">
              <w:rPr>
                <w:rStyle w:val="InstructionsTabelleberschrift"/>
                <w:rFonts w:asciiTheme="minorHAnsi" w:hAnsiTheme="minorHAnsi"/>
              </w:rPr>
              <w:t>-</w:t>
            </w:r>
            <w:r w:rsidR="008F47A2" w:rsidRPr="00517708">
              <w:rPr>
                <w:rStyle w:val="InstructionsTabelleberschrift"/>
                <w:rFonts w:asciiTheme="minorHAnsi" w:hAnsiTheme="minorHAnsi"/>
              </w:rPr>
              <w:t xml:space="preserve">in </w:t>
            </w:r>
            <w:r w:rsidR="004F27D1">
              <w:rPr>
                <w:rStyle w:val="InstructionsTabelleberschrift"/>
                <w:rFonts w:asciiTheme="minorHAnsi" w:hAnsiTheme="minorHAnsi"/>
              </w:rPr>
              <w:t>c</w:t>
            </w:r>
            <w:r w:rsidR="008F47A2" w:rsidRPr="00517708">
              <w:rPr>
                <w:rStyle w:val="InstructionsTabelleberschrift"/>
                <w:rFonts w:asciiTheme="minorHAnsi" w:hAnsiTheme="minorHAnsi"/>
              </w:rPr>
              <w:t>ustomers</w:t>
            </w:r>
            <w:r w:rsidR="00A9777A">
              <w:rPr>
                <w:rStyle w:val="InstructionsTabelleberschrift"/>
                <w:rFonts w:asciiTheme="minorHAnsi" w:hAnsiTheme="minorHAnsi"/>
              </w:rPr>
              <w:t>’</w:t>
            </w:r>
          </w:p>
          <w:p w14:paraId="38AF3A0E" w14:textId="77777777" w:rsidR="00675D91" w:rsidRPr="00675D91" w:rsidRDefault="00675D91" w:rsidP="00675D91">
            <w:pPr>
              <w:spacing w:before="0" w:after="0" w:line="240" w:lineRule="auto"/>
              <w:jc w:val="both"/>
              <w:rPr>
                <w:rFonts w:asciiTheme="minorHAnsi" w:eastAsia="Times New Roman" w:hAnsiTheme="minorHAnsi" w:cs="Calibri"/>
                <w:color w:val="000000"/>
                <w:kern w:val="0"/>
                <w:sz w:val="20"/>
                <w:lang w:val="en-IE" w:eastAsia="en-IE"/>
              </w:rPr>
            </w:pPr>
            <w:r w:rsidRPr="00675D91">
              <w:rPr>
                <w:rFonts w:asciiTheme="minorHAnsi" w:eastAsia="Times New Roman" w:hAnsiTheme="minorHAnsi" w:cs="Calibri"/>
                <w:color w:val="000000"/>
                <w:kern w:val="0"/>
                <w:sz w:val="20"/>
                <w:lang w:val="en-IE" w:eastAsia="en-IE"/>
              </w:rPr>
              <w:t>This data point is not applicable for CP, LI, IF, AMC and O.</w:t>
            </w:r>
          </w:p>
          <w:p w14:paraId="21423B40" w14:textId="77777777" w:rsidR="00675D91" w:rsidRDefault="00675D91" w:rsidP="00A86730">
            <w:pPr>
              <w:spacing w:before="0" w:after="0" w:line="240" w:lineRule="auto"/>
              <w:jc w:val="both"/>
              <w:rPr>
                <w:rFonts w:asciiTheme="minorHAnsi" w:eastAsia="Times New Roman" w:hAnsiTheme="minorHAnsi" w:cs="Calibri"/>
                <w:color w:val="000000"/>
                <w:kern w:val="0"/>
                <w:sz w:val="20"/>
                <w:lang w:val="en-IE" w:eastAsia="en-IE"/>
              </w:rPr>
            </w:pPr>
          </w:p>
          <w:p w14:paraId="2D5BCB33" w14:textId="74949494" w:rsidR="00ED47DC" w:rsidRDefault="00ED47DC" w:rsidP="00A86730">
            <w:pPr>
              <w:spacing w:before="0" w:after="0" w:line="240" w:lineRule="auto"/>
              <w:jc w:val="both"/>
              <w:rPr>
                <w:rFonts w:asciiTheme="minorHAnsi" w:eastAsia="Times New Roman" w:hAnsiTheme="minorHAnsi" w:cs="Calibri"/>
                <w:color w:val="000000"/>
                <w:kern w:val="0"/>
                <w:sz w:val="20"/>
                <w:lang w:val="en-IE" w:eastAsia="en-IE"/>
              </w:rPr>
            </w:pPr>
            <w:r>
              <w:rPr>
                <w:rFonts w:asciiTheme="minorHAnsi" w:eastAsia="Times New Roman" w:hAnsiTheme="minorHAnsi" w:cs="Calibri"/>
                <w:color w:val="000000"/>
                <w:kern w:val="0"/>
                <w:sz w:val="20"/>
                <w:lang w:val="en-IE" w:eastAsia="en-IE"/>
              </w:rPr>
              <w:t>T</w:t>
            </w:r>
            <w:r w:rsidRPr="00ED47DC">
              <w:rPr>
                <w:rFonts w:asciiTheme="minorHAnsi" w:eastAsia="Times New Roman" w:hAnsiTheme="minorHAnsi" w:cs="Calibri"/>
                <w:color w:val="000000"/>
                <w:kern w:val="0"/>
                <w:sz w:val="20"/>
                <w:lang w:val="en-IE" w:eastAsia="en-IE"/>
              </w:rPr>
              <w:t xml:space="preserve">his information should refer to the </w:t>
            </w:r>
            <w:r w:rsidR="008E4A7C">
              <w:rPr>
                <w:rFonts w:asciiTheme="minorHAnsi" w:eastAsia="Times New Roman" w:hAnsiTheme="minorHAnsi" w:cs="Calibri"/>
                <w:color w:val="000000"/>
                <w:kern w:val="0"/>
                <w:sz w:val="20"/>
                <w:lang w:val="en-IE" w:eastAsia="en-IE"/>
              </w:rPr>
              <w:t xml:space="preserve">number of </w:t>
            </w:r>
            <w:r w:rsidR="00873DB8">
              <w:rPr>
                <w:rFonts w:asciiTheme="minorHAnsi" w:eastAsia="Times New Roman" w:hAnsiTheme="minorHAnsi" w:cs="Calibri"/>
                <w:color w:val="000000"/>
                <w:kern w:val="0"/>
                <w:sz w:val="20"/>
                <w:lang w:val="en-IE" w:eastAsia="en-IE"/>
              </w:rPr>
              <w:t xml:space="preserve">occasional transactions carried out </w:t>
            </w:r>
            <w:r w:rsidR="008804F4">
              <w:rPr>
                <w:rFonts w:asciiTheme="minorHAnsi" w:eastAsia="Times New Roman" w:hAnsiTheme="minorHAnsi" w:cs="Calibri"/>
                <w:color w:val="000000"/>
                <w:kern w:val="0"/>
                <w:sz w:val="20"/>
                <w:lang w:val="en-IE" w:eastAsia="en-IE"/>
              </w:rPr>
              <w:t xml:space="preserve">by walk-in customers </w:t>
            </w:r>
            <w:r w:rsidR="00873DB8">
              <w:rPr>
                <w:rFonts w:asciiTheme="minorHAnsi" w:eastAsia="Times New Roman" w:hAnsiTheme="minorHAnsi" w:cs="Calibri"/>
                <w:color w:val="000000"/>
                <w:kern w:val="0"/>
                <w:sz w:val="20"/>
                <w:lang w:val="en-IE" w:eastAsia="en-IE"/>
              </w:rPr>
              <w:t xml:space="preserve">during the </w:t>
            </w:r>
            <w:r w:rsidRPr="00347EDD">
              <w:rPr>
                <w:rFonts w:asciiTheme="minorHAnsi" w:eastAsia="Times New Roman" w:hAnsiTheme="minorHAnsi" w:cs="Calibri"/>
                <w:color w:val="000000"/>
                <w:kern w:val="0"/>
                <w:sz w:val="20"/>
                <w:lang w:val="en-IE" w:eastAsia="en-IE"/>
              </w:rPr>
              <w:t xml:space="preserve">reference </w:t>
            </w:r>
            <w:r w:rsidR="008E4A7C" w:rsidRPr="00347EDD">
              <w:rPr>
                <w:rFonts w:asciiTheme="minorHAnsi" w:eastAsia="Times New Roman" w:hAnsiTheme="minorHAnsi" w:cs="Calibri"/>
                <w:color w:val="000000"/>
                <w:kern w:val="0"/>
                <w:sz w:val="20"/>
                <w:lang w:val="en-IE" w:eastAsia="en-IE"/>
              </w:rPr>
              <w:t>y</w:t>
            </w:r>
            <w:r w:rsidRPr="00347EDD">
              <w:rPr>
                <w:rFonts w:asciiTheme="minorHAnsi" w:eastAsia="Times New Roman" w:hAnsiTheme="minorHAnsi" w:cs="Calibri"/>
                <w:color w:val="000000"/>
                <w:kern w:val="0"/>
                <w:sz w:val="20"/>
                <w:lang w:val="en-IE" w:eastAsia="en-IE"/>
              </w:rPr>
              <w:t>ear</w:t>
            </w:r>
            <w:r w:rsidRPr="00903121">
              <w:rPr>
                <w:rFonts w:asciiTheme="minorHAnsi" w:eastAsia="Times New Roman" w:hAnsiTheme="minorHAnsi" w:cs="Calibri"/>
                <w:color w:val="000000"/>
                <w:kern w:val="0"/>
                <w:sz w:val="20"/>
                <w:lang w:val="en-IE" w:eastAsia="en-IE"/>
              </w:rPr>
              <w:t>.</w:t>
            </w:r>
            <w:r>
              <w:rPr>
                <w:rFonts w:asciiTheme="minorHAnsi" w:eastAsia="Times New Roman" w:hAnsiTheme="minorHAnsi" w:cs="Calibri"/>
                <w:color w:val="000000"/>
                <w:kern w:val="0"/>
                <w:sz w:val="20"/>
                <w:lang w:val="en-IE" w:eastAsia="en-IE"/>
              </w:rPr>
              <w:t xml:space="preserve"> </w:t>
            </w:r>
          </w:p>
          <w:p w14:paraId="52351C33" w14:textId="77777777" w:rsidR="00ED47DC" w:rsidRDefault="00ED47DC" w:rsidP="00A86730">
            <w:pPr>
              <w:spacing w:before="0" w:after="0" w:line="240" w:lineRule="auto"/>
              <w:jc w:val="both"/>
              <w:rPr>
                <w:rFonts w:asciiTheme="minorHAnsi" w:eastAsia="Times New Roman" w:hAnsiTheme="minorHAnsi" w:cs="Calibri"/>
                <w:color w:val="000000"/>
                <w:kern w:val="0"/>
                <w:sz w:val="20"/>
                <w:lang w:val="en-IE" w:eastAsia="en-IE"/>
              </w:rPr>
            </w:pPr>
          </w:p>
          <w:p w14:paraId="3A3A976C" w14:textId="39E7E509" w:rsidR="00491899" w:rsidRDefault="00491899" w:rsidP="00A86730">
            <w:pPr>
              <w:spacing w:before="0" w:after="0" w:line="240" w:lineRule="auto"/>
              <w:jc w:val="both"/>
              <w:rPr>
                <w:rFonts w:asciiTheme="minorHAnsi" w:eastAsia="Times New Roman" w:hAnsiTheme="minorHAnsi" w:cs="Calibri"/>
                <w:color w:val="000000"/>
                <w:kern w:val="0"/>
                <w:sz w:val="20"/>
                <w:lang w:val="en-IE" w:eastAsia="en-IE"/>
              </w:rPr>
            </w:pPr>
            <w:r>
              <w:rPr>
                <w:rFonts w:asciiTheme="minorHAnsi" w:eastAsia="Times New Roman" w:hAnsiTheme="minorHAnsi" w:cs="Calibri"/>
                <w:color w:val="000000"/>
                <w:kern w:val="0"/>
                <w:sz w:val="20"/>
                <w:lang w:val="en-IE" w:eastAsia="en-IE"/>
              </w:rPr>
              <w:t xml:space="preserve">For the purpose of this data collection exercise an occasional transaction means a transaction or a provision of services connected to a transaction that is not carried out as part of a business relationship as defined in Article 2(1)(19) </w:t>
            </w:r>
            <w:r w:rsidR="00632313">
              <w:rPr>
                <w:rFonts w:asciiTheme="minorHAnsi" w:eastAsia="Times New Roman" w:hAnsiTheme="minorHAnsi" w:cs="Calibri"/>
                <w:color w:val="000000"/>
                <w:kern w:val="0"/>
                <w:sz w:val="20"/>
                <w:lang w:val="en-IE" w:eastAsia="en-IE"/>
              </w:rPr>
              <w:t>AMLR</w:t>
            </w:r>
            <w:r>
              <w:rPr>
                <w:rFonts w:asciiTheme="minorHAnsi" w:eastAsia="Times New Roman" w:hAnsiTheme="minorHAnsi" w:cs="Calibri"/>
                <w:color w:val="000000"/>
                <w:kern w:val="0"/>
                <w:sz w:val="20"/>
                <w:lang w:val="en-IE" w:eastAsia="en-IE"/>
              </w:rPr>
              <w:t>.</w:t>
            </w:r>
            <w:r w:rsidR="3F185B1B" w:rsidRPr="154729F5">
              <w:rPr>
                <w:rFonts w:asciiTheme="minorHAnsi" w:eastAsia="Times New Roman" w:hAnsiTheme="minorHAnsi" w:cs="Calibri"/>
                <w:color w:val="000000" w:themeColor="text1"/>
                <w:sz w:val="20"/>
                <w:lang w:val="en-IE" w:eastAsia="en-IE"/>
              </w:rPr>
              <w:t xml:space="preserve"> For the purpose of this data collection exercise, the applicable thresholds defined in Article 19 </w:t>
            </w:r>
            <w:r w:rsidR="00467E40">
              <w:rPr>
                <w:rFonts w:asciiTheme="minorHAnsi" w:eastAsia="Times New Roman" w:hAnsiTheme="minorHAnsi" w:cs="Calibri"/>
                <w:color w:val="000000" w:themeColor="text1"/>
                <w:sz w:val="20"/>
                <w:lang w:val="en-IE" w:eastAsia="en-IE"/>
              </w:rPr>
              <w:t>AMLR</w:t>
            </w:r>
            <w:r w:rsidR="3F185B1B" w:rsidRPr="154729F5">
              <w:rPr>
                <w:rFonts w:asciiTheme="minorHAnsi" w:eastAsia="Times New Roman" w:hAnsiTheme="minorHAnsi" w:cs="Calibri"/>
                <w:color w:val="000000" w:themeColor="text1"/>
                <w:sz w:val="20"/>
                <w:lang w:val="en-IE" w:eastAsia="en-IE"/>
              </w:rPr>
              <w:t xml:space="preserve"> are to be referred to for counting occasional transactions.</w:t>
            </w:r>
          </w:p>
          <w:p w14:paraId="3D7D8B0C" w14:textId="0E3C4BF4" w:rsidR="0088459F" w:rsidRPr="00517708" w:rsidRDefault="0088459F" w:rsidP="00675D91">
            <w:pPr>
              <w:spacing w:before="0" w:after="0" w:line="240" w:lineRule="auto"/>
              <w:jc w:val="both"/>
              <w:rPr>
                <w:rFonts w:asciiTheme="minorHAnsi" w:eastAsia="Times New Roman" w:hAnsiTheme="minorHAnsi" w:cs="Calibri"/>
                <w:color w:val="000000"/>
                <w:kern w:val="0"/>
                <w:sz w:val="20"/>
                <w:lang w:val="en-IE" w:eastAsia="en-IE"/>
              </w:rPr>
            </w:pPr>
          </w:p>
        </w:tc>
      </w:tr>
      <w:tr w:rsidR="003244C1" w:rsidRPr="009B282E" w14:paraId="27043E02" w14:textId="77777777" w:rsidTr="003A7C34">
        <w:tc>
          <w:tcPr>
            <w:tcW w:w="1673" w:type="dxa"/>
            <w:tcBorders>
              <w:top w:val="single" w:sz="4" w:space="0" w:color="auto"/>
              <w:left w:val="single" w:sz="4" w:space="0" w:color="auto"/>
              <w:bottom w:val="single" w:sz="4" w:space="0" w:color="auto"/>
              <w:right w:val="single" w:sz="4" w:space="0" w:color="auto"/>
            </w:tcBorders>
          </w:tcPr>
          <w:p w14:paraId="429F4678" w14:textId="59B85F19" w:rsidR="003244C1" w:rsidRPr="009275BC" w:rsidRDefault="003244C1" w:rsidP="00F32516">
            <w:pPr>
              <w:pStyle w:val="InstructionsText"/>
              <w:rPr>
                <w:rStyle w:val="FormatvorlageInstructionsTabelleText"/>
                <w:rFonts w:asciiTheme="minorHAnsi" w:hAnsiTheme="minorHAnsi"/>
                <w:bCs/>
              </w:rPr>
            </w:pPr>
            <w:r w:rsidRPr="009275BC">
              <w:rPr>
                <w:rStyle w:val="FormatvorlageInstructionsTabelleText"/>
                <w:rFonts w:asciiTheme="minorHAnsi" w:hAnsiTheme="minorHAnsi"/>
              </w:rPr>
              <w:t>C01</w:t>
            </w:r>
            <w:r w:rsidR="00FD5D54">
              <w:rPr>
                <w:rStyle w:val="FormatvorlageInstructionsTabelleText"/>
                <w:rFonts w:asciiTheme="minorHAnsi" w:hAnsiTheme="minorHAnsi"/>
              </w:rPr>
              <w:t>70</w:t>
            </w:r>
          </w:p>
        </w:tc>
        <w:tc>
          <w:tcPr>
            <w:tcW w:w="7616" w:type="dxa"/>
            <w:tcBorders>
              <w:top w:val="single" w:sz="4" w:space="0" w:color="auto"/>
              <w:left w:val="single" w:sz="4" w:space="0" w:color="auto"/>
              <w:bottom w:val="single" w:sz="4" w:space="0" w:color="auto"/>
              <w:right w:val="single" w:sz="4" w:space="0" w:color="auto"/>
            </w:tcBorders>
          </w:tcPr>
          <w:p w14:paraId="1DBE8C33" w14:textId="7BE48B60" w:rsidR="006F219D" w:rsidRPr="00517708" w:rsidRDefault="008866DC" w:rsidP="00B70712">
            <w:pPr>
              <w:pStyle w:val="InstructionsText2"/>
              <w:rPr>
                <w:rStyle w:val="InstructionsTabelleberschrift"/>
                <w:rFonts w:asciiTheme="minorHAnsi" w:hAnsiTheme="minorHAnsi"/>
              </w:rPr>
            </w:pPr>
            <w:r>
              <w:rPr>
                <w:rStyle w:val="InstructionsTabelleberschrift"/>
                <w:rFonts w:asciiTheme="minorHAnsi" w:hAnsiTheme="minorHAnsi"/>
              </w:rPr>
              <w:t>C</w:t>
            </w:r>
            <w:r w:rsidR="006F219D" w:rsidRPr="00517708">
              <w:rPr>
                <w:rStyle w:val="InstructionsTabelleberschrift"/>
                <w:rFonts w:asciiTheme="minorHAnsi" w:hAnsiTheme="minorHAnsi"/>
              </w:rPr>
              <w:t>ustomers with requests from FIU</w:t>
            </w:r>
          </w:p>
          <w:p w14:paraId="3E559B87" w14:textId="71056AD4" w:rsidR="007619A2" w:rsidRPr="00517708" w:rsidRDefault="00B21BF7" w:rsidP="006F219D">
            <w:pPr>
              <w:spacing w:before="0" w:after="0" w:line="240" w:lineRule="auto"/>
              <w:jc w:val="both"/>
              <w:rPr>
                <w:rFonts w:asciiTheme="minorHAnsi" w:eastAsia="Times New Roman" w:hAnsiTheme="minorHAnsi" w:cs="Calibri"/>
                <w:color w:val="000000"/>
                <w:kern w:val="0"/>
                <w:sz w:val="20"/>
                <w:lang w:val="en-IE" w:eastAsia="en-IE"/>
              </w:rPr>
            </w:pPr>
            <w:r w:rsidRPr="00517708">
              <w:rPr>
                <w:rFonts w:asciiTheme="minorHAnsi" w:eastAsia="Times New Roman" w:hAnsiTheme="minorHAnsi" w:cs="Calibri"/>
                <w:color w:val="000000"/>
                <w:kern w:val="0"/>
                <w:sz w:val="20"/>
                <w:lang w:val="en-IE" w:eastAsia="en-IE"/>
              </w:rPr>
              <w:t>The FIU is the Finance Intelligence Unit</w:t>
            </w:r>
            <w:r w:rsidR="009A07AF" w:rsidRPr="00517708">
              <w:rPr>
                <w:rFonts w:asciiTheme="minorHAnsi" w:eastAsia="Times New Roman" w:hAnsiTheme="minorHAnsi" w:cs="Calibri"/>
                <w:color w:val="000000"/>
                <w:kern w:val="0"/>
                <w:sz w:val="20"/>
                <w:lang w:val="en-IE" w:eastAsia="en-IE"/>
              </w:rPr>
              <w:t xml:space="preserve"> of the respective country </w:t>
            </w:r>
            <w:r w:rsidR="00A439F0" w:rsidRPr="00517708">
              <w:rPr>
                <w:rFonts w:asciiTheme="minorHAnsi" w:eastAsia="Times New Roman" w:hAnsiTheme="minorHAnsi" w:cs="Calibri"/>
                <w:color w:val="000000"/>
                <w:kern w:val="0"/>
                <w:sz w:val="20"/>
                <w:lang w:val="en-IE" w:eastAsia="en-IE"/>
              </w:rPr>
              <w:t xml:space="preserve">where </w:t>
            </w:r>
            <w:r w:rsidR="009A07AF" w:rsidRPr="00517708">
              <w:rPr>
                <w:rFonts w:asciiTheme="minorHAnsi" w:eastAsia="Times New Roman" w:hAnsiTheme="minorHAnsi" w:cs="Calibri"/>
                <w:color w:val="000000"/>
                <w:kern w:val="0"/>
                <w:sz w:val="20"/>
                <w:lang w:val="en-IE" w:eastAsia="en-IE"/>
              </w:rPr>
              <w:t xml:space="preserve">the Obliged Entity </w:t>
            </w:r>
            <w:r w:rsidR="00014BD6" w:rsidRPr="00014BD6">
              <w:rPr>
                <w:rFonts w:asciiTheme="minorHAnsi" w:eastAsia="Times New Roman" w:hAnsiTheme="minorHAnsi" w:cs="Calibri"/>
                <w:color w:val="000000"/>
                <w:kern w:val="0"/>
                <w:sz w:val="20"/>
                <w:lang w:val="en-IE" w:eastAsia="en-IE"/>
              </w:rPr>
              <w:t>operates or, when the Obliged Entity operates through the freedom to provide services, where its registered office is located or, if the obliged entity has no registered office, the Member State in which its head office is located</w:t>
            </w:r>
            <w:r w:rsidR="009A07AF" w:rsidRPr="00517708">
              <w:rPr>
                <w:rFonts w:asciiTheme="minorHAnsi" w:eastAsia="Times New Roman" w:hAnsiTheme="minorHAnsi" w:cs="Calibri"/>
                <w:color w:val="000000"/>
                <w:kern w:val="0"/>
                <w:sz w:val="20"/>
                <w:lang w:val="en-IE" w:eastAsia="en-IE"/>
              </w:rPr>
              <w:t xml:space="preserve">. </w:t>
            </w:r>
            <w:r w:rsidR="000D5749" w:rsidRPr="00517708">
              <w:rPr>
                <w:rFonts w:asciiTheme="minorHAnsi" w:eastAsia="Times New Roman" w:hAnsiTheme="minorHAnsi" w:cs="Calibri"/>
                <w:color w:val="000000"/>
                <w:kern w:val="0"/>
                <w:sz w:val="20"/>
                <w:lang w:val="en-IE" w:eastAsia="en-IE"/>
              </w:rPr>
              <w:t>R</w:t>
            </w:r>
            <w:r w:rsidR="00B92F19" w:rsidRPr="00517708">
              <w:rPr>
                <w:rFonts w:asciiTheme="minorHAnsi" w:eastAsia="Times New Roman" w:hAnsiTheme="minorHAnsi" w:cs="Calibri"/>
                <w:color w:val="000000"/>
                <w:kern w:val="0"/>
                <w:sz w:val="20"/>
                <w:lang w:val="en-IE" w:eastAsia="en-IE"/>
              </w:rPr>
              <w:t>efe</w:t>
            </w:r>
            <w:r w:rsidR="000D5749" w:rsidRPr="00517708">
              <w:rPr>
                <w:rFonts w:asciiTheme="minorHAnsi" w:eastAsia="Times New Roman" w:hAnsiTheme="minorHAnsi" w:cs="Calibri"/>
                <w:color w:val="000000"/>
                <w:kern w:val="0"/>
                <w:sz w:val="20"/>
                <w:lang w:val="en-IE" w:eastAsia="en-IE"/>
              </w:rPr>
              <w:t>rence to these request</w:t>
            </w:r>
            <w:r w:rsidR="00A439F0" w:rsidRPr="00517708">
              <w:rPr>
                <w:rFonts w:asciiTheme="minorHAnsi" w:eastAsia="Times New Roman" w:hAnsiTheme="minorHAnsi" w:cs="Calibri"/>
                <w:color w:val="000000"/>
                <w:kern w:val="0"/>
                <w:sz w:val="20"/>
                <w:lang w:val="en-IE" w:eastAsia="en-IE"/>
              </w:rPr>
              <w:t>s</w:t>
            </w:r>
            <w:r w:rsidR="000D5749" w:rsidRPr="00517708">
              <w:rPr>
                <w:rFonts w:asciiTheme="minorHAnsi" w:eastAsia="Times New Roman" w:hAnsiTheme="minorHAnsi" w:cs="Calibri"/>
                <w:color w:val="000000"/>
                <w:kern w:val="0"/>
                <w:sz w:val="20"/>
                <w:lang w:val="en-IE" w:eastAsia="en-IE"/>
              </w:rPr>
              <w:t xml:space="preserve"> can be found </w:t>
            </w:r>
            <w:r w:rsidR="00B92F19" w:rsidRPr="00517708">
              <w:rPr>
                <w:rFonts w:asciiTheme="minorHAnsi" w:eastAsia="Times New Roman" w:hAnsiTheme="minorHAnsi" w:cs="Calibri"/>
                <w:color w:val="000000"/>
                <w:kern w:val="0"/>
                <w:sz w:val="20"/>
                <w:lang w:val="en-IE" w:eastAsia="en-IE"/>
              </w:rPr>
              <w:t xml:space="preserve">in article </w:t>
            </w:r>
            <w:r w:rsidR="0011754E">
              <w:rPr>
                <w:rFonts w:asciiTheme="minorHAnsi" w:eastAsia="Times New Roman" w:hAnsiTheme="minorHAnsi" w:cs="Calibri"/>
                <w:color w:val="000000"/>
                <w:kern w:val="0"/>
                <w:sz w:val="20"/>
                <w:lang w:val="en-IE" w:eastAsia="en-IE"/>
              </w:rPr>
              <w:t>69(1)(b)</w:t>
            </w:r>
            <w:r w:rsidR="0011754E">
              <w:rPr>
                <w:rFonts w:asciiTheme="minorHAnsi" w:eastAsia="Times New Roman" w:hAnsiTheme="minorHAnsi" w:cs="Calibri"/>
                <w:color w:val="000000"/>
                <w:kern w:val="0"/>
                <w:sz w:val="20"/>
                <w:lang w:eastAsia="en-IE"/>
              </w:rPr>
              <w:t xml:space="preserve"> AMLR</w:t>
            </w:r>
            <w:r w:rsidR="00D11620">
              <w:rPr>
                <w:rFonts w:asciiTheme="minorHAnsi" w:eastAsia="Times New Roman" w:hAnsiTheme="minorHAnsi" w:cs="Calibri"/>
                <w:color w:val="000000"/>
                <w:kern w:val="0"/>
                <w:sz w:val="20"/>
                <w:lang w:eastAsia="en-IE"/>
              </w:rPr>
              <w:t>.</w:t>
            </w:r>
          </w:p>
          <w:p w14:paraId="3053B2D3" w14:textId="77777777" w:rsidR="0019235A" w:rsidRDefault="0019235A" w:rsidP="006F219D">
            <w:pPr>
              <w:spacing w:before="0" w:after="0" w:line="240" w:lineRule="auto"/>
              <w:jc w:val="both"/>
              <w:rPr>
                <w:rFonts w:asciiTheme="minorHAnsi" w:eastAsia="Times New Roman" w:hAnsiTheme="minorHAnsi" w:cs="Calibri"/>
                <w:color w:val="000000"/>
                <w:kern w:val="0"/>
                <w:sz w:val="20"/>
                <w:lang w:val="en-IE" w:eastAsia="en-IE"/>
              </w:rPr>
            </w:pPr>
          </w:p>
          <w:p w14:paraId="1D77761D" w14:textId="34915045" w:rsidR="0019235A" w:rsidRDefault="006F219D" w:rsidP="006F219D">
            <w:pPr>
              <w:spacing w:before="0" w:after="0" w:line="240" w:lineRule="auto"/>
              <w:jc w:val="both"/>
              <w:rPr>
                <w:rFonts w:asciiTheme="minorHAnsi" w:eastAsia="Times New Roman" w:hAnsiTheme="minorHAnsi" w:cs="Calibri"/>
                <w:color w:val="000000"/>
                <w:kern w:val="0"/>
                <w:sz w:val="20"/>
                <w:lang w:val="en-IE" w:eastAsia="en-IE"/>
              </w:rPr>
            </w:pPr>
            <w:r w:rsidRPr="00517708">
              <w:rPr>
                <w:rFonts w:asciiTheme="minorHAnsi" w:eastAsia="Times New Roman" w:hAnsiTheme="minorHAnsi" w:cs="Calibri"/>
                <w:color w:val="000000"/>
                <w:kern w:val="0"/>
                <w:sz w:val="20"/>
                <w:lang w:val="en-IE" w:eastAsia="en-IE"/>
              </w:rPr>
              <w:t xml:space="preserve">This information should refer to the </w:t>
            </w:r>
            <w:r w:rsidR="0046773B">
              <w:rPr>
                <w:rFonts w:asciiTheme="minorHAnsi" w:eastAsia="Times New Roman" w:hAnsiTheme="minorHAnsi" w:cs="Calibri"/>
                <w:color w:val="000000"/>
                <w:kern w:val="0"/>
                <w:sz w:val="20"/>
                <w:lang w:val="en-IE" w:eastAsia="en-IE"/>
              </w:rPr>
              <w:t>total number of</w:t>
            </w:r>
            <w:r w:rsidR="00FA7F93">
              <w:rPr>
                <w:rFonts w:asciiTheme="minorHAnsi" w:eastAsia="Times New Roman" w:hAnsiTheme="minorHAnsi" w:cs="Calibri"/>
                <w:color w:val="000000"/>
                <w:kern w:val="0"/>
                <w:sz w:val="20"/>
                <w:lang w:val="en-IE" w:eastAsia="en-IE"/>
              </w:rPr>
              <w:t xml:space="preserve"> customers with </w:t>
            </w:r>
            <w:r w:rsidR="00B70D73">
              <w:rPr>
                <w:rFonts w:asciiTheme="minorHAnsi" w:eastAsia="Times New Roman" w:hAnsiTheme="minorHAnsi" w:cs="Calibri"/>
                <w:color w:val="000000"/>
                <w:kern w:val="0"/>
                <w:sz w:val="20"/>
                <w:lang w:val="en-IE" w:eastAsia="en-IE"/>
              </w:rPr>
              <w:t>a least one</w:t>
            </w:r>
            <w:r w:rsidR="00FA7F93">
              <w:rPr>
                <w:rFonts w:asciiTheme="minorHAnsi" w:eastAsia="Times New Roman" w:hAnsiTheme="minorHAnsi" w:cs="Calibri"/>
                <w:color w:val="000000"/>
                <w:kern w:val="0"/>
                <w:sz w:val="20"/>
                <w:lang w:val="en-IE" w:eastAsia="en-IE"/>
              </w:rPr>
              <w:t xml:space="preserve"> </w:t>
            </w:r>
            <w:r w:rsidR="00787144">
              <w:rPr>
                <w:rFonts w:asciiTheme="minorHAnsi" w:eastAsia="Times New Roman" w:hAnsiTheme="minorHAnsi" w:cs="Calibri"/>
                <w:color w:val="000000"/>
                <w:kern w:val="0"/>
                <w:sz w:val="20"/>
                <w:lang w:val="en-IE" w:eastAsia="en-IE"/>
              </w:rPr>
              <w:t xml:space="preserve">formal or informal </w:t>
            </w:r>
            <w:r w:rsidR="00793BB8">
              <w:rPr>
                <w:rFonts w:asciiTheme="minorHAnsi" w:eastAsia="Times New Roman" w:hAnsiTheme="minorHAnsi" w:cs="Calibri"/>
                <w:color w:val="000000"/>
                <w:kern w:val="0"/>
                <w:sz w:val="20"/>
                <w:lang w:val="en-IE" w:eastAsia="en-IE"/>
              </w:rPr>
              <w:t>self-standing (i.e. not related to an incomplete STR)</w:t>
            </w:r>
            <w:r w:rsidR="00787144">
              <w:rPr>
                <w:rFonts w:asciiTheme="minorHAnsi" w:eastAsia="Times New Roman" w:hAnsiTheme="minorHAnsi" w:cs="Calibri"/>
                <w:color w:val="000000"/>
                <w:kern w:val="0"/>
                <w:sz w:val="20"/>
                <w:lang w:val="en-IE" w:eastAsia="en-IE"/>
              </w:rPr>
              <w:t xml:space="preserve"> </w:t>
            </w:r>
            <w:r w:rsidR="00FA7F93">
              <w:rPr>
                <w:rFonts w:asciiTheme="minorHAnsi" w:eastAsia="Times New Roman" w:hAnsiTheme="minorHAnsi" w:cs="Calibri"/>
                <w:color w:val="000000"/>
                <w:kern w:val="0"/>
                <w:sz w:val="20"/>
                <w:lang w:val="en-IE" w:eastAsia="en-IE"/>
              </w:rPr>
              <w:t xml:space="preserve">request from FIUs during the </w:t>
            </w:r>
            <w:r w:rsidR="006F78E5" w:rsidRPr="00517708">
              <w:rPr>
                <w:rFonts w:asciiTheme="minorHAnsi" w:eastAsia="Times New Roman" w:hAnsiTheme="minorHAnsi" w:cs="Calibri"/>
                <w:b/>
                <w:bCs/>
                <w:color w:val="000000"/>
                <w:kern w:val="0"/>
                <w:sz w:val="20"/>
                <w:lang w:val="en-IE" w:eastAsia="en-IE"/>
              </w:rPr>
              <w:t>reference</w:t>
            </w:r>
            <w:r w:rsidRPr="00517708">
              <w:rPr>
                <w:rFonts w:asciiTheme="minorHAnsi" w:eastAsia="Times New Roman" w:hAnsiTheme="minorHAnsi" w:cs="Calibri"/>
                <w:b/>
                <w:bCs/>
                <w:color w:val="000000"/>
                <w:kern w:val="0"/>
                <w:sz w:val="20"/>
                <w:lang w:val="en-IE" w:eastAsia="en-IE"/>
              </w:rPr>
              <w:t xml:space="preserve"> year</w:t>
            </w:r>
            <w:r w:rsidR="00A172FE">
              <w:rPr>
                <w:rFonts w:asciiTheme="minorHAnsi" w:eastAsia="Times New Roman" w:hAnsiTheme="minorHAnsi" w:cs="Calibri"/>
                <w:b/>
                <w:bCs/>
                <w:color w:val="000000"/>
                <w:kern w:val="0"/>
                <w:sz w:val="20"/>
                <w:lang w:val="en-IE" w:eastAsia="en-IE"/>
              </w:rPr>
              <w:t xml:space="preserve">, </w:t>
            </w:r>
            <w:r w:rsidR="00A172FE" w:rsidRPr="005C3C5E">
              <w:rPr>
                <w:rFonts w:asciiTheme="minorHAnsi" w:eastAsia="Times New Roman" w:hAnsiTheme="minorHAnsi" w:cs="Calibri"/>
                <w:color w:val="000000"/>
                <w:kern w:val="0"/>
                <w:sz w:val="20"/>
                <w:lang w:val="en-IE" w:eastAsia="en-IE"/>
              </w:rPr>
              <w:t xml:space="preserve">even if the customer is not </w:t>
            </w:r>
            <w:r w:rsidR="007F725E" w:rsidRPr="005C3C5E">
              <w:rPr>
                <w:rFonts w:asciiTheme="minorHAnsi" w:eastAsia="Times New Roman" w:hAnsiTheme="minorHAnsi" w:cs="Calibri"/>
                <w:color w:val="000000"/>
                <w:kern w:val="0"/>
                <w:sz w:val="20"/>
                <w:lang w:val="en-IE" w:eastAsia="en-IE"/>
              </w:rPr>
              <w:t>a customer</w:t>
            </w:r>
            <w:r w:rsidR="00243926">
              <w:rPr>
                <w:rFonts w:asciiTheme="minorHAnsi" w:eastAsia="Times New Roman" w:hAnsiTheme="minorHAnsi" w:cs="Calibri"/>
                <w:color w:val="000000"/>
                <w:kern w:val="0"/>
                <w:sz w:val="20"/>
                <w:lang w:val="en-IE" w:eastAsia="en-IE"/>
              </w:rPr>
              <w:t>/</w:t>
            </w:r>
            <w:r w:rsidR="0024024A">
              <w:rPr>
                <w:rFonts w:asciiTheme="minorHAnsi" w:eastAsia="Times New Roman" w:hAnsiTheme="minorHAnsi" w:cs="Calibri"/>
                <w:color w:val="000000"/>
                <w:kern w:val="0"/>
                <w:sz w:val="20"/>
                <w:lang w:val="en-IE" w:eastAsia="en-IE"/>
              </w:rPr>
              <w:t>active</w:t>
            </w:r>
            <w:r w:rsidR="007F725E" w:rsidRPr="005C3C5E">
              <w:rPr>
                <w:rFonts w:asciiTheme="minorHAnsi" w:eastAsia="Times New Roman" w:hAnsiTheme="minorHAnsi" w:cs="Calibri"/>
                <w:color w:val="000000"/>
                <w:kern w:val="0"/>
                <w:sz w:val="20"/>
                <w:lang w:val="en-IE" w:eastAsia="en-IE"/>
              </w:rPr>
              <w:t xml:space="preserve"> anymore at the end of the reference year</w:t>
            </w:r>
            <w:r w:rsidRPr="00517708">
              <w:rPr>
                <w:rFonts w:asciiTheme="minorHAnsi" w:eastAsia="Times New Roman" w:hAnsiTheme="minorHAnsi" w:cs="Calibri"/>
                <w:color w:val="000000"/>
                <w:kern w:val="0"/>
                <w:sz w:val="20"/>
                <w:lang w:val="en-IE" w:eastAsia="en-IE"/>
              </w:rPr>
              <w:t xml:space="preserve">. </w:t>
            </w:r>
          </w:p>
          <w:p w14:paraId="58015A79" w14:textId="77777777" w:rsidR="0019235A" w:rsidRDefault="0019235A" w:rsidP="006F219D">
            <w:pPr>
              <w:spacing w:before="0" w:after="0" w:line="240" w:lineRule="auto"/>
              <w:jc w:val="both"/>
              <w:rPr>
                <w:rFonts w:asciiTheme="minorHAnsi" w:eastAsia="Times New Roman" w:hAnsiTheme="minorHAnsi" w:cs="Calibri"/>
                <w:color w:val="000000"/>
                <w:kern w:val="0"/>
                <w:sz w:val="20"/>
                <w:lang w:val="en-IE" w:eastAsia="en-IE"/>
              </w:rPr>
            </w:pPr>
          </w:p>
          <w:p w14:paraId="3215301C" w14:textId="3D480A14" w:rsidR="006F219D" w:rsidRPr="00517708" w:rsidRDefault="006F219D" w:rsidP="006F219D">
            <w:pPr>
              <w:spacing w:before="0" w:after="0" w:line="240" w:lineRule="auto"/>
              <w:jc w:val="both"/>
              <w:rPr>
                <w:rFonts w:asciiTheme="minorHAnsi" w:eastAsia="Times New Roman" w:hAnsiTheme="minorHAnsi" w:cs="Calibri"/>
                <w:color w:val="000000"/>
                <w:kern w:val="0"/>
                <w:sz w:val="20"/>
                <w:lang w:val="en-IE" w:eastAsia="en-IE"/>
              </w:rPr>
            </w:pPr>
            <w:r w:rsidRPr="00517708">
              <w:rPr>
                <w:rFonts w:asciiTheme="minorHAnsi" w:eastAsia="Times New Roman" w:hAnsiTheme="minorHAnsi" w:cs="Calibri"/>
                <w:color w:val="000000"/>
                <w:kern w:val="0"/>
                <w:sz w:val="20"/>
                <w:lang w:val="en-IE" w:eastAsia="en-IE"/>
              </w:rPr>
              <w:t xml:space="preserve">In case its implementation is complex, you can consider ‘number of customers subject to requests </w:t>
            </w:r>
            <w:r w:rsidR="002F5161">
              <w:rPr>
                <w:rFonts w:asciiTheme="minorHAnsi" w:eastAsia="Times New Roman" w:hAnsiTheme="minorHAnsi" w:cs="Calibri"/>
                <w:color w:val="000000"/>
                <w:kern w:val="0"/>
                <w:sz w:val="20"/>
                <w:lang w:val="en-IE" w:eastAsia="en-IE"/>
              </w:rPr>
              <w:t xml:space="preserve">for information </w:t>
            </w:r>
            <w:r w:rsidRPr="00517708">
              <w:rPr>
                <w:rFonts w:asciiTheme="minorHAnsi" w:eastAsia="Times New Roman" w:hAnsiTheme="minorHAnsi" w:cs="Calibri"/>
                <w:color w:val="000000"/>
                <w:kern w:val="0"/>
                <w:sz w:val="20"/>
                <w:lang w:val="en-IE" w:eastAsia="en-IE"/>
              </w:rPr>
              <w:t>from FIU’.</w:t>
            </w:r>
          </w:p>
          <w:p w14:paraId="735F386A" w14:textId="1AE4B32E" w:rsidR="003244C1" w:rsidRPr="0015108E" w:rsidRDefault="003244C1" w:rsidP="006D7B50">
            <w:pPr>
              <w:spacing w:before="0" w:after="0" w:line="240" w:lineRule="auto"/>
              <w:jc w:val="both"/>
              <w:rPr>
                <w:rFonts w:asciiTheme="minorHAnsi" w:eastAsia="Times New Roman" w:hAnsiTheme="minorHAnsi" w:cs="Calibri"/>
                <w:b/>
                <w:bCs/>
                <w:color w:val="000000"/>
                <w:kern w:val="0"/>
                <w:sz w:val="20"/>
                <w:u w:val="single"/>
                <w:lang w:val="en-IE" w:eastAsia="en-IE"/>
              </w:rPr>
            </w:pPr>
          </w:p>
        </w:tc>
      </w:tr>
    </w:tbl>
    <w:p w14:paraId="731D0751" w14:textId="3AA3E1D9" w:rsidR="001A7F12" w:rsidRPr="0015108E" w:rsidRDefault="001A7F12" w:rsidP="001A7F12">
      <w:pPr>
        <w:pStyle w:val="Heading2"/>
        <w:rPr>
          <w:rFonts w:asciiTheme="minorHAnsi" w:hAnsiTheme="minorHAnsi"/>
          <w:lang w:val="en-GB"/>
        </w:rPr>
      </w:pPr>
      <w:bookmarkStart w:id="82" w:name="_Toc223018891"/>
      <w:bookmarkStart w:id="83" w:name="_Toc223021689"/>
      <w:bookmarkStart w:id="84" w:name="_Toc223086537"/>
      <w:bookmarkStart w:id="85" w:name="_Toc223086631"/>
      <w:bookmarkStart w:id="86" w:name="_Toc223086725"/>
      <w:bookmarkStart w:id="87" w:name="_Toc223086819"/>
      <w:bookmarkStart w:id="88" w:name="_Toc221355967"/>
      <w:bookmarkStart w:id="89" w:name="_Toc223104833"/>
      <w:bookmarkEnd w:id="80"/>
      <w:bookmarkEnd w:id="82"/>
      <w:bookmarkEnd w:id="83"/>
      <w:bookmarkEnd w:id="84"/>
      <w:bookmarkEnd w:id="85"/>
      <w:bookmarkEnd w:id="86"/>
      <w:bookmarkEnd w:id="87"/>
      <w:r w:rsidRPr="0015108E">
        <w:rPr>
          <w:rFonts w:asciiTheme="minorHAnsi" w:hAnsiTheme="minorHAnsi"/>
          <w:lang w:val="en-GB"/>
        </w:rPr>
        <w:t>Products and Services template instructions</w:t>
      </w:r>
      <w:bookmarkEnd w:id="88"/>
      <w:bookmarkEnd w:id="89"/>
    </w:p>
    <w:p w14:paraId="0AE440FB" w14:textId="2ADC12AC" w:rsidR="00E24597" w:rsidRPr="009B282E" w:rsidRDefault="00882D6E" w:rsidP="00E24597">
      <w:pPr>
        <w:pStyle w:val="Heading3"/>
        <w:rPr>
          <w:lang w:val="en-GB"/>
        </w:rPr>
      </w:pPr>
      <w:bookmarkStart w:id="90" w:name="_Toc221355968"/>
      <w:bookmarkStart w:id="91" w:name="_Toc223104834"/>
      <w:r w:rsidRPr="009B282E">
        <w:rPr>
          <w:lang w:val="en-GB"/>
        </w:rPr>
        <w:t xml:space="preserve">AML.03.01 </w:t>
      </w:r>
      <w:r w:rsidR="00E24597" w:rsidRPr="009B282E">
        <w:rPr>
          <w:lang w:val="en-GB"/>
        </w:rPr>
        <w:t xml:space="preserve">Payment </w:t>
      </w:r>
      <w:r w:rsidR="00C74985">
        <w:rPr>
          <w:lang w:val="en-GB"/>
        </w:rPr>
        <w:t>A</w:t>
      </w:r>
      <w:r w:rsidR="00E24597" w:rsidRPr="009B282E">
        <w:rPr>
          <w:lang w:val="en-GB"/>
        </w:rPr>
        <w:t>ccounts</w:t>
      </w:r>
      <w:bookmarkEnd w:id="90"/>
      <w:bookmarkEnd w:id="91"/>
    </w:p>
    <w:p w14:paraId="3B4D879F" w14:textId="77777777" w:rsidR="007433A1" w:rsidRPr="00135B9D" w:rsidRDefault="007433A1" w:rsidP="007433A1">
      <w:pPr>
        <w:rPr>
          <w:rFonts w:asciiTheme="minorHAnsi" w:hAnsiTheme="minorHAnsi"/>
          <w:b/>
        </w:rPr>
      </w:pPr>
      <w:bookmarkStart w:id="92" w:name="_Hlk222854291"/>
      <w:r w:rsidRPr="00135B9D">
        <w:rPr>
          <w:rFonts w:asciiTheme="minorHAnsi" w:hAnsiTheme="minorHAnsi"/>
          <w:b/>
        </w:rPr>
        <w:t>Template Remarks</w:t>
      </w:r>
    </w:p>
    <w:p w14:paraId="1C08DED7" w14:textId="22FA3D66" w:rsidR="00786939" w:rsidRDefault="007D2B22" w:rsidP="00003055">
      <w:pPr>
        <w:jc w:val="both"/>
        <w:rPr>
          <w:rFonts w:asciiTheme="minorHAnsi" w:hAnsiTheme="minorHAnsi"/>
          <w:lang w:val="en-GB"/>
        </w:rPr>
      </w:pPr>
      <w:r w:rsidRPr="00EB6C46">
        <w:rPr>
          <w:rFonts w:asciiTheme="minorHAnsi" w:hAnsiTheme="minorHAnsi"/>
          <w:lang w:val="en-GB"/>
        </w:rPr>
        <w:t xml:space="preserve">Fill out this template if you </w:t>
      </w:r>
      <w:r w:rsidRPr="00EB6C46">
        <w:rPr>
          <w:rFonts w:asciiTheme="minorHAnsi" w:hAnsiTheme="minorHAnsi"/>
        </w:rPr>
        <w:t>offer some of these services</w:t>
      </w:r>
      <w:r w:rsidR="00F82BB0" w:rsidRPr="00EB6C46">
        <w:rPr>
          <w:rFonts w:asciiTheme="minorHAnsi" w:hAnsiTheme="minorHAnsi"/>
        </w:rPr>
        <w:t xml:space="preserve"> </w:t>
      </w:r>
      <w:r w:rsidR="000E3D8F" w:rsidRPr="00EB6C46">
        <w:rPr>
          <w:rFonts w:asciiTheme="minorHAnsi" w:hAnsiTheme="minorHAnsi"/>
        </w:rPr>
        <w:t>and/</w:t>
      </w:r>
      <w:r w:rsidR="00F82BB0" w:rsidRPr="00EB6C46">
        <w:rPr>
          <w:rFonts w:asciiTheme="minorHAnsi" w:hAnsiTheme="minorHAnsi"/>
        </w:rPr>
        <w:t xml:space="preserve">or </w:t>
      </w:r>
      <w:r w:rsidRPr="00EB6C46">
        <w:rPr>
          <w:rFonts w:asciiTheme="minorHAnsi" w:hAnsiTheme="minorHAnsi"/>
        </w:rPr>
        <w:t>product</w:t>
      </w:r>
      <w:r w:rsidR="00F82BB0" w:rsidRPr="00EB6C46">
        <w:rPr>
          <w:rFonts w:asciiTheme="minorHAnsi" w:hAnsiTheme="minorHAnsi"/>
        </w:rPr>
        <w:t>s</w:t>
      </w:r>
      <w:r w:rsidR="000D723B">
        <w:rPr>
          <w:rFonts w:asciiTheme="minorHAnsi" w:hAnsiTheme="minorHAnsi"/>
        </w:rPr>
        <w:t>.</w:t>
      </w:r>
      <w:r w:rsidRPr="00EB6C46">
        <w:rPr>
          <w:rFonts w:asciiTheme="minorHAnsi" w:hAnsiTheme="minorHAnsi"/>
        </w:rPr>
        <w:t xml:space="preserve"> </w:t>
      </w:r>
      <w:r w:rsidR="000D723B">
        <w:rPr>
          <w:rFonts w:asciiTheme="minorHAnsi" w:hAnsiTheme="minorHAnsi"/>
        </w:rPr>
        <w:t>N</w:t>
      </w:r>
      <w:r w:rsidRPr="00EB6C46">
        <w:rPr>
          <w:rFonts w:asciiTheme="minorHAnsi" w:hAnsiTheme="minorHAnsi"/>
        </w:rPr>
        <w:t xml:space="preserve">ormally </w:t>
      </w:r>
      <w:r w:rsidR="007235F4" w:rsidRPr="00EB6C46">
        <w:rPr>
          <w:rFonts w:asciiTheme="minorHAnsi" w:hAnsiTheme="minorHAnsi"/>
        </w:rPr>
        <w:t xml:space="preserve">this template </w:t>
      </w:r>
      <w:r w:rsidR="006E0354" w:rsidRPr="00EB6C46">
        <w:rPr>
          <w:rFonts w:asciiTheme="minorHAnsi" w:hAnsiTheme="minorHAnsi"/>
        </w:rPr>
        <w:t xml:space="preserve">is </w:t>
      </w:r>
      <w:r w:rsidRPr="00EB6C46">
        <w:rPr>
          <w:rFonts w:asciiTheme="minorHAnsi" w:hAnsiTheme="minorHAnsi"/>
        </w:rPr>
        <w:t>applicable for CI, CP, EMI, PI and O</w:t>
      </w:r>
      <w:r w:rsidR="00C92BB8" w:rsidRPr="00EB6C46">
        <w:rPr>
          <w:rFonts w:asciiTheme="minorHAnsi" w:hAnsiTheme="minorHAnsi"/>
        </w:rPr>
        <w:t>.</w:t>
      </w:r>
    </w:p>
    <w:bookmarkEnd w:id="92"/>
    <w:p w14:paraId="1A1DAE0C" w14:textId="0EC10EE5" w:rsidR="006C4D3C" w:rsidRDefault="00242593" w:rsidP="00F55741">
      <w:pPr>
        <w:jc w:val="both"/>
        <w:rPr>
          <w:rFonts w:asciiTheme="minorHAnsi" w:hAnsiTheme="minorHAnsi"/>
        </w:rPr>
      </w:pPr>
      <w:r w:rsidRPr="00242593">
        <w:rPr>
          <w:rFonts w:asciiTheme="minorHAnsi" w:hAnsiTheme="minorHAnsi"/>
        </w:rPr>
        <w:t>‘</w:t>
      </w:r>
      <w:r w:rsidR="00EA06CE">
        <w:rPr>
          <w:rFonts w:asciiTheme="minorHAnsi" w:hAnsiTheme="minorHAnsi"/>
        </w:rPr>
        <w:t>P</w:t>
      </w:r>
      <w:r w:rsidRPr="00242593">
        <w:rPr>
          <w:rFonts w:asciiTheme="minorHAnsi" w:hAnsiTheme="minorHAnsi"/>
        </w:rPr>
        <w:t xml:space="preserve">ayment account’ means an account held in the name of one or more </w:t>
      </w:r>
      <w:r w:rsidR="008B2551">
        <w:rPr>
          <w:rFonts w:asciiTheme="minorHAnsi" w:hAnsiTheme="minorHAnsi"/>
        </w:rPr>
        <w:t>payment service user</w:t>
      </w:r>
      <w:r w:rsidR="007B7F96">
        <w:rPr>
          <w:rFonts w:asciiTheme="minorHAnsi" w:hAnsiTheme="minorHAnsi"/>
        </w:rPr>
        <w:t xml:space="preserve">s </w:t>
      </w:r>
      <w:r w:rsidRPr="00242593">
        <w:rPr>
          <w:rFonts w:asciiTheme="minorHAnsi" w:hAnsiTheme="minorHAnsi"/>
        </w:rPr>
        <w:t>which is used for the execution of payment transactions</w:t>
      </w:r>
      <w:r w:rsidR="006F59F1">
        <w:rPr>
          <w:rFonts w:asciiTheme="minorHAnsi" w:hAnsiTheme="minorHAnsi"/>
        </w:rPr>
        <w:t>, pursuant to</w:t>
      </w:r>
      <w:r w:rsidR="00A57452">
        <w:rPr>
          <w:rFonts w:asciiTheme="minorHAnsi" w:hAnsiTheme="minorHAnsi"/>
        </w:rPr>
        <w:t xml:space="preserve"> Article 4(12) of </w:t>
      </w:r>
      <w:r w:rsidR="00DE2129">
        <w:rPr>
          <w:rFonts w:asciiTheme="minorHAnsi" w:hAnsiTheme="minorHAnsi"/>
        </w:rPr>
        <w:t>Directive</w:t>
      </w:r>
      <w:r w:rsidR="00DE2129" w:rsidRPr="00DE2129">
        <w:rPr>
          <w:rFonts w:asciiTheme="minorHAnsi" w:hAnsiTheme="minorHAnsi"/>
        </w:rPr>
        <w:t xml:space="preserve"> 2015/2366</w:t>
      </w:r>
      <w:r w:rsidR="00CB13C4">
        <w:rPr>
          <w:rFonts w:asciiTheme="minorHAnsi" w:hAnsiTheme="minorHAnsi"/>
        </w:rPr>
        <w:t xml:space="preserve">, and, where relevant for accounts held by consumers, </w:t>
      </w:r>
      <w:r w:rsidR="00B61055" w:rsidRPr="00875978">
        <w:rPr>
          <w:rFonts w:asciiTheme="minorHAnsi" w:hAnsiTheme="minorHAnsi"/>
        </w:rPr>
        <w:t>Article 2(3)</w:t>
      </w:r>
      <w:r w:rsidR="00B61055">
        <w:rPr>
          <w:rFonts w:asciiTheme="minorHAnsi" w:hAnsiTheme="minorHAnsi"/>
        </w:rPr>
        <w:t xml:space="preserve"> of</w:t>
      </w:r>
      <w:r w:rsidR="00B61055" w:rsidRPr="00373C73">
        <w:rPr>
          <w:rFonts w:asciiTheme="minorHAnsi" w:hAnsiTheme="minorHAnsi"/>
        </w:rPr>
        <w:t xml:space="preserve"> Directive 2014/92/EU</w:t>
      </w:r>
      <w:r w:rsidR="00B61055">
        <w:rPr>
          <w:rFonts w:asciiTheme="minorHAnsi" w:hAnsiTheme="minorHAnsi"/>
        </w:rPr>
        <w:t>.</w:t>
      </w:r>
    </w:p>
    <w:p w14:paraId="0933CA76" w14:textId="07AC79F7" w:rsidR="006F77C5" w:rsidRDefault="006F77C5" w:rsidP="00F55741">
      <w:pPr>
        <w:jc w:val="both"/>
        <w:rPr>
          <w:rFonts w:asciiTheme="minorHAnsi" w:hAnsiTheme="minorHAnsi"/>
        </w:rPr>
      </w:pPr>
      <w:r>
        <w:rPr>
          <w:rFonts w:asciiTheme="minorHAnsi" w:hAnsiTheme="minorHAnsi"/>
        </w:rPr>
        <w:t xml:space="preserve">For </w:t>
      </w:r>
      <w:r w:rsidR="00F911BE">
        <w:rPr>
          <w:rFonts w:asciiTheme="minorHAnsi" w:hAnsiTheme="minorHAnsi"/>
        </w:rPr>
        <w:t>the purposes of this data collection exercise</w:t>
      </w:r>
      <w:r>
        <w:rPr>
          <w:rFonts w:asciiTheme="minorHAnsi" w:hAnsiTheme="minorHAnsi"/>
        </w:rPr>
        <w:t>:</w:t>
      </w:r>
    </w:p>
    <w:p w14:paraId="032BAB37" w14:textId="4A9D1233" w:rsidR="00122E8F" w:rsidRPr="00BA10EB" w:rsidRDefault="00F911BE" w:rsidP="00003055">
      <w:pPr>
        <w:pStyle w:val="ListParagraph"/>
        <w:numPr>
          <w:ilvl w:val="0"/>
          <w:numId w:val="79"/>
        </w:numPr>
        <w:ind w:left="1077" w:hanging="357"/>
        <w:contextualSpacing w:val="0"/>
        <w:jc w:val="both"/>
        <w:rPr>
          <w:rFonts w:asciiTheme="minorHAnsi" w:hAnsiTheme="minorHAnsi"/>
          <w:lang w:val="en-GB"/>
        </w:rPr>
      </w:pPr>
      <w:r>
        <w:rPr>
          <w:rFonts w:asciiTheme="minorHAnsi" w:hAnsiTheme="minorHAnsi"/>
          <w:lang w:val="en-GB"/>
        </w:rPr>
        <w:t>T</w:t>
      </w:r>
      <w:r w:rsidRPr="00F911BE">
        <w:rPr>
          <w:rFonts w:asciiTheme="minorHAnsi" w:hAnsiTheme="minorHAnsi"/>
          <w:lang w:val="en-GB"/>
        </w:rPr>
        <w:t xml:space="preserve">he qualification of an account </w:t>
      </w:r>
      <w:r w:rsidR="00DE3F1B">
        <w:rPr>
          <w:rFonts w:asciiTheme="minorHAnsi" w:hAnsiTheme="minorHAnsi"/>
          <w:lang w:val="en-GB"/>
        </w:rPr>
        <w:t xml:space="preserve">as a payment account </w:t>
      </w:r>
      <w:r w:rsidR="00D45524">
        <w:rPr>
          <w:rFonts w:asciiTheme="minorHAnsi" w:hAnsiTheme="minorHAnsi"/>
          <w:lang w:val="en-GB"/>
        </w:rPr>
        <w:t>s</w:t>
      </w:r>
      <w:r w:rsidR="00DE3F1B">
        <w:rPr>
          <w:rFonts w:asciiTheme="minorHAnsi" w:hAnsiTheme="minorHAnsi"/>
          <w:lang w:val="en-GB"/>
        </w:rPr>
        <w:t>hall</w:t>
      </w:r>
      <w:r w:rsidRPr="00F911BE">
        <w:rPr>
          <w:rFonts w:asciiTheme="minorHAnsi" w:hAnsiTheme="minorHAnsi"/>
          <w:lang w:val="en-GB"/>
        </w:rPr>
        <w:t xml:space="preserve"> not depend on its commercial designation (e.g. 'savings account'</w:t>
      </w:r>
      <w:r w:rsidR="002E1D6D">
        <w:rPr>
          <w:rFonts w:asciiTheme="minorHAnsi" w:hAnsiTheme="minorHAnsi"/>
          <w:lang w:val="en-GB"/>
        </w:rPr>
        <w:t xml:space="preserve"> </w:t>
      </w:r>
      <w:r w:rsidRPr="00F911BE">
        <w:rPr>
          <w:rFonts w:asciiTheme="minorHAnsi" w:hAnsiTheme="minorHAnsi"/>
          <w:lang w:val="en-GB"/>
        </w:rPr>
        <w:t xml:space="preserve">or similar), but on </w:t>
      </w:r>
      <w:r w:rsidR="00E85166">
        <w:rPr>
          <w:rFonts w:asciiTheme="minorHAnsi" w:hAnsiTheme="minorHAnsi"/>
          <w:lang w:val="en-GB"/>
        </w:rPr>
        <w:t>the account’s</w:t>
      </w:r>
      <w:r w:rsidRPr="00F911BE">
        <w:rPr>
          <w:rFonts w:asciiTheme="minorHAnsi" w:hAnsiTheme="minorHAnsi"/>
          <w:lang w:val="en-GB"/>
        </w:rPr>
        <w:t xml:space="preserve"> </w:t>
      </w:r>
      <w:r w:rsidR="00EB636D" w:rsidRPr="00EB636D">
        <w:rPr>
          <w:rFonts w:asciiTheme="minorHAnsi" w:hAnsiTheme="minorHAnsi"/>
          <w:lang w:val="en-GB"/>
        </w:rPr>
        <w:t xml:space="preserve">substantive features and permitted </w:t>
      </w:r>
      <w:r w:rsidR="00E85166">
        <w:rPr>
          <w:rFonts w:asciiTheme="minorHAnsi" w:hAnsiTheme="minorHAnsi"/>
          <w:lang w:val="en-GB"/>
        </w:rPr>
        <w:t>function</w:t>
      </w:r>
      <w:r w:rsidR="00A918FD">
        <w:rPr>
          <w:rFonts w:asciiTheme="minorHAnsi" w:hAnsiTheme="minorHAnsi"/>
          <w:lang w:val="en-GB"/>
        </w:rPr>
        <w:t>alities</w:t>
      </w:r>
      <w:r w:rsidR="00EB636D" w:rsidRPr="00EB636D">
        <w:rPr>
          <w:rFonts w:asciiTheme="minorHAnsi" w:hAnsiTheme="minorHAnsi"/>
          <w:lang w:val="en-GB"/>
        </w:rPr>
        <w:t xml:space="preserve"> under the applicable national implementing framework</w:t>
      </w:r>
      <w:r w:rsidR="002E1D6D">
        <w:rPr>
          <w:rFonts w:asciiTheme="minorHAnsi" w:hAnsiTheme="minorHAnsi"/>
          <w:lang w:val="en-GB"/>
        </w:rPr>
        <w:t xml:space="preserve">. </w:t>
      </w:r>
      <w:r w:rsidR="0051421B">
        <w:rPr>
          <w:rFonts w:asciiTheme="minorHAnsi" w:hAnsiTheme="minorHAnsi"/>
          <w:lang w:val="en-GB"/>
        </w:rPr>
        <w:t xml:space="preserve">For instance, </w:t>
      </w:r>
      <w:r w:rsidR="002838DB">
        <w:rPr>
          <w:rFonts w:asciiTheme="minorHAnsi" w:hAnsiTheme="minorHAnsi"/>
          <w:lang w:val="en-GB"/>
        </w:rPr>
        <w:t>w</w:t>
      </w:r>
      <w:r w:rsidR="002838DB" w:rsidRPr="002838DB">
        <w:rPr>
          <w:rFonts w:asciiTheme="minorHAnsi" w:hAnsiTheme="minorHAnsi"/>
          <w:lang w:val="en-GB"/>
        </w:rPr>
        <w:t xml:space="preserve">here </w:t>
      </w:r>
      <w:r w:rsidR="002838DB">
        <w:rPr>
          <w:rFonts w:asciiTheme="minorHAnsi" w:hAnsiTheme="minorHAnsi"/>
          <w:lang w:val="en-GB"/>
        </w:rPr>
        <w:t xml:space="preserve">an </w:t>
      </w:r>
      <w:r w:rsidR="002838DB" w:rsidRPr="002838DB">
        <w:rPr>
          <w:rFonts w:asciiTheme="minorHAnsi" w:hAnsiTheme="minorHAnsi"/>
          <w:lang w:val="en-GB"/>
        </w:rPr>
        <w:t>account enables the execution of payment transactions to</w:t>
      </w:r>
      <w:r w:rsidR="00775F3B">
        <w:rPr>
          <w:rFonts w:asciiTheme="minorHAnsi" w:hAnsiTheme="minorHAnsi"/>
          <w:lang w:val="en-GB"/>
        </w:rPr>
        <w:t>/from</w:t>
      </w:r>
      <w:r w:rsidR="002838DB" w:rsidRPr="002838DB">
        <w:rPr>
          <w:rFonts w:asciiTheme="minorHAnsi" w:hAnsiTheme="minorHAnsi"/>
          <w:lang w:val="en-GB"/>
        </w:rPr>
        <w:t xml:space="preserve"> third parties, it </w:t>
      </w:r>
      <w:r w:rsidR="00845276">
        <w:rPr>
          <w:rFonts w:asciiTheme="minorHAnsi" w:hAnsiTheme="minorHAnsi"/>
          <w:lang w:val="en-GB"/>
        </w:rPr>
        <w:t>should be treated as</w:t>
      </w:r>
      <w:r w:rsidR="002838DB" w:rsidRPr="002838DB">
        <w:rPr>
          <w:rFonts w:asciiTheme="minorHAnsi" w:hAnsiTheme="minorHAnsi"/>
          <w:lang w:val="en-GB"/>
        </w:rPr>
        <w:t xml:space="preserve"> a payment account.</w:t>
      </w:r>
      <w:r w:rsidR="000C677B">
        <w:rPr>
          <w:rFonts w:asciiTheme="minorHAnsi" w:hAnsiTheme="minorHAnsi"/>
          <w:lang w:val="en-GB"/>
        </w:rPr>
        <w:t xml:space="preserve"> </w:t>
      </w:r>
      <w:r w:rsidR="002C1372">
        <w:rPr>
          <w:rFonts w:asciiTheme="minorHAnsi" w:hAnsiTheme="minorHAnsi"/>
          <w:lang w:val="en-GB"/>
        </w:rPr>
        <w:t>By contrast</w:t>
      </w:r>
      <w:r w:rsidR="000C677B">
        <w:rPr>
          <w:rFonts w:asciiTheme="minorHAnsi" w:hAnsiTheme="minorHAnsi"/>
          <w:lang w:val="en-GB"/>
        </w:rPr>
        <w:t xml:space="preserve">, </w:t>
      </w:r>
      <w:r w:rsidR="001D4FCF">
        <w:rPr>
          <w:rFonts w:asciiTheme="minorHAnsi" w:hAnsiTheme="minorHAnsi"/>
          <w:lang w:val="en-GB"/>
        </w:rPr>
        <w:t>w</w:t>
      </w:r>
      <w:r w:rsidR="002838DB" w:rsidRPr="00F55741">
        <w:rPr>
          <w:rFonts w:asciiTheme="minorHAnsi" w:hAnsiTheme="minorHAnsi"/>
          <w:lang w:val="en-GB"/>
        </w:rPr>
        <w:t xml:space="preserve">here </w:t>
      </w:r>
      <w:r w:rsidR="00A700DF">
        <w:rPr>
          <w:rFonts w:asciiTheme="minorHAnsi" w:hAnsiTheme="minorHAnsi"/>
          <w:lang w:val="en-GB"/>
        </w:rPr>
        <w:t xml:space="preserve">an </w:t>
      </w:r>
      <w:r w:rsidR="002838DB" w:rsidRPr="00F55741">
        <w:rPr>
          <w:rFonts w:asciiTheme="minorHAnsi" w:hAnsiTheme="minorHAnsi"/>
          <w:lang w:val="en-GB"/>
        </w:rPr>
        <w:t>account</w:t>
      </w:r>
      <w:r w:rsidR="00A700DF">
        <w:rPr>
          <w:rFonts w:asciiTheme="minorHAnsi" w:hAnsiTheme="minorHAnsi"/>
          <w:lang w:val="en-GB"/>
        </w:rPr>
        <w:t>’s</w:t>
      </w:r>
      <w:r w:rsidR="008C3228">
        <w:rPr>
          <w:rFonts w:asciiTheme="minorHAnsi" w:hAnsiTheme="minorHAnsi"/>
          <w:lang w:val="en-GB"/>
        </w:rPr>
        <w:t xml:space="preserve"> </w:t>
      </w:r>
      <w:r w:rsidR="00A700DF">
        <w:rPr>
          <w:rFonts w:asciiTheme="minorHAnsi" w:hAnsiTheme="minorHAnsi"/>
          <w:lang w:val="en-GB"/>
        </w:rPr>
        <w:t>functionality</w:t>
      </w:r>
      <w:r w:rsidR="002838DB" w:rsidRPr="00BA10EB">
        <w:rPr>
          <w:rFonts w:asciiTheme="minorHAnsi" w:hAnsiTheme="minorHAnsi"/>
          <w:lang w:val="en-GB"/>
        </w:rPr>
        <w:t xml:space="preserve"> is limited to the accumulation or </w:t>
      </w:r>
      <w:r w:rsidR="0064518C">
        <w:rPr>
          <w:rFonts w:asciiTheme="minorHAnsi" w:hAnsiTheme="minorHAnsi"/>
          <w:lang w:val="en-GB"/>
        </w:rPr>
        <w:t xml:space="preserve">internal </w:t>
      </w:r>
      <w:r w:rsidR="002838DB" w:rsidRPr="00BA10EB">
        <w:rPr>
          <w:rFonts w:asciiTheme="minorHAnsi" w:hAnsiTheme="minorHAnsi"/>
          <w:lang w:val="en-GB"/>
        </w:rPr>
        <w:t>management of liquidity and does not enable</w:t>
      </w:r>
      <w:r w:rsidR="00555E99">
        <w:rPr>
          <w:rFonts w:asciiTheme="minorHAnsi" w:hAnsiTheme="minorHAnsi"/>
          <w:lang w:val="en-GB"/>
        </w:rPr>
        <w:t xml:space="preserve"> the execution of</w:t>
      </w:r>
      <w:r w:rsidR="002838DB" w:rsidRPr="00BA10EB">
        <w:rPr>
          <w:rFonts w:asciiTheme="minorHAnsi" w:hAnsiTheme="minorHAnsi"/>
          <w:lang w:val="en-GB"/>
        </w:rPr>
        <w:t xml:space="preserve"> payment transactions to</w:t>
      </w:r>
      <w:r w:rsidR="00775F3B">
        <w:rPr>
          <w:rFonts w:asciiTheme="minorHAnsi" w:hAnsiTheme="minorHAnsi"/>
          <w:lang w:val="en-GB"/>
        </w:rPr>
        <w:t>/from</w:t>
      </w:r>
      <w:r w:rsidR="002838DB" w:rsidRPr="00BA10EB">
        <w:rPr>
          <w:rFonts w:asciiTheme="minorHAnsi" w:hAnsiTheme="minorHAnsi"/>
          <w:lang w:val="en-GB"/>
        </w:rPr>
        <w:t xml:space="preserve"> third parties, it </w:t>
      </w:r>
      <w:r w:rsidR="00367E91" w:rsidRPr="00367E91">
        <w:rPr>
          <w:rFonts w:asciiTheme="minorHAnsi" w:hAnsiTheme="minorHAnsi"/>
          <w:lang w:val="en-GB"/>
        </w:rPr>
        <w:t>should not be treated as a payment account</w:t>
      </w:r>
      <w:r w:rsidR="002838DB" w:rsidRPr="00BA10EB">
        <w:rPr>
          <w:rFonts w:asciiTheme="minorHAnsi" w:hAnsiTheme="minorHAnsi"/>
          <w:lang w:val="en-GB"/>
        </w:rPr>
        <w:t>.</w:t>
      </w:r>
      <w:r w:rsidR="00814E6B">
        <w:rPr>
          <w:rFonts w:asciiTheme="minorHAnsi" w:hAnsiTheme="minorHAnsi"/>
          <w:lang w:val="en-GB"/>
        </w:rPr>
        <w:t xml:space="preserve"> </w:t>
      </w:r>
    </w:p>
    <w:p w14:paraId="443C35C3" w14:textId="451BCF78" w:rsidR="003D74F0" w:rsidRDefault="00530EC5" w:rsidP="00003055">
      <w:pPr>
        <w:pStyle w:val="ListParagraph"/>
        <w:numPr>
          <w:ilvl w:val="0"/>
          <w:numId w:val="79"/>
        </w:numPr>
        <w:ind w:left="1077" w:hanging="357"/>
        <w:contextualSpacing w:val="0"/>
        <w:jc w:val="both"/>
        <w:rPr>
          <w:rFonts w:asciiTheme="minorHAnsi" w:hAnsiTheme="minorHAnsi"/>
          <w:lang w:val="en-GB"/>
        </w:rPr>
      </w:pPr>
      <w:r>
        <w:rPr>
          <w:rFonts w:asciiTheme="minorHAnsi" w:hAnsiTheme="minorHAnsi"/>
          <w:lang w:val="en-GB"/>
        </w:rPr>
        <w:t xml:space="preserve">All </w:t>
      </w:r>
      <w:r w:rsidR="009D251F">
        <w:rPr>
          <w:rFonts w:asciiTheme="minorHAnsi" w:hAnsiTheme="minorHAnsi"/>
          <w:lang w:val="en-GB"/>
        </w:rPr>
        <w:t>unique</w:t>
      </w:r>
      <w:r w:rsidR="005B6772">
        <w:rPr>
          <w:rFonts w:asciiTheme="minorHAnsi" w:hAnsiTheme="minorHAnsi"/>
          <w:lang w:val="en-GB"/>
        </w:rPr>
        <w:t xml:space="preserve"> payment accounts must </w:t>
      </w:r>
      <w:r w:rsidR="00B743FA">
        <w:rPr>
          <w:rFonts w:asciiTheme="minorHAnsi" w:hAnsiTheme="minorHAnsi"/>
          <w:lang w:val="en-GB"/>
        </w:rPr>
        <w:t xml:space="preserve">be </w:t>
      </w:r>
      <w:r w:rsidR="009D251F">
        <w:rPr>
          <w:rFonts w:asciiTheme="minorHAnsi" w:hAnsiTheme="minorHAnsi"/>
          <w:lang w:val="en-GB"/>
        </w:rPr>
        <w:t>included (</w:t>
      </w:r>
      <w:r w:rsidR="004418B6">
        <w:rPr>
          <w:rFonts w:asciiTheme="minorHAnsi" w:hAnsiTheme="minorHAnsi"/>
          <w:lang w:val="en-GB"/>
        </w:rPr>
        <w:t>multiple account</w:t>
      </w:r>
      <w:r w:rsidR="0025572C">
        <w:rPr>
          <w:rFonts w:asciiTheme="minorHAnsi" w:hAnsiTheme="minorHAnsi"/>
          <w:lang w:val="en-GB"/>
        </w:rPr>
        <w:t>s</w:t>
      </w:r>
      <w:r w:rsidR="004418B6">
        <w:rPr>
          <w:rFonts w:asciiTheme="minorHAnsi" w:hAnsiTheme="minorHAnsi"/>
          <w:lang w:val="en-GB"/>
        </w:rPr>
        <w:t xml:space="preserve"> per individual, company or group of companies must be included</w:t>
      </w:r>
      <w:r w:rsidR="0025572C">
        <w:rPr>
          <w:rFonts w:asciiTheme="minorHAnsi" w:hAnsiTheme="minorHAnsi"/>
          <w:lang w:val="en-GB"/>
        </w:rPr>
        <w:t>, including v</w:t>
      </w:r>
      <w:r w:rsidR="0063647D">
        <w:rPr>
          <w:rFonts w:asciiTheme="minorHAnsi" w:hAnsiTheme="minorHAnsi"/>
          <w:lang w:val="en-GB"/>
        </w:rPr>
        <w:t xml:space="preserve">irtual </w:t>
      </w:r>
      <w:r w:rsidR="0025572C">
        <w:rPr>
          <w:rFonts w:asciiTheme="minorHAnsi" w:hAnsiTheme="minorHAnsi"/>
          <w:lang w:val="en-GB"/>
        </w:rPr>
        <w:t>IBANs</w:t>
      </w:r>
      <w:r w:rsidR="00993A2C">
        <w:rPr>
          <w:rFonts w:asciiTheme="minorHAnsi" w:hAnsiTheme="minorHAnsi"/>
          <w:lang w:val="en-GB"/>
        </w:rPr>
        <w:t>)</w:t>
      </w:r>
      <w:r w:rsidR="00CF2F7A">
        <w:rPr>
          <w:rFonts w:asciiTheme="minorHAnsi" w:hAnsiTheme="minorHAnsi"/>
          <w:lang w:val="en-GB"/>
        </w:rPr>
        <w:t>.</w:t>
      </w:r>
    </w:p>
    <w:p w14:paraId="5DAE88E4" w14:textId="019B8AE3" w:rsidR="00322986" w:rsidRPr="0029440C" w:rsidRDefault="00322986" w:rsidP="00003055">
      <w:pPr>
        <w:pStyle w:val="ListParagraph"/>
        <w:numPr>
          <w:ilvl w:val="0"/>
          <w:numId w:val="79"/>
        </w:numPr>
        <w:ind w:left="1077" w:hanging="357"/>
        <w:contextualSpacing w:val="0"/>
        <w:jc w:val="both"/>
        <w:rPr>
          <w:rFonts w:asciiTheme="minorHAnsi" w:hAnsiTheme="minorHAnsi"/>
          <w:lang w:val="en-GB"/>
        </w:rPr>
      </w:pPr>
      <w:r w:rsidRPr="00322986">
        <w:rPr>
          <w:rFonts w:asciiTheme="minorHAnsi" w:hAnsiTheme="minorHAnsi"/>
          <w:lang w:val="en-GB"/>
        </w:rPr>
        <w:t>Regarding crypto, where a crypto-asset service offered by a CASP involves payment services, and the execution of those services is carried out by the payment service providers servicing the relevant payment accounts, such payments should be considered within the scope of th</w:t>
      </w:r>
      <w:r w:rsidR="003D6E32">
        <w:rPr>
          <w:rFonts w:asciiTheme="minorHAnsi" w:hAnsiTheme="minorHAnsi"/>
          <w:lang w:val="en-GB"/>
        </w:rPr>
        <w:t>e data points belo</w:t>
      </w:r>
      <w:r w:rsidR="00C7299D">
        <w:rPr>
          <w:rFonts w:asciiTheme="minorHAnsi" w:hAnsiTheme="minorHAnsi"/>
          <w:lang w:val="en-GB"/>
        </w:rPr>
        <w:t>w</w:t>
      </w:r>
      <w:r w:rsidRPr="00322986">
        <w:rPr>
          <w:rFonts w:asciiTheme="minorHAnsi" w:hAnsiTheme="minorHAnsi"/>
          <w:lang w:val="en-GB"/>
        </w:rPr>
        <w:t>.</w:t>
      </w:r>
    </w:p>
    <w:p w14:paraId="42848EEF" w14:textId="4A237748" w:rsidR="00E24597" w:rsidRPr="0015108E" w:rsidRDefault="7F30E7AE" w:rsidP="00003055">
      <w:pPr>
        <w:pStyle w:val="ListParagraph"/>
        <w:numPr>
          <w:ilvl w:val="0"/>
          <w:numId w:val="79"/>
        </w:numPr>
        <w:ind w:left="1077" w:hanging="357"/>
        <w:contextualSpacing w:val="0"/>
        <w:jc w:val="both"/>
        <w:rPr>
          <w:lang w:val="en-GB"/>
        </w:rPr>
      </w:pPr>
      <w:r w:rsidRPr="751DD7FA">
        <w:rPr>
          <w:rFonts w:asciiTheme="minorHAnsi" w:hAnsiTheme="minorHAnsi"/>
          <w:lang w:val="en-GB"/>
        </w:rPr>
        <w:t>An ‘incoming transaction’ refers to a payment transaction resulting in funds being credited to the customer’s payment account held with the obliged entity. In other words, the transaction is incoming from the customers</w:t>
      </w:r>
      <w:r w:rsidR="00675676">
        <w:rPr>
          <w:rFonts w:asciiTheme="minorHAnsi" w:hAnsiTheme="minorHAnsi"/>
          <w:lang w:val="en-GB"/>
        </w:rPr>
        <w:t>’</w:t>
      </w:r>
      <w:r w:rsidRPr="751DD7FA">
        <w:rPr>
          <w:rFonts w:asciiTheme="minorHAnsi" w:hAnsiTheme="minorHAnsi"/>
          <w:lang w:val="en-GB"/>
        </w:rPr>
        <w:t xml:space="preserve"> perspective and increases the balance of their account</w:t>
      </w:r>
      <w:r w:rsidR="002C1A28">
        <w:rPr>
          <w:rFonts w:asciiTheme="minorHAnsi" w:hAnsiTheme="minorHAnsi"/>
          <w:lang w:val="en-GB"/>
        </w:rPr>
        <w:t>s</w:t>
      </w:r>
      <w:r w:rsidRPr="2D00D878">
        <w:rPr>
          <w:rFonts w:asciiTheme="minorHAnsi" w:hAnsiTheme="minorHAnsi"/>
          <w:lang w:val="en-GB"/>
        </w:rPr>
        <w:t xml:space="preserve">. </w:t>
      </w:r>
      <w:r w:rsidRPr="643D9F84">
        <w:rPr>
          <w:rFonts w:asciiTheme="minorHAnsi" w:hAnsiTheme="minorHAnsi"/>
          <w:lang w:val="en-GB"/>
        </w:rPr>
        <w:t xml:space="preserve">Equivalently, </w:t>
      </w:r>
      <w:r w:rsidR="061C7832" w:rsidRPr="70A38A3C">
        <w:rPr>
          <w:rFonts w:asciiTheme="minorHAnsi" w:hAnsiTheme="minorHAnsi"/>
          <w:lang w:val="en-GB"/>
        </w:rPr>
        <w:t>an</w:t>
      </w:r>
      <w:r w:rsidR="061C7832" w:rsidRPr="643D9F84">
        <w:rPr>
          <w:rFonts w:asciiTheme="minorHAnsi" w:hAnsiTheme="minorHAnsi"/>
          <w:lang w:val="en-GB"/>
        </w:rPr>
        <w:t xml:space="preserve"> ‘outgoing transaction’ refers to a payment transaction initiated by the customer and debited from the customer’s payment account held with the obliged entity. In other words, the transaction is outgoing from the customers</w:t>
      </w:r>
      <w:r w:rsidR="00FA5557">
        <w:rPr>
          <w:rFonts w:asciiTheme="minorHAnsi" w:hAnsiTheme="minorHAnsi"/>
          <w:lang w:val="en-GB"/>
        </w:rPr>
        <w:t>’</w:t>
      </w:r>
      <w:r w:rsidR="061C7832" w:rsidRPr="643D9F84">
        <w:rPr>
          <w:rFonts w:asciiTheme="minorHAnsi" w:hAnsiTheme="minorHAnsi"/>
          <w:lang w:val="en-GB"/>
        </w:rPr>
        <w:t xml:space="preserve"> perspective and reduces the balance of their account</w:t>
      </w:r>
      <w:r w:rsidR="002C1A28">
        <w:rPr>
          <w:rFonts w:asciiTheme="minorHAnsi" w:hAnsiTheme="minorHAnsi"/>
          <w:lang w:val="en-GB"/>
        </w:rPr>
        <w:t>s</w:t>
      </w:r>
      <w:r w:rsidR="061C7832" w:rsidRPr="60A55BED">
        <w:rPr>
          <w:rFonts w:asciiTheme="minorHAnsi" w:hAnsiTheme="minorHAnsi"/>
          <w:lang w:val="en-GB"/>
        </w:rPr>
        <w:t>.</w:t>
      </w:r>
    </w:p>
    <w:tbl>
      <w:tblPr>
        <w:tblW w:w="92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3"/>
        <w:gridCol w:w="7616"/>
      </w:tblGrid>
      <w:tr w:rsidR="005E211E" w:rsidRPr="009B282E" w14:paraId="2869F711" w14:textId="77777777" w:rsidTr="467A3946">
        <w:tc>
          <w:tcPr>
            <w:tcW w:w="16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8C2C5B" w14:textId="77777777" w:rsidR="00097929" w:rsidRPr="009275BC" w:rsidRDefault="00097929" w:rsidP="00F32516">
            <w:pPr>
              <w:pStyle w:val="InstructionsText"/>
              <w:rPr>
                <w:rStyle w:val="InstructionsTabelleText"/>
                <w:rFonts w:asciiTheme="minorHAnsi" w:hAnsiTheme="minorHAnsi"/>
                <w:bCs w:val="0"/>
                <w:lang w:eastAsia="en-US"/>
              </w:rPr>
            </w:pPr>
            <w:r w:rsidRPr="009275BC">
              <w:rPr>
                <w:rStyle w:val="InstructionsTabelleText"/>
                <w:rFonts w:asciiTheme="minorHAnsi" w:hAnsiTheme="minorHAnsi"/>
              </w:rPr>
              <w:t>Column code</w:t>
            </w:r>
          </w:p>
        </w:tc>
        <w:tc>
          <w:tcPr>
            <w:tcW w:w="76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8E9152" w14:textId="77777777" w:rsidR="00097929" w:rsidRPr="009275BC" w:rsidRDefault="00097929" w:rsidP="00F32516">
            <w:pPr>
              <w:pStyle w:val="InstructionsText"/>
              <w:rPr>
                <w:rStyle w:val="InstructionsTabelleText"/>
                <w:rFonts w:asciiTheme="minorHAnsi" w:hAnsiTheme="minorHAnsi"/>
                <w:bCs w:val="0"/>
                <w:lang w:eastAsia="en-US"/>
              </w:rPr>
            </w:pPr>
            <w:r w:rsidRPr="009275BC">
              <w:rPr>
                <w:rStyle w:val="InstructionsTabelleText"/>
                <w:rFonts w:asciiTheme="minorHAnsi" w:hAnsiTheme="minorHAnsi"/>
              </w:rPr>
              <w:t>Legal references and instructions</w:t>
            </w:r>
          </w:p>
        </w:tc>
      </w:tr>
      <w:tr w:rsidR="00097929" w:rsidRPr="009B282E" w14:paraId="5935CF5E" w14:textId="77777777" w:rsidTr="00097929">
        <w:tc>
          <w:tcPr>
            <w:tcW w:w="1673" w:type="dxa"/>
            <w:tcBorders>
              <w:top w:val="single" w:sz="4" w:space="0" w:color="auto"/>
              <w:left w:val="single" w:sz="4" w:space="0" w:color="auto"/>
              <w:bottom w:val="single" w:sz="4" w:space="0" w:color="auto"/>
              <w:right w:val="single" w:sz="4" w:space="0" w:color="auto"/>
            </w:tcBorders>
          </w:tcPr>
          <w:p w14:paraId="04381FD2" w14:textId="0998903D" w:rsidR="00097929" w:rsidRPr="009275BC" w:rsidRDefault="00882D6E"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C0010</w:t>
            </w:r>
          </w:p>
        </w:tc>
        <w:tc>
          <w:tcPr>
            <w:tcW w:w="7616" w:type="dxa"/>
            <w:tcBorders>
              <w:top w:val="single" w:sz="4" w:space="0" w:color="auto"/>
              <w:left w:val="single" w:sz="4" w:space="0" w:color="auto"/>
              <w:bottom w:val="single" w:sz="4" w:space="0" w:color="auto"/>
              <w:right w:val="single" w:sz="4" w:space="0" w:color="auto"/>
            </w:tcBorders>
          </w:tcPr>
          <w:p w14:paraId="090D39E7" w14:textId="197B4963" w:rsidR="00491899" w:rsidRDefault="00491899" w:rsidP="00E01B22">
            <w:pPr>
              <w:pStyle w:val="InstructionsText2"/>
              <w:rPr>
                <w:rFonts w:asciiTheme="minorHAnsi" w:hAnsiTheme="minorHAnsi"/>
                <w:sz w:val="20"/>
                <w:szCs w:val="20"/>
                <w:lang w:val="en-IE"/>
              </w:rPr>
            </w:pPr>
            <w:r w:rsidRPr="00676B65">
              <w:rPr>
                <w:rFonts w:ascii="Aptos" w:hAnsi="Aptos"/>
                <w:b/>
                <w:sz w:val="20"/>
                <w:szCs w:val="20"/>
                <w:u w:val="single"/>
                <w:lang w:val="en-IE"/>
              </w:rPr>
              <w:t>Payment Accounts</w:t>
            </w:r>
          </w:p>
          <w:p w14:paraId="5A2BB118" w14:textId="4384AE55" w:rsidR="00097929" w:rsidRPr="00016335" w:rsidRDefault="0015108E" w:rsidP="00593D04">
            <w:pPr>
              <w:pStyle w:val="InstructionsText2"/>
              <w:rPr>
                <w:rStyle w:val="InstructionsTabelleberschrift"/>
                <w:rFonts w:asciiTheme="minorHAnsi" w:hAnsiTheme="minorHAnsi"/>
                <w:b w:val="0"/>
                <w:bCs w:val="0"/>
                <w:u w:val="none"/>
                <w:lang w:val="en-IE"/>
              </w:rPr>
            </w:pPr>
            <w:r w:rsidRPr="467A3946">
              <w:rPr>
                <w:rFonts w:asciiTheme="minorHAnsi" w:hAnsiTheme="minorHAnsi"/>
                <w:sz w:val="20"/>
                <w:szCs w:val="20"/>
                <w:lang w:val="en-IE"/>
              </w:rPr>
              <w:t xml:space="preserve">This information should refer to </w:t>
            </w:r>
            <w:r w:rsidR="008804F4">
              <w:rPr>
                <w:rFonts w:asciiTheme="minorHAnsi" w:hAnsiTheme="minorHAnsi"/>
                <w:sz w:val="20"/>
                <w:szCs w:val="20"/>
                <w:lang w:val="en-IE"/>
              </w:rPr>
              <w:t xml:space="preserve">the </w:t>
            </w:r>
            <w:r w:rsidR="00F77A18">
              <w:rPr>
                <w:rFonts w:asciiTheme="minorHAnsi" w:hAnsiTheme="minorHAnsi"/>
                <w:sz w:val="20"/>
                <w:szCs w:val="20"/>
                <w:lang w:val="en-IE"/>
              </w:rPr>
              <w:t xml:space="preserve">total </w:t>
            </w:r>
            <w:r w:rsidR="008804F4">
              <w:rPr>
                <w:rFonts w:asciiTheme="minorHAnsi" w:hAnsiTheme="minorHAnsi"/>
                <w:sz w:val="20"/>
                <w:szCs w:val="20"/>
                <w:lang w:val="en-IE"/>
              </w:rPr>
              <w:t xml:space="preserve">number of payment accounts at the </w:t>
            </w:r>
            <w:r w:rsidRPr="467A3946">
              <w:rPr>
                <w:rFonts w:asciiTheme="minorHAnsi" w:hAnsiTheme="minorHAnsi"/>
                <w:sz w:val="20"/>
                <w:szCs w:val="20"/>
                <w:lang w:val="en-IE"/>
              </w:rPr>
              <w:t xml:space="preserve">end of the </w:t>
            </w:r>
            <w:r w:rsidRPr="00676B65">
              <w:rPr>
                <w:rFonts w:asciiTheme="minorHAnsi" w:hAnsiTheme="minorHAnsi"/>
                <w:bCs/>
                <w:sz w:val="20"/>
                <w:szCs w:val="20"/>
                <w:lang w:val="en-IE"/>
              </w:rPr>
              <w:t>reference year.</w:t>
            </w:r>
            <w:r w:rsidRPr="467A3946">
              <w:rPr>
                <w:rFonts w:asciiTheme="minorHAnsi" w:hAnsiTheme="minorHAnsi"/>
                <w:sz w:val="20"/>
                <w:szCs w:val="20"/>
                <w:lang w:val="en-IE"/>
              </w:rPr>
              <w:t xml:space="preserve"> </w:t>
            </w:r>
          </w:p>
        </w:tc>
      </w:tr>
      <w:tr w:rsidR="00097929" w:rsidRPr="009B282E" w14:paraId="2D39CCB1" w14:textId="77777777">
        <w:tc>
          <w:tcPr>
            <w:tcW w:w="1673" w:type="dxa"/>
            <w:tcBorders>
              <w:top w:val="single" w:sz="4" w:space="0" w:color="auto"/>
              <w:left w:val="single" w:sz="4" w:space="0" w:color="auto"/>
              <w:bottom w:val="single" w:sz="4" w:space="0" w:color="auto"/>
              <w:right w:val="single" w:sz="4" w:space="0" w:color="auto"/>
            </w:tcBorders>
          </w:tcPr>
          <w:p w14:paraId="00612756" w14:textId="478CF2ED" w:rsidR="00097929" w:rsidRPr="009275BC" w:rsidRDefault="004F5931"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C0020</w:t>
            </w:r>
          </w:p>
        </w:tc>
        <w:tc>
          <w:tcPr>
            <w:tcW w:w="7616" w:type="dxa"/>
            <w:tcBorders>
              <w:top w:val="single" w:sz="4" w:space="0" w:color="auto"/>
              <w:left w:val="single" w:sz="4" w:space="0" w:color="auto"/>
              <w:bottom w:val="single" w:sz="4" w:space="0" w:color="auto"/>
              <w:right w:val="single" w:sz="4" w:space="0" w:color="auto"/>
            </w:tcBorders>
          </w:tcPr>
          <w:p w14:paraId="1D22408B" w14:textId="52D13FB5" w:rsidR="00491899" w:rsidRDefault="00491899" w:rsidP="003E0474">
            <w:pPr>
              <w:pStyle w:val="InstructionsText2"/>
              <w:rPr>
                <w:rStyle w:val="InstructionsTabelleberschrift"/>
                <w:rFonts w:asciiTheme="minorHAnsi" w:hAnsiTheme="minorHAnsi"/>
                <w:b w:val="0"/>
                <w:bCs w:val="0"/>
                <w:u w:val="none"/>
              </w:rPr>
            </w:pPr>
            <w:r w:rsidRPr="00514967">
              <w:rPr>
                <w:rStyle w:val="InstructionsTabelleberschrift"/>
                <w:rFonts w:ascii="Aptos" w:hAnsi="Aptos"/>
                <w:bCs w:val="0"/>
              </w:rPr>
              <w:t>Incoming Transactions - Value</w:t>
            </w:r>
          </w:p>
          <w:p w14:paraId="5EC02DC4" w14:textId="3259E55F" w:rsidR="001D1A94" w:rsidRDefault="003E0474" w:rsidP="003E0474">
            <w:pPr>
              <w:pStyle w:val="InstructionsText2"/>
              <w:rPr>
                <w:rStyle w:val="InstructionsTabelleberschrift"/>
                <w:rFonts w:asciiTheme="minorHAnsi" w:hAnsiTheme="minorHAnsi"/>
                <w:b w:val="0"/>
                <w:bCs w:val="0"/>
                <w:u w:val="none"/>
              </w:rPr>
            </w:pPr>
            <w:r w:rsidRPr="004110A7">
              <w:rPr>
                <w:rStyle w:val="InstructionsTabelleberschrift"/>
                <w:rFonts w:asciiTheme="minorHAnsi" w:hAnsiTheme="minorHAnsi"/>
                <w:b w:val="0"/>
                <w:bCs w:val="0"/>
                <w:u w:val="none"/>
              </w:rPr>
              <w:t xml:space="preserve">The total value of all incoming </w:t>
            </w:r>
            <w:r w:rsidRPr="00AA3952">
              <w:rPr>
                <w:rStyle w:val="InstructionsTabelleberschrift"/>
                <w:rFonts w:asciiTheme="minorHAnsi" w:hAnsiTheme="minorHAnsi"/>
                <w:b w:val="0"/>
                <w:bCs w:val="0"/>
                <w:u w:val="none"/>
              </w:rPr>
              <w:t>payment transactions</w:t>
            </w:r>
            <w:r w:rsidR="00A144C8" w:rsidRPr="00AA3952">
              <w:rPr>
                <w:rStyle w:val="InstructionsTabelleberschrift"/>
                <w:rFonts w:asciiTheme="minorHAnsi" w:hAnsiTheme="minorHAnsi"/>
                <w:b w:val="0"/>
                <w:bCs w:val="0"/>
                <w:u w:val="none"/>
              </w:rPr>
              <w:t xml:space="preserve"> </w:t>
            </w:r>
            <w:r w:rsidR="00A144C8" w:rsidRPr="00514967">
              <w:rPr>
                <w:rStyle w:val="InstructionsTabelleberschrift"/>
                <w:rFonts w:asciiTheme="minorHAnsi" w:hAnsiTheme="minorHAnsi"/>
                <w:b w:val="0"/>
                <w:bCs w:val="0"/>
                <w:u w:val="none"/>
              </w:rPr>
              <w:t xml:space="preserve">in the </w:t>
            </w:r>
            <w:r w:rsidR="003063BB" w:rsidRPr="00514967">
              <w:rPr>
                <w:rStyle w:val="InstructionsTabelleberschrift"/>
                <w:rFonts w:asciiTheme="minorHAnsi" w:hAnsiTheme="minorHAnsi"/>
                <w:b w:val="0"/>
                <w:bCs w:val="0"/>
                <w:u w:val="none"/>
              </w:rPr>
              <w:t>reference year</w:t>
            </w:r>
            <w:r w:rsidRPr="00AA3952">
              <w:rPr>
                <w:rStyle w:val="InstructionsTabelleberschrift"/>
                <w:rFonts w:asciiTheme="minorHAnsi" w:hAnsiTheme="minorHAnsi"/>
                <w:b w:val="0"/>
                <w:bCs w:val="0"/>
                <w:u w:val="none"/>
              </w:rPr>
              <w:t xml:space="preserve">, as defined by Article 4(5) of Directive 2015/2366/EU (PSD2), </w:t>
            </w:r>
            <w:r w:rsidR="006A588A">
              <w:rPr>
                <w:rStyle w:val="InstructionsTabelleberschrift"/>
                <w:rFonts w:asciiTheme="minorHAnsi" w:hAnsiTheme="minorHAnsi"/>
                <w:b w:val="0"/>
                <w:bCs w:val="0"/>
                <w:u w:val="none"/>
              </w:rPr>
              <w:t xml:space="preserve">in funds, </w:t>
            </w:r>
            <w:r w:rsidRPr="00AA3952">
              <w:rPr>
                <w:rStyle w:val="InstructionsTabelleberschrift"/>
                <w:rFonts w:asciiTheme="minorHAnsi" w:hAnsiTheme="minorHAnsi"/>
                <w:b w:val="0"/>
                <w:bCs w:val="0"/>
                <w:u w:val="none"/>
              </w:rPr>
              <w:t>credited to payment accounts, as defined by Article 4(12) PSD2, held by customers with the obliged entity.</w:t>
            </w:r>
          </w:p>
          <w:p w14:paraId="26380A36" w14:textId="707B1B6B" w:rsidR="003E0474" w:rsidRPr="00AA3952" w:rsidRDefault="003E0474" w:rsidP="003E0474">
            <w:pPr>
              <w:pStyle w:val="InstructionsText2"/>
              <w:rPr>
                <w:rStyle w:val="InstructionsTabelleberschrift"/>
                <w:rFonts w:asciiTheme="minorHAnsi" w:hAnsiTheme="minorHAnsi"/>
                <w:b w:val="0"/>
                <w:bCs w:val="0"/>
                <w:u w:val="none"/>
              </w:rPr>
            </w:pPr>
            <w:r w:rsidRPr="00514967">
              <w:rPr>
                <w:rStyle w:val="InstructionsTabelleberschrift"/>
                <w:rFonts w:asciiTheme="minorHAnsi" w:hAnsiTheme="minorHAnsi"/>
                <w:b w:val="0"/>
                <w:bCs w:val="0"/>
                <w:u w:val="none"/>
              </w:rPr>
              <w:t>The following shall be excluded</w:t>
            </w:r>
            <w:r w:rsidRPr="00AA3952">
              <w:rPr>
                <w:rStyle w:val="InstructionsTabelleberschrift"/>
                <w:rFonts w:asciiTheme="minorHAnsi" w:hAnsiTheme="minorHAnsi"/>
                <w:b w:val="0"/>
                <w:bCs w:val="0"/>
                <w:u w:val="none"/>
              </w:rPr>
              <w:t>:</w:t>
            </w:r>
          </w:p>
          <w:p w14:paraId="62C2799E" w14:textId="7F425148" w:rsidR="003E0474" w:rsidRPr="00AA3952" w:rsidRDefault="003E0474" w:rsidP="004854E3">
            <w:pPr>
              <w:pStyle w:val="InstructionsText2"/>
              <w:numPr>
                <w:ilvl w:val="0"/>
                <w:numId w:val="81"/>
              </w:numPr>
              <w:rPr>
                <w:rStyle w:val="InstructionsTabelleberschrift"/>
                <w:rFonts w:asciiTheme="minorHAnsi" w:hAnsiTheme="minorHAnsi"/>
                <w:b w:val="0"/>
                <w:bCs w:val="0"/>
                <w:u w:val="none"/>
              </w:rPr>
            </w:pPr>
            <w:r w:rsidRPr="00514967">
              <w:rPr>
                <w:rStyle w:val="InstructionsTabelleberschrift"/>
                <w:rFonts w:asciiTheme="minorHAnsi" w:hAnsiTheme="minorHAnsi"/>
                <w:b w:val="0"/>
                <w:bCs w:val="0"/>
                <w:u w:val="none"/>
              </w:rPr>
              <w:t>Internal transfers</w:t>
            </w:r>
            <w:r w:rsidRPr="00AA3952">
              <w:rPr>
                <w:rStyle w:val="InstructionsTabelleberschrift"/>
                <w:rFonts w:asciiTheme="minorHAnsi" w:hAnsiTheme="minorHAnsi"/>
                <w:b w:val="0"/>
                <w:bCs w:val="0"/>
                <w:u w:val="none"/>
              </w:rPr>
              <w:t xml:space="preserve"> – The crediting of funds to a</w:t>
            </w:r>
            <w:r w:rsidR="00E57825">
              <w:rPr>
                <w:rStyle w:val="InstructionsTabelleberschrift"/>
                <w:rFonts w:asciiTheme="minorHAnsi" w:hAnsiTheme="minorHAnsi"/>
                <w:b w:val="0"/>
                <w:bCs w:val="0"/>
                <w:u w:val="none"/>
              </w:rPr>
              <w:t xml:space="preserve"> payment </w:t>
            </w:r>
            <w:r w:rsidRPr="00AA3952">
              <w:rPr>
                <w:rStyle w:val="InstructionsTabelleberschrift"/>
                <w:rFonts w:asciiTheme="minorHAnsi" w:hAnsiTheme="minorHAnsi"/>
                <w:b w:val="0"/>
                <w:bCs w:val="0"/>
                <w:u w:val="none"/>
              </w:rPr>
              <w:t xml:space="preserve">account from another </w:t>
            </w:r>
            <w:r w:rsidR="00E57825">
              <w:rPr>
                <w:rStyle w:val="InstructionsTabelleberschrift"/>
                <w:rFonts w:asciiTheme="minorHAnsi" w:hAnsiTheme="minorHAnsi"/>
                <w:b w:val="0"/>
                <w:bCs w:val="0"/>
                <w:u w:val="none"/>
              </w:rPr>
              <w:t xml:space="preserve">payment </w:t>
            </w:r>
            <w:r w:rsidRPr="00AA3952">
              <w:rPr>
                <w:rStyle w:val="InstructionsTabelleberschrift"/>
                <w:rFonts w:asciiTheme="minorHAnsi" w:hAnsiTheme="minorHAnsi"/>
                <w:b w:val="0"/>
                <w:bCs w:val="0"/>
                <w:u w:val="none"/>
              </w:rPr>
              <w:t>account held by the same payment service user within the same obliged entity.</w:t>
            </w:r>
          </w:p>
          <w:p w14:paraId="10A73DB9" w14:textId="5A1C3C34" w:rsidR="00EF52D5" w:rsidRPr="00AA3952" w:rsidRDefault="00EF52D5" w:rsidP="00EF52D5">
            <w:pPr>
              <w:pStyle w:val="InstructionsText2"/>
              <w:ind w:left="360"/>
              <w:rPr>
                <w:rStyle w:val="InstructionsTabelleberschrift"/>
                <w:rFonts w:asciiTheme="minorHAnsi" w:eastAsia="Cambria" w:hAnsiTheme="minorHAnsi"/>
                <w:b w:val="0"/>
                <w:color w:val="262626" w:themeColor="text1" w:themeTint="D9"/>
                <w:kern w:val="20"/>
                <w:szCs w:val="20"/>
                <w:u w:val="none"/>
                <w:lang w:val="en-US" w:eastAsia="ja-JP"/>
              </w:rPr>
            </w:pPr>
            <w:r w:rsidRPr="00EF52D5">
              <w:rPr>
                <w:rStyle w:val="InstructionsTabelleberschrift"/>
                <w:rFonts w:asciiTheme="minorHAnsi" w:hAnsiTheme="minorHAnsi"/>
                <w:b w:val="0"/>
                <w:bCs w:val="0"/>
                <w:u w:val="none"/>
              </w:rPr>
              <w:t>For joint</w:t>
            </w:r>
            <w:r w:rsidR="00786939">
              <w:rPr>
                <w:rStyle w:val="InstructionsTabelleberschrift"/>
                <w:rFonts w:asciiTheme="minorHAnsi" w:hAnsiTheme="minorHAnsi"/>
                <w:b w:val="0"/>
                <w:bCs w:val="0"/>
                <w:u w:val="none"/>
              </w:rPr>
              <w:t xml:space="preserve"> payment</w:t>
            </w:r>
            <w:r w:rsidRPr="00EF52D5">
              <w:rPr>
                <w:rStyle w:val="InstructionsTabelleberschrift"/>
                <w:rFonts w:asciiTheme="minorHAnsi" w:hAnsiTheme="minorHAnsi"/>
                <w:b w:val="0"/>
                <w:bCs w:val="0"/>
                <w:u w:val="none"/>
              </w:rPr>
              <w:t xml:space="preserve"> accounts, ‘same payment service user’ </w:t>
            </w:r>
            <w:r w:rsidR="00CB6DF2">
              <w:rPr>
                <w:rStyle w:val="InstructionsTabelleberschrift"/>
                <w:rFonts w:asciiTheme="minorHAnsi" w:hAnsiTheme="minorHAnsi"/>
                <w:b w:val="0"/>
                <w:bCs w:val="0"/>
                <w:u w:val="none"/>
              </w:rPr>
              <w:t>shall be understood</w:t>
            </w:r>
            <w:r w:rsidR="007A6B52">
              <w:rPr>
                <w:rStyle w:val="InstructionsTabelleberschrift"/>
                <w:rFonts w:asciiTheme="minorHAnsi" w:hAnsiTheme="minorHAnsi"/>
                <w:b w:val="0"/>
                <w:bCs w:val="0"/>
                <w:u w:val="none"/>
              </w:rPr>
              <w:t xml:space="preserve"> as</w:t>
            </w:r>
            <w:r w:rsidRPr="00EF52D5">
              <w:rPr>
                <w:rStyle w:val="InstructionsTabelleberschrift"/>
                <w:rFonts w:asciiTheme="minorHAnsi" w:hAnsiTheme="minorHAnsi"/>
                <w:b w:val="0"/>
                <w:bCs w:val="0"/>
                <w:u w:val="none"/>
              </w:rPr>
              <w:t xml:space="preserve"> the same set of account holders</w:t>
            </w:r>
            <w:r w:rsidR="00A6491E">
              <w:rPr>
                <w:rStyle w:val="InstructionsTabelleberschrift"/>
                <w:rFonts w:asciiTheme="minorHAnsi" w:hAnsiTheme="minorHAnsi"/>
                <w:b w:val="0"/>
                <w:bCs w:val="0"/>
                <w:u w:val="none"/>
              </w:rPr>
              <w:t>.</w:t>
            </w:r>
          </w:p>
          <w:p w14:paraId="4A174E90" w14:textId="087E7B5E" w:rsidR="003E0474" w:rsidRPr="00AA3952" w:rsidRDefault="003E0474" w:rsidP="004854E3">
            <w:pPr>
              <w:pStyle w:val="InstructionsText2"/>
              <w:numPr>
                <w:ilvl w:val="0"/>
                <w:numId w:val="81"/>
              </w:numPr>
              <w:rPr>
                <w:rStyle w:val="InstructionsTabelleberschrift"/>
                <w:rFonts w:asciiTheme="minorHAnsi" w:hAnsiTheme="minorHAnsi"/>
                <w:b w:val="0"/>
                <w:bCs w:val="0"/>
                <w:u w:val="none"/>
              </w:rPr>
            </w:pPr>
            <w:r w:rsidRPr="00514967">
              <w:rPr>
                <w:rStyle w:val="InstructionsTabelleberschrift"/>
                <w:rFonts w:asciiTheme="minorHAnsi" w:hAnsiTheme="minorHAnsi"/>
                <w:b w:val="0"/>
                <w:bCs w:val="0"/>
                <w:u w:val="none"/>
              </w:rPr>
              <w:t>Reversals</w:t>
            </w:r>
            <w:r w:rsidRPr="00AA3952">
              <w:rPr>
                <w:rStyle w:val="InstructionsTabelleberschrift"/>
                <w:rFonts w:asciiTheme="minorHAnsi" w:hAnsiTheme="minorHAnsi"/>
                <w:b w:val="0"/>
                <w:bCs w:val="0"/>
                <w:u w:val="none"/>
              </w:rPr>
              <w:t xml:space="preserve"> – Transactions that are subsequently reversed, refunded, or otherwise nullified. In the case of partial reversals, only the unreversed net amount is retained.</w:t>
            </w:r>
          </w:p>
          <w:p w14:paraId="25B0FF01" w14:textId="4D92608D" w:rsidR="00B43145" w:rsidRPr="00AA3952" w:rsidRDefault="003E0474" w:rsidP="004854E3">
            <w:pPr>
              <w:pStyle w:val="InstructionsText2"/>
              <w:numPr>
                <w:ilvl w:val="0"/>
                <w:numId w:val="81"/>
              </w:numPr>
              <w:rPr>
                <w:rStyle w:val="InstructionsTabelleberschrift"/>
                <w:rFonts w:asciiTheme="minorHAnsi" w:hAnsiTheme="minorHAnsi"/>
                <w:b w:val="0"/>
                <w:bCs w:val="0"/>
                <w:u w:val="none"/>
              </w:rPr>
            </w:pPr>
            <w:r w:rsidRPr="00514967">
              <w:rPr>
                <w:rStyle w:val="InstructionsTabelleberschrift"/>
                <w:rFonts w:asciiTheme="minorHAnsi" w:hAnsiTheme="minorHAnsi"/>
                <w:b w:val="0"/>
                <w:bCs w:val="0"/>
                <w:u w:val="none"/>
              </w:rPr>
              <w:t>Intra-group operational transfers</w:t>
            </w:r>
            <w:r w:rsidRPr="00AA3952">
              <w:rPr>
                <w:rStyle w:val="InstructionsTabelleberschrift"/>
                <w:rFonts w:asciiTheme="minorHAnsi" w:hAnsiTheme="minorHAnsi"/>
                <w:b w:val="0"/>
                <w:bCs w:val="0"/>
                <w:u w:val="none"/>
              </w:rPr>
              <w:t xml:space="preserve"> – Transactions credited from an account held by an entity that is part of the obliged entity’s consolidation group</w:t>
            </w:r>
            <w:r w:rsidR="00A31D30">
              <w:rPr>
                <w:rStyle w:val="InstructionsTabelleberschrift"/>
                <w:rFonts w:asciiTheme="minorHAnsi" w:hAnsiTheme="minorHAnsi"/>
                <w:b w:val="0"/>
                <w:bCs w:val="0"/>
                <w:u w:val="none"/>
              </w:rPr>
              <w:t xml:space="preserve"> at global level</w:t>
            </w:r>
            <w:r w:rsidR="007563F7">
              <w:t xml:space="preserve">, </w:t>
            </w:r>
            <w:r w:rsidR="007563F7" w:rsidRPr="007563F7">
              <w:rPr>
                <w:rStyle w:val="InstructionsTabelleberschrift"/>
                <w:rFonts w:asciiTheme="minorHAnsi" w:hAnsiTheme="minorHAnsi"/>
                <w:b w:val="0"/>
                <w:bCs w:val="0"/>
                <w:u w:val="none"/>
              </w:rPr>
              <w:t>as determined in accordance with the applicable accounting framework</w:t>
            </w:r>
            <w:r w:rsidR="004A3047">
              <w:rPr>
                <w:rStyle w:val="InstructionsTabelleberschrift"/>
                <w:rFonts w:asciiTheme="minorHAnsi" w:hAnsiTheme="minorHAnsi"/>
                <w:b w:val="0"/>
                <w:bCs w:val="0"/>
                <w:u w:val="none"/>
              </w:rPr>
              <w:t xml:space="preserve">, provided that the transaction is </w:t>
            </w:r>
            <w:r w:rsidRPr="00AA3952">
              <w:rPr>
                <w:rStyle w:val="InstructionsTabelleberschrift"/>
                <w:rFonts w:asciiTheme="minorHAnsi" w:hAnsiTheme="minorHAnsi"/>
                <w:b w:val="0"/>
                <w:bCs w:val="0"/>
                <w:u w:val="none"/>
              </w:rPr>
              <w:t>executed solely for internal operational purposes—such as treasury management, intra-group financing, or internal capital support</w:t>
            </w:r>
            <w:r w:rsidR="000373BE">
              <w:rPr>
                <w:rStyle w:val="InstructionsTabelleberschrift"/>
                <w:rFonts w:asciiTheme="minorHAnsi" w:hAnsiTheme="minorHAnsi"/>
                <w:b w:val="0"/>
                <w:bCs w:val="0"/>
                <w:u w:val="none"/>
              </w:rPr>
              <w:t>. This exclusion shall not cover</w:t>
            </w:r>
            <w:r w:rsidRPr="00AA3952">
              <w:rPr>
                <w:rStyle w:val="InstructionsTabelleberschrift"/>
                <w:rFonts w:asciiTheme="minorHAnsi" w:hAnsiTheme="minorHAnsi"/>
                <w:b w:val="0"/>
                <w:bCs w:val="0"/>
                <w:u w:val="none"/>
              </w:rPr>
              <w:t xml:space="preserve"> customer-to-customer payments between separate group entities. Furthermore, the exclusion shall not apply to transactions from a group entity where the latter merely intermediates funds originating from a payer outside the group, provided the ultimate payer can be reliably identified from the available payment information.</w:t>
            </w:r>
          </w:p>
          <w:p w14:paraId="60A4CC2D" w14:textId="0ED2EF50" w:rsidR="00497DD2" w:rsidRPr="00323F65" w:rsidRDefault="003E0474" w:rsidP="00323F65">
            <w:pPr>
              <w:pStyle w:val="InstructionsText2"/>
              <w:numPr>
                <w:ilvl w:val="0"/>
                <w:numId w:val="81"/>
              </w:numPr>
              <w:rPr>
                <w:rStyle w:val="InstructionsTabelleberschrift"/>
                <w:rFonts w:asciiTheme="minorHAnsi" w:hAnsiTheme="minorHAnsi"/>
                <w:b w:val="0"/>
                <w:bCs w:val="0"/>
                <w:u w:val="none"/>
              </w:rPr>
            </w:pPr>
            <w:r w:rsidRPr="00803556">
              <w:rPr>
                <w:rStyle w:val="InstructionsTabelleberschrift"/>
                <w:rFonts w:asciiTheme="minorHAnsi" w:hAnsiTheme="minorHAnsi"/>
                <w:b w:val="0"/>
                <w:bCs w:val="0"/>
                <w:u w:val="none"/>
              </w:rPr>
              <w:t>Incoming e-money payment transactions</w:t>
            </w:r>
            <w:r w:rsidR="002500D0">
              <w:rPr>
                <w:rStyle w:val="InstructionsTabelleberschrift"/>
                <w:rFonts w:asciiTheme="minorHAnsi" w:hAnsiTheme="minorHAnsi"/>
                <w:b w:val="0"/>
                <w:bCs w:val="0"/>
                <w:u w:val="none"/>
              </w:rPr>
              <w:t xml:space="preserve"> </w:t>
            </w:r>
            <w:r w:rsidR="008E620E" w:rsidRPr="008E620E">
              <w:rPr>
                <w:rStyle w:val="InstructionsTabelleberschrift"/>
                <w:rFonts w:asciiTheme="minorHAnsi" w:hAnsiTheme="minorHAnsi"/>
                <w:b w:val="0"/>
                <w:bCs w:val="0"/>
                <w:u w:val="none"/>
              </w:rPr>
              <w:t>(</w:t>
            </w:r>
            <w:r w:rsidR="004E5FAB">
              <w:rPr>
                <w:rStyle w:val="InstructionsTabelleberschrift"/>
                <w:rFonts w:asciiTheme="minorHAnsi" w:hAnsiTheme="minorHAnsi"/>
                <w:b w:val="0"/>
                <w:bCs w:val="0"/>
                <w:u w:val="none"/>
              </w:rPr>
              <w:t xml:space="preserve">to be </w:t>
            </w:r>
            <w:r w:rsidR="008E620E" w:rsidRPr="008E620E">
              <w:rPr>
                <w:rStyle w:val="InstructionsTabelleberschrift"/>
                <w:rFonts w:asciiTheme="minorHAnsi" w:hAnsiTheme="minorHAnsi"/>
                <w:b w:val="0"/>
                <w:bCs w:val="0"/>
                <w:u w:val="none"/>
              </w:rPr>
              <w:t>reported under “E-Money Transactions (Incoming)”)</w:t>
            </w:r>
            <w:r w:rsidR="00440104">
              <w:rPr>
                <w:rStyle w:val="InstructionsTabelleberschrift"/>
                <w:rFonts w:asciiTheme="minorHAnsi" w:hAnsiTheme="minorHAnsi"/>
                <w:b w:val="0"/>
                <w:bCs w:val="0"/>
                <w:u w:val="none"/>
              </w:rPr>
              <w:t xml:space="preserve"> </w:t>
            </w:r>
            <w:r w:rsidR="002500D0">
              <w:rPr>
                <w:rStyle w:val="InstructionsTabelleberschrift"/>
                <w:rFonts w:asciiTheme="minorHAnsi" w:hAnsiTheme="minorHAnsi"/>
                <w:b w:val="0"/>
                <w:bCs w:val="0"/>
                <w:u w:val="none"/>
              </w:rPr>
              <w:t xml:space="preserve">- </w:t>
            </w:r>
            <w:r w:rsidR="00440104">
              <w:rPr>
                <w:rFonts w:asciiTheme="minorHAnsi" w:hAnsiTheme="minorHAnsi"/>
                <w:sz w:val="20"/>
                <w:lang w:val="en-US"/>
              </w:rPr>
              <w:t>I</w:t>
            </w:r>
            <w:r w:rsidR="002500D0" w:rsidRPr="002500D0">
              <w:rPr>
                <w:rFonts w:asciiTheme="minorHAnsi" w:hAnsiTheme="minorHAnsi"/>
                <w:sz w:val="20"/>
                <w:lang w:val="en-US"/>
              </w:rPr>
              <w:t>ncoming payment transactions (Article 4(5)</w:t>
            </w:r>
            <w:r w:rsidR="00BE440A">
              <w:rPr>
                <w:rFonts w:asciiTheme="minorHAnsi" w:hAnsiTheme="minorHAnsi"/>
                <w:sz w:val="20"/>
                <w:lang w:val="en-US"/>
              </w:rPr>
              <w:t xml:space="preserve"> PSD2</w:t>
            </w:r>
            <w:r w:rsidR="002500D0" w:rsidRPr="002500D0">
              <w:rPr>
                <w:rFonts w:asciiTheme="minorHAnsi" w:hAnsiTheme="minorHAnsi"/>
                <w:sz w:val="20"/>
                <w:lang w:val="en-US"/>
              </w:rPr>
              <w:t xml:space="preserve">) where the credited </w:t>
            </w:r>
            <w:r w:rsidR="00351795">
              <w:rPr>
                <w:rFonts w:asciiTheme="minorHAnsi" w:hAnsiTheme="minorHAnsi"/>
                <w:sz w:val="20"/>
                <w:lang w:val="en-US"/>
              </w:rPr>
              <w:t>value</w:t>
            </w:r>
            <w:r w:rsidR="002500D0" w:rsidRPr="002500D0">
              <w:rPr>
                <w:rFonts w:asciiTheme="minorHAnsi" w:hAnsiTheme="minorHAnsi"/>
                <w:sz w:val="20"/>
                <w:lang w:val="en-US"/>
              </w:rPr>
              <w:t xml:space="preserve"> constitute</w:t>
            </w:r>
            <w:r w:rsidR="00351795">
              <w:rPr>
                <w:rFonts w:asciiTheme="minorHAnsi" w:hAnsiTheme="minorHAnsi"/>
                <w:sz w:val="20"/>
                <w:lang w:val="en-US"/>
              </w:rPr>
              <w:t>s</w:t>
            </w:r>
            <w:r w:rsidR="002500D0" w:rsidRPr="002500D0">
              <w:rPr>
                <w:rFonts w:asciiTheme="minorHAnsi" w:hAnsiTheme="minorHAnsi"/>
                <w:sz w:val="20"/>
                <w:lang w:val="en-US"/>
              </w:rPr>
              <w:t xml:space="preserve"> </w:t>
            </w:r>
            <w:r w:rsidR="002500D0" w:rsidRPr="00145E80">
              <w:rPr>
                <w:rFonts w:asciiTheme="minorHAnsi" w:hAnsiTheme="minorHAnsi"/>
                <w:sz w:val="20"/>
                <w:lang w:val="en-US"/>
              </w:rPr>
              <w:t>electronic</w:t>
            </w:r>
            <w:r w:rsidR="002500D0" w:rsidRPr="002500D0">
              <w:rPr>
                <w:rFonts w:asciiTheme="minorHAnsi" w:hAnsiTheme="minorHAnsi"/>
                <w:b/>
                <w:bCs/>
                <w:sz w:val="20"/>
                <w:lang w:val="en-US"/>
              </w:rPr>
              <w:t xml:space="preserve"> </w:t>
            </w:r>
            <w:r w:rsidR="002500D0" w:rsidRPr="00145E80">
              <w:rPr>
                <w:rFonts w:asciiTheme="minorHAnsi" w:hAnsiTheme="minorHAnsi"/>
                <w:sz w:val="20"/>
                <w:lang w:val="en-US"/>
              </w:rPr>
              <w:t>money</w:t>
            </w:r>
            <w:r w:rsidR="002500D0" w:rsidRPr="002500D0">
              <w:rPr>
                <w:rFonts w:asciiTheme="minorHAnsi" w:hAnsiTheme="minorHAnsi"/>
                <w:sz w:val="20"/>
                <w:lang w:val="en-US"/>
              </w:rPr>
              <w:t>, i.e. electronically (including magnetically) stored monetary value represent</w:t>
            </w:r>
            <w:r w:rsidR="004C50B7">
              <w:rPr>
                <w:rFonts w:asciiTheme="minorHAnsi" w:hAnsiTheme="minorHAnsi"/>
                <w:sz w:val="20"/>
                <w:lang w:val="en-US"/>
              </w:rPr>
              <w:t>ed by</w:t>
            </w:r>
            <w:r w:rsidR="002500D0" w:rsidRPr="002500D0">
              <w:rPr>
                <w:rFonts w:asciiTheme="minorHAnsi" w:hAnsiTheme="minorHAnsi"/>
                <w:sz w:val="20"/>
                <w:lang w:val="en-US"/>
              </w:rPr>
              <w:t xml:space="preserve"> a claim on the issuer, issued on receipt of funds for the purpose of making payment transactions, and accepted by a natural or legal person other than the issuer</w:t>
            </w:r>
            <w:r w:rsidR="00BF6B8D">
              <w:rPr>
                <w:rFonts w:asciiTheme="minorHAnsi" w:hAnsiTheme="minorHAnsi"/>
                <w:sz w:val="20"/>
                <w:lang w:val="en-US"/>
              </w:rPr>
              <w:t xml:space="preserve">, within the meaning </w:t>
            </w:r>
            <w:r w:rsidR="008878EC">
              <w:rPr>
                <w:rFonts w:asciiTheme="minorHAnsi" w:hAnsiTheme="minorHAnsi"/>
                <w:sz w:val="20"/>
                <w:lang w:val="en-US"/>
              </w:rPr>
              <w:t xml:space="preserve">of </w:t>
            </w:r>
            <w:r w:rsidR="002500D0" w:rsidRPr="00145E80">
              <w:rPr>
                <w:rFonts w:asciiTheme="minorHAnsi" w:hAnsiTheme="minorHAnsi"/>
                <w:sz w:val="20"/>
                <w:lang w:val="en-US"/>
              </w:rPr>
              <w:t>Article 2(2) of Directive 2009/110/EC</w:t>
            </w:r>
            <w:r w:rsidR="0012670D">
              <w:rPr>
                <w:rFonts w:asciiTheme="minorHAnsi" w:hAnsiTheme="minorHAnsi"/>
                <w:sz w:val="20"/>
                <w:lang w:val="en-US"/>
              </w:rPr>
              <w:t>.</w:t>
            </w:r>
            <w:r w:rsidR="00D816FF">
              <w:rPr>
                <w:rFonts w:asciiTheme="minorHAnsi" w:hAnsiTheme="minorHAnsi"/>
                <w:sz w:val="20"/>
                <w:lang w:val="en-US"/>
              </w:rPr>
              <w:t xml:space="preserve"> </w:t>
            </w:r>
            <w:r w:rsidR="000219BE">
              <w:rPr>
                <w:rFonts w:asciiTheme="minorHAnsi" w:hAnsiTheme="minorHAnsi"/>
                <w:sz w:val="20"/>
                <w:lang w:val="en-US"/>
              </w:rPr>
              <w:t xml:space="preserve">For clarity, </w:t>
            </w:r>
            <w:r w:rsidR="00B43843">
              <w:rPr>
                <w:rFonts w:asciiTheme="minorHAnsi" w:hAnsiTheme="minorHAnsi"/>
                <w:sz w:val="20"/>
                <w:lang w:val="en-US"/>
              </w:rPr>
              <w:t>this</w:t>
            </w:r>
            <w:r w:rsidR="00D816FF" w:rsidRPr="00D816FF">
              <w:rPr>
                <w:rFonts w:asciiTheme="minorHAnsi" w:hAnsiTheme="minorHAnsi"/>
                <w:sz w:val="20"/>
                <w:lang w:val="en-US"/>
              </w:rPr>
              <w:t xml:space="preserve"> exclusion applies </w:t>
            </w:r>
            <w:r w:rsidR="00B43843">
              <w:rPr>
                <w:rFonts w:asciiTheme="minorHAnsi" w:hAnsiTheme="minorHAnsi"/>
                <w:sz w:val="20"/>
                <w:lang w:val="en-US"/>
              </w:rPr>
              <w:t xml:space="preserve">also </w:t>
            </w:r>
            <w:r w:rsidR="008A66B3">
              <w:rPr>
                <w:rFonts w:asciiTheme="minorHAnsi" w:hAnsiTheme="minorHAnsi"/>
                <w:sz w:val="20"/>
                <w:lang w:val="en-US"/>
              </w:rPr>
              <w:t xml:space="preserve">in those </w:t>
            </w:r>
            <w:r w:rsidR="006A6ADE">
              <w:rPr>
                <w:rFonts w:asciiTheme="minorHAnsi" w:hAnsiTheme="minorHAnsi"/>
                <w:sz w:val="20"/>
                <w:lang w:val="en-US"/>
              </w:rPr>
              <w:t>circumstances</w:t>
            </w:r>
            <w:r w:rsidR="008A66B3">
              <w:rPr>
                <w:rFonts w:asciiTheme="minorHAnsi" w:hAnsiTheme="minorHAnsi"/>
                <w:sz w:val="20"/>
                <w:lang w:val="en-US"/>
              </w:rPr>
              <w:t xml:space="preserve"> </w:t>
            </w:r>
            <w:r w:rsidR="00A926BA">
              <w:rPr>
                <w:rFonts w:asciiTheme="minorHAnsi" w:hAnsiTheme="minorHAnsi"/>
                <w:sz w:val="20"/>
                <w:lang w:val="en-US"/>
              </w:rPr>
              <w:t>where</w:t>
            </w:r>
            <w:r w:rsidR="00D816FF" w:rsidRPr="00D816FF">
              <w:rPr>
                <w:rFonts w:asciiTheme="minorHAnsi" w:hAnsiTheme="minorHAnsi"/>
                <w:sz w:val="20"/>
                <w:lang w:val="en-US"/>
              </w:rPr>
              <w:t xml:space="preserve"> the receiving account/wallet qualifies as a “payment account” under Article 4(12) PSD2.</w:t>
            </w:r>
          </w:p>
        </w:tc>
      </w:tr>
      <w:tr w:rsidR="00097929" w:rsidRPr="009B282E" w14:paraId="5962D38C" w14:textId="77777777">
        <w:tc>
          <w:tcPr>
            <w:tcW w:w="1673" w:type="dxa"/>
            <w:tcBorders>
              <w:top w:val="single" w:sz="4" w:space="0" w:color="auto"/>
              <w:left w:val="single" w:sz="4" w:space="0" w:color="auto"/>
              <w:bottom w:val="single" w:sz="4" w:space="0" w:color="auto"/>
              <w:right w:val="single" w:sz="4" w:space="0" w:color="auto"/>
            </w:tcBorders>
          </w:tcPr>
          <w:p w14:paraId="1D6E5CD2" w14:textId="02516382" w:rsidR="00097929" w:rsidRPr="009275BC" w:rsidRDefault="0050730C"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C0030</w:t>
            </w:r>
          </w:p>
        </w:tc>
        <w:tc>
          <w:tcPr>
            <w:tcW w:w="7616" w:type="dxa"/>
            <w:tcBorders>
              <w:top w:val="single" w:sz="4" w:space="0" w:color="auto"/>
              <w:left w:val="single" w:sz="4" w:space="0" w:color="auto"/>
              <w:bottom w:val="single" w:sz="4" w:space="0" w:color="auto"/>
              <w:right w:val="single" w:sz="4" w:space="0" w:color="auto"/>
            </w:tcBorders>
          </w:tcPr>
          <w:p w14:paraId="12C70CA2" w14:textId="0FF321E3" w:rsidR="00491899" w:rsidRPr="005F762C" w:rsidRDefault="00491899" w:rsidP="00803556">
            <w:pPr>
              <w:pStyle w:val="InstructionsText2"/>
              <w:rPr>
                <w:rStyle w:val="InstructionsTabelleberschrift"/>
                <w:rFonts w:asciiTheme="minorHAnsi" w:eastAsia="Cambria" w:hAnsiTheme="minorHAnsi"/>
                <w:b w:val="0"/>
                <w:color w:val="262626" w:themeColor="text1" w:themeTint="D9"/>
                <w:kern w:val="20"/>
                <w:lang w:val="en-US" w:eastAsia="ja-JP"/>
              </w:rPr>
            </w:pPr>
            <w:r w:rsidRPr="00E50CE8">
              <w:rPr>
                <w:rStyle w:val="InstructionsTabelleberschrift"/>
                <w:rFonts w:ascii="Aptos" w:hAnsi="Aptos"/>
                <w:bCs w:val="0"/>
              </w:rPr>
              <w:t>Incoming Transactions -</w:t>
            </w:r>
            <w:r w:rsidR="00512A81" w:rsidRPr="005F762C">
              <w:rPr>
                <w:rStyle w:val="InstructionsTabelleberschrift"/>
                <w:rFonts w:asciiTheme="minorHAnsi" w:hAnsiTheme="minorHAnsi"/>
                <w:bCs w:val="0"/>
              </w:rPr>
              <w:t xml:space="preserve"> Number</w:t>
            </w:r>
          </w:p>
          <w:p w14:paraId="48968AB9" w14:textId="3B23A12D" w:rsidR="00D97217" w:rsidRDefault="008300E4" w:rsidP="00F32516">
            <w:pPr>
              <w:pStyle w:val="InstructionsText"/>
              <w:rPr>
                <w:rStyle w:val="InstructionsTabelleberschrift"/>
                <w:rFonts w:asciiTheme="minorHAnsi" w:hAnsiTheme="minorHAnsi"/>
                <w:b w:val="0"/>
                <w:bCs/>
                <w:u w:val="none"/>
              </w:rPr>
            </w:pPr>
            <w:r w:rsidRPr="0064785A">
              <w:rPr>
                <w:rStyle w:val="InstructionsTabelleberschrift"/>
                <w:rFonts w:asciiTheme="minorHAnsi" w:hAnsiTheme="minorHAnsi"/>
                <w:b w:val="0"/>
                <w:u w:val="none"/>
              </w:rPr>
              <w:t xml:space="preserve">Number of transactions related to the </w:t>
            </w:r>
            <w:r w:rsidR="00B70712" w:rsidRPr="0064785A">
              <w:rPr>
                <w:rStyle w:val="InstructionsTabelleberschrift"/>
                <w:rFonts w:asciiTheme="minorHAnsi" w:hAnsiTheme="minorHAnsi"/>
                <w:b w:val="0"/>
                <w:u w:val="none"/>
              </w:rPr>
              <w:t xml:space="preserve">value mentioned </w:t>
            </w:r>
            <w:r w:rsidR="00542BB1" w:rsidRPr="00AA3952">
              <w:rPr>
                <w:rStyle w:val="InstructionsTabelleberschrift"/>
                <w:rFonts w:asciiTheme="minorHAnsi" w:hAnsiTheme="minorHAnsi"/>
                <w:b w:val="0"/>
                <w:u w:val="none"/>
              </w:rPr>
              <w:t xml:space="preserve">in </w:t>
            </w:r>
            <w:r w:rsidR="00542BB1" w:rsidRPr="007409E6">
              <w:rPr>
                <w:rStyle w:val="InstructionsTabelleberschrift"/>
                <w:rFonts w:asciiTheme="minorHAnsi" w:hAnsiTheme="minorHAnsi"/>
                <w:b w:val="0"/>
                <w:u w:val="none"/>
              </w:rPr>
              <w:t>C0020</w:t>
            </w:r>
            <w:r w:rsidR="00A4456C">
              <w:rPr>
                <w:rStyle w:val="InstructionsTabelleberschrift"/>
                <w:rFonts w:asciiTheme="minorHAnsi" w:hAnsiTheme="minorHAnsi"/>
                <w:b w:val="0"/>
                <w:u w:val="none"/>
              </w:rPr>
              <w:t xml:space="preserve"> </w:t>
            </w:r>
            <w:r w:rsidR="00A83AA3">
              <w:rPr>
                <w:rStyle w:val="InstructionsTabelleberschrift"/>
                <w:rFonts w:asciiTheme="minorHAnsi" w:hAnsiTheme="minorHAnsi"/>
                <w:b w:val="0"/>
                <w:u w:val="none"/>
              </w:rPr>
              <w:t>above</w:t>
            </w:r>
            <w:r w:rsidR="3821DC1E" w:rsidRPr="3ECB9388">
              <w:rPr>
                <w:rStyle w:val="InstructionsTabelleberschrift"/>
                <w:rFonts w:asciiTheme="minorHAnsi" w:hAnsiTheme="minorHAnsi"/>
                <w:b w:val="0"/>
                <w:u w:val="none"/>
              </w:rPr>
              <w:t xml:space="preserve">. </w:t>
            </w:r>
            <w:r w:rsidR="3821DC1E" w:rsidRPr="7A53DB15">
              <w:rPr>
                <w:rStyle w:val="InstructionsTabelleberschrift"/>
                <w:rFonts w:asciiTheme="minorHAnsi" w:hAnsiTheme="minorHAnsi"/>
                <w:b w:val="0"/>
                <w:u w:val="none"/>
              </w:rPr>
              <w:t xml:space="preserve">For the sake </w:t>
            </w:r>
            <w:r w:rsidR="3821DC1E" w:rsidRPr="0B11460E">
              <w:rPr>
                <w:rStyle w:val="InstructionsTabelleberschrift"/>
                <w:rFonts w:asciiTheme="minorHAnsi" w:hAnsiTheme="minorHAnsi"/>
                <w:b w:val="0"/>
                <w:u w:val="none"/>
              </w:rPr>
              <w:t>of consistency, the</w:t>
            </w:r>
            <w:r w:rsidR="3821DC1E" w:rsidRPr="3ECB9388">
              <w:rPr>
                <w:rStyle w:val="InstructionsTabelleberschrift"/>
                <w:rFonts w:asciiTheme="minorHAnsi" w:hAnsiTheme="minorHAnsi"/>
                <w:b w:val="0"/>
                <w:u w:val="none"/>
              </w:rPr>
              <w:t xml:space="preserve"> exclusion</w:t>
            </w:r>
            <w:r w:rsidR="00210089">
              <w:rPr>
                <w:rStyle w:val="InstructionsTabelleberschrift"/>
                <w:rFonts w:asciiTheme="minorHAnsi" w:hAnsiTheme="minorHAnsi"/>
                <w:b w:val="0"/>
                <w:u w:val="none"/>
              </w:rPr>
              <w:t>s</w:t>
            </w:r>
            <w:r w:rsidR="3821DC1E" w:rsidRPr="3ECB9388">
              <w:rPr>
                <w:rStyle w:val="InstructionsTabelleberschrift"/>
                <w:rFonts w:asciiTheme="minorHAnsi" w:hAnsiTheme="minorHAnsi"/>
                <w:b w:val="0"/>
                <w:u w:val="none"/>
              </w:rPr>
              <w:t xml:space="preserve"> mentioned for data point </w:t>
            </w:r>
            <w:r w:rsidR="3821DC1E" w:rsidRPr="7A53DB15">
              <w:rPr>
                <w:rStyle w:val="InstructionsTabelleberschrift"/>
                <w:rFonts w:asciiTheme="minorHAnsi" w:hAnsiTheme="minorHAnsi"/>
                <w:b w:val="0"/>
                <w:u w:val="none"/>
              </w:rPr>
              <w:t>C0020 should also apply to this data point.</w:t>
            </w:r>
          </w:p>
          <w:p w14:paraId="471DB2D8" w14:textId="29AA97B0" w:rsidR="002C6AE4" w:rsidRPr="0064785A" w:rsidRDefault="002C6AE4" w:rsidP="00F32516">
            <w:pPr>
              <w:pStyle w:val="InstructionsText"/>
              <w:rPr>
                <w:rStyle w:val="InstructionsTabelleberschrift"/>
                <w:rFonts w:asciiTheme="minorHAnsi" w:hAnsiTheme="minorHAnsi"/>
                <w:b w:val="0"/>
                <w:bCs/>
                <w:u w:val="none"/>
              </w:rPr>
            </w:pPr>
          </w:p>
        </w:tc>
      </w:tr>
      <w:tr w:rsidR="00097929" w:rsidRPr="009B282E" w14:paraId="22B71E81" w14:textId="77777777">
        <w:tc>
          <w:tcPr>
            <w:tcW w:w="1673" w:type="dxa"/>
            <w:tcBorders>
              <w:top w:val="single" w:sz="4" w:space="0" w:color="auto"/>
              <w:left w:val="single" w:sz="4" w:space="0" w:color="auto"/>
              <w:bottom w:val="single" w:sz="4" w:space="0" w:color="auto"/>
              <w:right w:val="single" w:sz="4" w:space="0" w:color="auto"/>
            </w:tcBorders>
          </w:tcPr>
          <w:p w14:paraId="3F5A7BD9" w14:textId="5FF0D1DF" w:rsidR="00097929" w:rsidRPr="009275BC" w:rsidRDefault="0050730C"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C0040</w:t>
            </w:r>
          </w:p>
        </w:tc>
        <w:tc>
          <w:tcPr>
            <w:tcW w:w="7616" w:type="dxa"/>
            <w:tcBorders>
              <w:top w:val="single" w:sz="4" w:space="0" w:color="auto"/>
              <w:left w:val="single" w:sz="4" w:space="0" w:color="auto"/>
              <w:bottom w:val="single" w:sz="4" w:space="0" w:color="auto"/>
              <w:right w:val="single" w:sz="4" w:space="0" w:color="auto"/>
            </w:tcBorders>
          </w:tcPr>
          <w:p w14:paraId="1B809DEA" w14:textId="77777777" w:rsidR="00491899" w:rsidRDefault="00491899" w:rsidP="00926D27">
            <w:pPr>
              <w:pStyle w:val="InstructionsText2"/>
              <w:rPr>
                <w:rFonts w:asciiTheme="minorHAnsi" w:hAnsiTheme="minorHAnsi"/>
                <w:sz w:val="20"/>
                <w:lang w:val="en-US"/>
              </w:rPr>
            </w:pPr>
            <w:r w:rsidRPr="000F2D12">
              <w:rPr>
                <w:rFonts w:ascii="Aptos" w:hAnsi="Aptos"/>
                <w:b/>
                <w:sz w:val="20"/>
                <w:u w:val="single"/>
                <w:lang w:val="en-US"/>
              </w:rPr>
              <w:t>Outgoing Transactions - Value</w:t>
            </w:r>
          </w:p>
          <w:p w14:paraId="06264F47" w14:textId="5F98FBC5" w:rsidR="00926D27" w:rsidRPr="00AA3952" w:rsidRDefault="007A55EB" w:rsidP="00926D27">
            <w:pPr>
              <w:pStyle w:val="InstructionsText2"/>
              <w:rPr>
                <w:rFonts w:asciiTheme="minorHAnsi" w:hAnsiTheme="minorHAnsi"/>
                <w:sz w:val="20"/>
                <w:lang w:val="en-US"/>
              </w:rPr>
            </w:pPr>
            <w:r w:rsidRPr="0064785A">
              <w:rPr>
                <w:rFonts w:asciiTheme="minorHAnsi" w:hAnsiTheme="minorHAnsi"/>
                <w:sz w:val="20"/>
                <w:lang w:val="en-US"/>
              </w:rPr>
              <w:t>The total value of all outgoing payment transact</w:t>
            </w:r>
            <w:r w:rsidRPr="00AA3952">
              <w:rPr>
                <w:rFonts w:asciiTheme="minorHAnsi" w:hAnsiTheme="minorHAnsi"/>
                <w:sz w:val="20"/>
                <w:lang w:val="en-US"/>
              </w:rPr>
              <w:t>ions</w:t>
            </w:r>
            <w:r w:rsidR="00D97217" w:rsidRPr="00AA3952">
              <w:rPr>
                <w:rFonts w:asciiTheme="minorHAnsi" w:hAnsiTheme="minorHAnsi"/>
                <w:sz w:val="20"/>
                <w:lang w:val="en-US"/>
              </w:rPr>
              <w:t xml:space="preserve"> </w:t>
            </w:r>
            <w:r w:rsidR="00D97217" w:rsidRPr="000F2D12">
              <w:rPr>
                <w:rFonts w:asciiTheme="minorHAnsi" w:hAnsiTheme="minorHAnsi"/>
                <w:sz w:val="20"/>
                <w:lang w:val="en-US"/>
              </w:rPr>
              <w:t>in the reference year</w:t>
            </w:r>
            <w:r w:rsidRPr="00AA3952">
              <w:rPr>
                <w:rFonts w:asciiTheme="minorHAnsi" w:hAnsiTheme="minorHAnsi"/>
                <w:sz w:val="20"/>
                <w:lang w:val="en-US"/>
              </w:rPr>
              <w:t xml:space="preserve">, as defined by Article 4(5) of Directive 2015/2366/EU (PSD2), </w:t>
            </w:r>
            <w:r w:rsidR="006A588A">
              <w:rPr>
                <w:rFonts w:asciiTheme="minorHAnsi" w:hAnsiTheme="minorHAnsi"/>
                <w:sz w:val="20"/>
                <w:lang w:val="en-US"/>
              </w:rPr>
              <w:t xml:space="preserve">in funds, </w:t>
            </w:r>
            <w:r w:rsidR="007D4AE8">
              <w:rPr>
                <w:rFonts w:asciiTheme="minorHAnsi" w:hAnsiTheme="minorHAnsi"/>
                <w:sz w:val="20"/>
                <w:lang w:val="en-US"/>
              </w:rPr>
              <w:t>debited from</w:t>
            </w:r>
            <w:r w:rsidRPr="00AA3952">
              <w:rPr>
                <w:rFonts w:asciiTheme="minorHAnsi" w:hAnsiTheme="minorHAnsi"/>
                <w:sz w:val="20"/>
                <w:lang w:val="en-US"/>
              </w:rPr>
              <w:t xml:space="preserve"> payment accounts, as defined by Article 4(12) PSD2, held by customers with the obliged entity. </w:t>
            </w:r>
            <w:r w:rsidRPr="000F2D12">
              <w:rPr>
                <w:rFonts w:asciiTheme="minorHAnsi" w:hAnsiTheme="minorHAnsi"/>
                <w:sz w:val="20"/>
                <w:lang w:val="en-US"/>
              </w:rPr>
              <w:t>The following shall be excluded from this calculation</w:t>
            </w:r>
            <w:r w:rsidRPr="00AA3952">
              <w:rPr>
                <w:rFonts w:asciiTheme="minorHAnsi" w:hAnsiTheme="minorHAnsi"/>
                <w:sz w:val="20"/>
                <w:lang w:val="en-US"/>
              </w:rPr>
              <w:t>:</w:t>
            </w:r>
          </w:p>
          <w:p w14:paraId="0F105B66" w14:textId="2C206A5D" w:rsidR="00926D27" w:rsidRPr="005227A0" w:rsidRDefault="007A55EB" w:rsidP="004854E3">
            <w:pPr>
              <w:pStyle w:val="InstructionsText2"/>
              <w:numPr>
                <w:ilvl w:val="0"/>
                <w:numId w:val="81"/>
              </w:numPr>
              <w:rPr>
                <w:rFonts w:asciiTheme="minorHAnsi" w:hAnsiTheme="minorHAnsi"/>
                <w:sz w:val="20"/>
              </w:rPr>
            </w:pPr>
            <w:r w:rsidRPr="000F2D12">
              <w:rPr>
                <w:rFonts w:asciiTheme="minorHAnsi" w:hAnsiTheme="minorHAnsi"/>
                <w:sz w:val="20"/>
                <w:lang w:val="en-US"/>
              </w:rPr>
              <w:t>Internal transfers</w:t>
            </w:r>
            <w:r w:rsidRPr="00AA3952">
              <w:rPr>
                <w:rFonts w:asciiTheme="minorHAnsi" w:hAnsiTheme="minorHAnsi"/>
                <w:sz w:val="20"/>
                <w:lang w:val="en-US"/>
              </w:rPr>
              <w:t xml:space="preserve"> – The </w:t>
            </w:r>
            <w:r w:rsidR="007D4AE8">
              <w:rPr>
                <w:rFonts w:asciiTheme="minorHAnsi" w:hAnsiTheme="minorHAnsi"/>
                <w:sz w:val="20"/>
                <w:lang w:val="en-US"/>
              </w:rPr>
              <w:t xml:space="preserve">debiting </w:t>
            </w:r>
            <w:r w:rsidRPr="00AA3952">
              <w:rPr>
                <w:rFonts w:asciiTheme="minorHAnsi" w:hAnsiTheme="minorHAnsi"/>
                <w:sz w:val="20"/>
                <w:lang w:val="en-US"/>
              </w:rPr>
              <w:t xml:space="preserve">of funds </w:t>
            </w:r>
            <w:r w:rsidR="007D4AE8">
              <w:rPr>
                <w:rFonts w:asciiTheme="minorHAnsi" w:hAnsiTheme="minorHAnsi"/>
                <w:sz w:val="20"/>
                <w:lang w:val="en-US"/>
              </w:rPr>
              <w:t>from</w:t>
            </w:r>
            <w:r w:rsidR="007D4AE8" w:rsidRPr="00AA3952">
              <w:rPr>
                <w:rFonts w:asciiTheme="minorHAnsi" w:hAnsiTheme="minorHAnsi"/>
                <w:sz w:val="20"/>
                <w:lang w:val="en-US"/>
              </w:rPr>
              <w:t xml:space="preserve"> </w:t>
            </w:r>
            <w:r w:rsidRPr="00AA3952">
              <w:rPr>
                <w:rFonts w:asciiTheme="minorHAnsi" w:hAnsiTheme="minorHAnsi"/>
                <w:sz w:val="20"/>
                <w:lang w:val="en-US"/>
              </w:rPr>
              <w:t>a</w:t>
            </w:r>
            <w:r w:rsidR="00C565EA">
              <w:rPr>
                <w:rFonts w:asciiTheme="minorHAnsi" w:hAnsiTheme="minorHAnsi"/>
                <w:sz w:val="20"/>
                <w:lang w:val="en-US"/>
              </w:rPr>
              <w:t xml:space="preserve"> payment</w:t>
            </w:r>
            <w:r w:rsidRPr="00AA3952">
              <w:rPr>
                <w:rFonts w:asciiTheme="minorHAnsi" w:hAnsiTheme="minorHAnsi"/>
                <w:sz w:val="20"/>
                <w:lang w:val="en-US"/>
              </w:rPr>
              <w:t xml:space="preserve"> account </w:t>
            </w:r>
            <w:r w:rsidR="00AE3FF5">
              <w:rPr>
                <w:rFonts w:asciiTheme="minorHAnsi" w:hAnsiTheme="minorHAnsi"/>
                <w:sz w:val="20"/>
                <w:lang w:val="en-US"/>
              </w:rPr>
              <w:t>to</w:t>
            </w:r>
            <w:r w:rsidRPr="00AA3952">
              <w:rPr>
                <w:rFonts w:asciiTheme="minorHAnsi" w:hAnsiTheme="minorHAnsi"/>
                <w:sz w:val="20"/>
                <w:lang w:val="en-US"/>
              </w:rPr>
              <w:t xml:space="preserve"> another </w:t>
            </w:r>
            <w:r w:rsidR="00C565EA">
              <w:rPr>
                <w:rFonts w:asciiTheme="minorHAnsi" w:hAnsiTheme="minorHAnsi"/>
                <w:sz w:val="20"/>
                <w:lang w:val="en-US"/>
              </w:rPr>
              <w:t xml:space="preserve">payment </w:t>
            </w:r>
            <w:r w:rsidRPr="00AA3952">
              <w:rPr>
                <w:rFonts w:asciiTheme="minorHAnsi" w:hAnsiTheme="minorHAnsi"/>
                <w:sz w:val="20"/>
                <w:lang w:val="en-US"/>
              </w:rPr>
              <w:t>account held by the same payment service user within the same obliged entity.</w:t>
            </w:r>
          </w:p>
          <w:p w14:paraId="07D6C4A6" w14:textId="4C99BF07" w:rsidR="00A6491E" w:rsidRPr="00AA3952" w:rsidRDefault="00A6491E" w:rsidP="0072311B">
            <w:pPr>
              <w:pStyle w:val="InstructionsText2"/>
              <w:ind w:left="360"/>
              <w:rPr>
                <w:rFonts w:asciiTheme="minorHAnsi" w:hAnsiTheme="minorHAnsi"/>
                <w:sz w:val="20"/>
              </w:rPr>
            </w:pPr>
            <w:r w:rsidRPr="00A6491E">
              <w:rPr>
                <w:rFonts w:asciiTheme="minorHAnsi" w:hAnsiTheme="minorHAnsi"/>
                <w:sz w:val="20"/>
              </w:rPr>
              <w:t xml:space="preserve">For joint accounts, ‘same payment service user’ </w:t>
            </w:r>
            <w:r w:rsidR="007A6B52">
              <w:rPr>
                <w:rFonts w:asciiTheme="minorHAnsi" w:hAnsiTheme="minorHAnsi"/>
                <w:sz w:val="20"/>
              </w:rPr>
              <w:t>shall be understood as</w:t>
            </w:r>
            <w:r w:rsidR="00C565EA">
              <w:rPr>
                <w:rFonts w:asciiTheme="minorHAnsi" w:hAnsiTheme="minorHAnsi"/>
                <w:sz w:val="20"/>
              </w:rPr>
              <w:t xml:space="preserve"> </w:t>
            </w:r>
            <w:r w:rsidRPr="00A6491E">
              <w:rPr>
                <w:rFonts w:asciiTheme="minorHAnsi" w:hAnsiTheme="minorHAnsi"/>
                <w:sz w:val="20"/>
              </w:rPr>
              <w:t>the same set of account holders</w:t>
            </w:r>
            <w:r>
              <w:rPr>
                <w:rFonts w:asciiTheme="minorHAnsi" w:hAnsiTheme="minorHAnsi"/>
                <w:sz w:val="20"/>
              </w:rPr>
              <w:t>.</w:t>
            </w:r>
          </w:p>
          <w:p w14:paraId="44CE0DCF" w14:textId="77777777" w:rsidR="008E65D3" w:rsidRPr="00AA3952" w:rsidRDefault="007A55EB" w:rsidP="004854E3">
            <w:pPr>
              <w:pStyle w:val="InstructionsText2"/>
              <w:numPr>
                <w:ilvl w:val="0"/>
                <w:numId w:val="81"/>
              </w:numPr>
              <w:rPr>
                <w:rFonts w:asciiTheme="minorHAnsi" w:hAnsiTheme="minorHAnsi"/>
                <w:sz w:val="20"/>
              </w:rPr>
            </w:pPr>
            <w:r w:rsidRPr="000F2D12">
              <w:rPr>
                <w:rFonts w:asciiTheme="minorHAnsi" w:hAnsiTheme="minorHAnsi"/>
                <w:sz w:val="20"/>
                <w:lang w:val="en-US"/>
              </w:rPr>
              <w:t xml:space="preserve">Reversals </w:t>
            </w:r>
            <w:r w:rsidRPr="00AA3952">
              <w:rPr>
                <w:rFonts w:asciiTheme="minorHAnsi" w:hAnsiTheme="minorHAnsi"/>
                <w:sz w:val="20"/>
                <w:lang w:val="en-US"/>
              </w:rPr>
              <w:t>– Transactions that are subsequently reversed, refunded, or otherwise nullified. In the case of partial reversals, only the unreversed net amount is retained.</w:t>
            </w:r>
          </w:p>
          <w:p w14:paraId="413EF338" w14:textId="7D6C7F9D" w:rsidR="008E65D3" w:rsidRPr="00AA3952" w:rsidRDefault="007A55EB" w:rsidP="004854E3">
            <w:pPr>
              <w:pStyle w:val="InstructionsText2"/>
              <w:numPr>
                <w:ilvl w:val="0"/>
                <w:numId w:val="81"/>
              </w:numPr>
              <w:rPr>
                <w:rFonts w:asciiTheme="minorHAnsi" w:hAnsiTheme="minorHAnsi"/>
                <w:sz w:val="20"/>
              </w:rPr>
            </w:pPr>
            <w:r w:rsidRPr="000F2D12">
              <w:rPr>
                <w:rFonts w:asciiTheme="minorHAnsi" w:hAnsiTheme="minorHAnsi"/>
                <w:sz w:val="20"/>
                <w:lang w:val="en-US"/>
              </w:rPr>
              <w:t>Intra-group operational transfers</w:t>
            </w:r>
            <w:r w:rsidRPr="00AA3952">
              <w:rPr>
                <w:rFonts w:asciiTheme="minorHAnsi" w:hAnsiTheme="minorHAnsi"/>
                <w:sz w:val="20"/>
                <w:lang w:val="en-US"/>
              </w:rPr>
              <w:t xml:space="preserve"> – Transactions </w:t>
            </w:r>
            <w:r w:rsidR="00DF1588">
              <w:rPr>
                <w:rFonts w:asciiTheme="minorHAnsi" w:hAnsiTheme="minorHAnsi"/>
                <w:sz w:val="20"/>
                <w:lang w:val="en-US"/>
              </w:rPr>
              <w:t>debited</w:t>
            </w:r>
            <w:r w:rsidRPr="00AA3952">
              <w:rPr>
                <w:rFonts w:asciiTheme="minorHAnsi" w:hAnsiTheme="minorHAnsi"/>
                <w:sz w:val="20"/>
                <w:lang w:val="en-US"/>
              </w:rPr>
              <w:t xml:space="preserve"> from an account held by an entity that is part of the obliged entity’s consolidation group</w:t>
            </w:r>
            <w:r w:rsidR="007563F7">
              <w:t xml:space="preserve"> </w:t>
            </w:r>
            <w:r w:rsidR="007563F7" w:rsidRPr="007563F7">
              <w:rPr>
                <w:rFonts w:asciiTheme="minorHAnsi" w:hAnsiTheme="minorHAnsi"/>
                <w:sz w:val="20"/>
                <w:lang w:val="en-US"/>
              </w:rPr>
              <w:t>at global level, as determined in accordance with the applicable accounting framework</w:t>
            </w:r>
            <w:r w:rsidR="007F44C6">
              <w:rPr>
                <w:rFonts w:asciiTheme="minorHAnsi" w:hAnsiTheme="minorHAnsi"/>
                <w:sz w:val="20"/>
                <w:lang w:val="en-US"/>
              </w:rPr>
              <w:t>, provided that the</w:t>
            </w:r>
            <w:r w:rsidRPr="00AA3952">
              <w:rPr>
                <w:rFonts w:asciiTheme="minorHAnsi" w:hAnsiTheme="minorHAnsi"/>
                <w:sz w:val="20"/>
                <w:lang w:val="en-US"/>
              </w:rPr>
              <w:t xml:space="preserve"> transaction</w:t>
            </w:r>
            <w:r w:rsidR="007F44C6">
              <w:rPr>
                <w:rFonts w:asciiTheme="minorHAnsi" w:hAnsiTheme="minorHAnsi"/>
                <w:sz w:val="20"/>
                <w:lang w:val="en-US"/>
              </w:rPr>
              <w:t xml:space="preserve"> is</w:t>
            </w:r>
            <w:r w:rsidRPr="00AA3952">
              <w:rPr>
                <w:rFonts w:asciiTheme="minorHAnsi" w:hAnsiTheme="minorHAnsi"/>
                <w:sz w:val="20"/>
                <w:lang w:val="en-US"/>
              </w:rPr>
              <w:t xml:space="preserve"> executed solely for internal operational purposes – such as treasury management, intra-group financing, or internal capital support</w:t>
            </w:r>
            <w:r w:rsidR="00D23FFF">
              <w:rPr>
                <w:rFonts w:asciiTheme="minorHAnsi" w:hAnsiTheme="minorHAnsi"/>
                <w:sz w:val="20"/>
                <w:lang w:val="en-US"/>
              </w:rPr>
              <w:t xml:space="preserve">. </w:t>
            </w:r>
            <w:r w:rsidR="00EA11F5">
              <w:rPr>
                <w:rFonts w:asciiTheme="minorHAnsi" w:hAnsiTheme="minorHAnsi"/>
                <w:sz w:val="20"/>
                <w:lang w:val="en-US"/>
              </w:rPr>
              <w:t>This exclusion shall not cover</w:t>
            </w:r>
            <w:r w:rsidRPr="00AA3952">
              <w:rPr>
                <w:rFonts w:asciiTheme="minorHAnsi" w:hAnsiTheme="minorHAnsi"/>
                <w:sz w:val="20"/>
                <w:lang w:val="en-US"/>
              </w:rPr>
              <w:t xml:space="preserve"> customer-to-customer payments between separate group entities. Furthermore, the exclusion shall not apply to transactions from a group entity where the latter merely intermediates funds </w:t>
            </w:r>
            <w:r w:rsidR="006350CB">
              <w:rPr>
                <w:rFonts w:asciiTheme="minorHAnsi" w:hAnsiTheme="minorHAnsi"/>
                <w:sz w:val="20"/>
                <w:lang w:val="en-US"/>
              </w:rPr>
              <w:t>transferred to a payee</w:t>
            </w:r>
            <w:r w:rsidRPr="00AA3952">
              <w:rPr>
                <w:rFonts w:asciiTheme="minorHAnsi" w:hAnsiTheme="minorHAnsi"/>
                <w:sz w:val="20"/>
                <w:lang w:val="en-US"/>
              </w:rPr>
              <w:t xml:space="preserve"> outside the group, provided the ultimate paye</w:t>
            </w:r>
            <w:r w:rsidR="0059087A">
              <w:rPr>
                <w:rFonts w:asciiTheme="minorHAnsi" w:hAnsiTheme="minorHAnsi"/>
                <w:sz w:val="20"/>
                <w:lang w:val="en-US"/>
              </w:rPr>
              <w:t>e</w:t>
            </w:r>
            <w:r w:rsidRPr="00AA3952">
              <w:rPr>
                <w:rFonts w:asciiTheme="minorHAnsi" w:hAnsiTheme="minorHAnsi"/>
                <w:sz w:val="20"/>
                <w:lang w:val="en-US"/>
              </w:rPr>
              <w:t xml:space="preserve"> can be reliably identified from the available payment information.</w:t>
            </w:r>
          </w:p>
          <w:p w14:paraId="074CA734" w14:textId="4DF383AA" w:rsidR="00097929" w:rsidRPr="0064785A" w:rsidRDefault="007A55EB" w:rsidP="00AA3952">
            <w:pPr>
              <w:pStyle w:val="InstructionsText2"/>
              <w:numPr>
                <w:ilvl w:val="0"/>
                <w:numId w:val="81"/>
              </w:numPr>
              <w:rPr>
                <w:rStyle w:val="InstructionsTabelleberschrift"/>
                <w:rFonts w:asciiTheme="minorHAnsi" w:hAnsiTheme="minorHAnsi"/>
                <w:b w:val="0"/>
                <w:bCs w:val="0"/>
                <w:u w:val="none"/>
              </w:rPr>
            </w:pPr>
            <w:r w:rsidRPr="000F2D12">
              <w:rPr>
                <w:rFonts w:asciiTheme="minorHAnsi" w:hAnsiTheme="minorHAnsi"/>
                <w:sz w:val="20"/>
              </w:rPr>
              <w:t>Outgoing e-money payment transactions</w:t>
            </w:r>
            <w:r w:rsidR="00460675">
              <w:rPr>
                <w:rFonts w:asciiTheme="minorHAnsi" w:hAnsiTheme="minorHAnsi"/>
                <w:sz w:val="20"/>
                <w:lang w:val="en-US"/>
              </w:rPr>
              <w:t xml:space="preserve"> </w:t>
            </w:r>
            <w:r w:rsidR="00B53EA6" w:rsidRPr="00B53EA6">
              <w:rPr>
                <w:rFonts w:asciiTheme="minorHAnsi" w:hAnsiTheme="minorHAnsi"/>
                <w:sz w:val="20"/>
                <w:lang w:val="en-US"/>
              </w:rPr>
              <w:t>(</w:t>
            </w:r>
            <w:r w:rsidR="004E5FAB">
              <w:rPr>
                <w:rFonts w:asciiTheme="minorHAnsi" w:hAnsiTheme="minorHAnsi"/>
                <w:sz w:val="20"/>
                <w:lang w:val="en-US"/>
              </w:rPr>
              <w:t xml:space="preserve">to be </w:t>
            </w:r>
            <w:r w:rsidR="00B53EA6" w:rsidRPr="00B53EA6">
              <w:rPr>
                <w:rFonts w:asciiTheme="minorHAnsi" w:hAnsiTheme="minorHAnsi"/>
                <w:sz w:val="20"/>
                <w:lang w:val="en-US"/>
              </w:rPr>
              <w:t>reported under “E-Money Transactions (</w:t>
            </w:r>
            <w:r w:rsidR="00B53EA6">
              <w:rPr>
                <w:rFonts w:asciiTheme="minorHAnsi" w:hAnsiTheme="minorHAnsi"/>
                <w:sz w:val="20"/>
                <w:lang w:val="en-US"/>
              </w:rPr>
              <w:t>Outgo</w:t>
            </w:r>
            <w:r w:rsidR="00B53EA6" w:rsidRPr="00B53EA6">
              <w:rPr>
                <w:rFonts w:asciiTheme="minorHAnsi" w:hAnsiTheme="minorHAnsi"/>
                <w:sz w:val="20"/>
                <w:lang w:val="en-US"/>
              </w:rPr>
              <w:t>ing)”)</w:t>
            </w:r>
            <w:r w:rsidR="00B53EA6">
              <w:rPr>
                <w:rFonts w:asciiTheme="minorHAnsi" w:hAnsiTheme="minorHAnsi"/>
                <w:sz w:val="20"/>
                <w:lang w:val="en-US"/>
              </w:rPr>
              <w:t xml:space="preserve"> </w:t>
            </w:r>
            <w:r w:rsidR="00460675">
              <w:rPr>
                <w:rFonts w:asciiTheme="minorHAnsi" w:hAnsiTheme="minorHAnsi"/>
                <w:sz w:val="20"/>
                <w:lang w:val="en-US"/>
              </w:rPr>
              <w:t xml:space="preserve">- </w:t>
            </w:r>
            <w:r w:rsidR="00AF07FC">
              <w:rPr>
                <w:rFonts w:asciiTheme="minorHAnsi" w:hAnsiTheme="minorHAnsi"/>
                <w:sz w:val="20"/>
              </w:rPr>
              <w:t>O</w:t>
            </w:r>
            <w:r w:rsidR="00460675" w:rsidRPr="00460675">
              <w:rPr>
                <w:rFonts w:asciiTheme="minorHAnsi" w:hAnsiTheme="minorHAnsi"/>
                <w:sz w:val="20"/>
                <w:lang w:val="en-US"/>
              </w:rPr>
              <w:t xml:space="preserve">utgoing payment transactions (Article 4(5) PSD2) where the debited </w:t>
            </w:r>
            <w:r w:rsidR="00AF07FC">
              <w:rPr>
                <w:rFonts w:asciiTheme="minorHAnsi" w:hAnsiTheme="minorHAnsi"/>
                <w:sz w:val="20"/>
                <w:lang w:val="en-US"/>
              </w:rPr>
              <w:t>value</w:t>
            </w:r>
            <w:r w:rsidR="00460675" w:rsidRPr="00460675">
              <w:rPr>
                <w:rFonts w:asciiTheme="minorHAnsi" w:hAnsiTheme="minorHAnsi"/>
                <w:sz w:val="20"/>
                <w:lang w:val="en-US"/>
              </w:rPr>
              <w:t xml:space="preserve"> constitute</w:t>
            </w:r>
            <w:r w:rsidR="00AF07FC">
              <w:rPr>
                <w:rFonts w:asciiTheme="minorHAnsi" w:hAnsiTheme="minorHAnsi"/>
                <w:sz w:val="20"/>
                <w:lang w:val="en-US"/>
              </w:rPr>
              <w:t>s</w:t>
            </w:r>
            <w:r w:rsidR="00460675" w:rsidRPr="00460675">
              <w:rPr>
                <w:rFonts w:asciiTheme="minorHAnsi" w:hAnsiTheme="minorHAnsi"/>
                <w:sz w:val="20"/>
                <w:lang w:val="en-US"/>
              </w:rPr>
              <w:t xml:space="preserve"> electronic money, i.e. electronically (including magnetically) stored monetary value represent</w:t>
            </w:r>
            <w:r w:rsidR="008D6A71">
              <w:rPr>
                <w:rFonts w:asciiTheme="minorHAnsi" w:hAnsiTheme="minorHAnsi"/>
                <w:sz w:val="20"/>
                <w:lang w:val="en-US"/>
              </w:rPr>
              <w:t>ed by</w:t>
            </w:r>
            <w:r w:rsidR="00460675" w:rsidRPr="00460675">
              <w:rPr>
                <w:rFonts w:asciiTheme="minorHAnsi" w:hAnsiTheme="minorHAnsi"/>
                <w:sz w:val="20"/>
                <w:lang w:val="en-US"/>
              </w:rPr>
              <w:t xml:space="preserve"> a claim on the issuer, issued on receipt of funds for the purpose of making payment transactions, and accepted by a natural or legal person other than the issuer</w:t>
            </w:r>
            <w:r w:rsidR="00AF07FC">
              <w:rPr>
                <w:rFonts w:asciiTheme="minorHAnsi" w:hAnsiTheme="minorHAnsi"/>
                <w:sz w:val="20"/>
                <w:lang w:val="en-US"/>
              </w:rPr>
              <w:t xml:space="preserve">, within the meaning of </w:t>
            </w:r>
            <w:r w:rsidR="00460675" w:rsidRPr="00460675">
              <w:rPr>
                <w:rFonts w:asciiTheme="minorHAnsi" w:hAnsiTheme="minorHAnsi"/>
                <w:sz w:val="20"/>
                <w:lang w:val="en-US"/>
              </w:rPr>
              <w:t>Article 2(2) of Directive 2009/110/EC</w:t>
            </w:r>
            <w:r w:rsidR="00497DD2">
              <w:rPr>
                <w:rFonts w:asciiTheme="minorHAnsi" w:hAnsiTheme="minorHAnsi"/>
                <w:sz w:val="20"/>
                <w:lang w:val="en-US"/>
              </w:rPr>
              <w:t>.</w:t>
            </w:r>
            <w:r w:rsidR="00994642">
              <w:rPr>
                <w:rFonts w:asciiTheme="minorHAnsi" w:hAnsiTheme="minorHAnsi"/>
                <w:sz w:val="20"/>
                <w:lang w:val="en-US"/>
              </w:rPr>
              <w:t xml:space="preserve"> </w:t>
            </w:r>
            <w:r w:rsidR="0019120D">
              <w:rPr>
                <w:rFonts w:asciiTheme="minorHAnsi" w:hAnsiTheme="minorHAnsi"/>
                <w:sz w:val="20"/>
                <w:lang w:val="en-US"/>
              </w:rPr>
              <w:t>For clarity, this exclusion applies also in those</w:t>
            </w:r>
            <w:r w:rsidR="006A6ADE">
              <w:rPr>
                <w:rFonts w:asciiTheme="minorHAnsi" w:hAnsiTheme="minorHAnsi"/>
                <w:sz w:val="20"/>
                <w:lang w:val="en-US"/>
              </w:rPr>
              <w:t xml:space="preserve"> circumstances</w:t>
            </w:r>
            <w:r w:rsidR="0019120D">
              <w:rPr>
                <w:rFonts w:asciiTheme="minorHAnsi" w:hAnsiTheme="minorHAnsi"/>
                <w:sz w:val="20"/>
                <w:lang w:val="en-US"/>
              </w:rPr>
              <w:t xml:space="preserve"> where</w:t>
            </w:r>
            <w:r w:rsidR="0019120D" w:rsidRPr="00D816FF">
              <w:rPr>
                <w:rFonts w:asciiTheme="minorHAnsi" w:hAnsiTheme="minorHAnsi"/>
                <w:sz w:val="20"/>
                <w:lang w:val="en-US"/>
              </w:rPr>
              <w:t xml:space="preserve"> the </w:t>
            </w:r>
            <w:r w:rsidR="00994642" w:rsidRPr="00D816FF">
              <w:rPr>
                <w:rFonts w:asciiTheme="minorHAnsi" w:hAnsiTheme="minorHAnsi"/>
                <w:sz w:val="20"/>
                <w:lang w:val="en-US"/>
              </w:rPr>
              <w:t xml:space="preserve">account/wallet </w:t>
            </w:r>
            <w:r w:rsidR="00837243">
              <w:rPr>
                <w:rFonts w:asciiTheme="minorHAnsi" w:hAnsiTheme="minorHAnsi"/>
                <w:sz w:val="20"/>
                <w:lang w:val="en-US"/>
              </w:rPr>
              <w:t xml:space="preserve">from which </w:t>
            </w:r>
            <w:r w:rsidR="001E523D">
              <w:rPr>
                <w:rFonts w:asciiTheme="minorHAnsi" w:hAnsiTheme="minorHAnsi"/>
                <w:sz w:val="20"/>
                <w:lang w:val="en-US"/>
              </w:rPr>
              <w:t>the funds are debited</w:t>
            </w:r>
            <w:r w:rsidR="00994642" w:rsidRPr="00D816FF">
              <w:rPr>
                <w:rFonts w:asciiTheme="minorHAnsi" w:hAnsiTheme="minorHAnsi"/>
                <w:sz w:val="20"/>
                <w:lang w:val="en-US"/>
              </w:rPr>
              <w:t xml:space="preserve"> qualifies as a “payment account” under Article 4(12) PSD2.</w:t>
            </w:r>
          </w:p>
        </w:tc>
      </w:tr>
      <w:tr w:rsidR="00097929" w:rsidRPr="009B282E" w14:paraId="7D466397" w14:textId="77777777">
        <w:tc>
          <w:tcPr>
            <w:tcW w:w="1673" w:type="dxa"/>
            <w:tcBorders>
              <w:top w:val="single" w:sz="4" w:space="0" w:color="auto"/>
              <w:left w:val="single" w:sz="4" w:space="0" w:color="auto"/>
              <w:bottom w:val="single" w:sz="4" w:space="0" w:color="auto"/>
              <w:right w:val="single" w:sz="4" w:space="0" w:color="auto"/>
            </w:tcBorders>
          </w:tcPr>
          <w:p w14:paraId="6619FF92" w14:textId="2394275C" w:rsidR="00097929" w:rsidRPr="009275BC" w:rsidRDefault="0050730C"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C0050</w:t>
            </w:r>
          </w:p>
        </w:tc>
        <w:tc>
          <w:tcPr>
            <w:tcW w:w="7616" w:type="dxa"/>
            <w:tcBorders>
              <w:top w:val="single" w:sz="4" w:space="0" w:color="auto"/>
              <w:left w:val="single" w:sz="4" w:space="0" w:color="auto"/>
              <w:bottom w:val="single" w:sz="4" w:space="0" w:color="auto"/>
              <w:right w:val="single" w:sz="4" w:space="0" w:color="auto"/>
            </w:tcBorders>
          </w:tcPr>
          <w:p w14:paraId="3F8E4EE8" w14:textId="159C4D98" w:rsidR="00491899" w:rsidRDefault="00491899" w:rsidP="00AE326C">
            <w:pPr>
              <w:pStyle w:val="InstructionsText2"/>
              <w:rPr>
                <w:rFonts w:asciiTheme="minorHAnsi" w:hAnsiTheme="minorHAnsi"/>
                <w:sz w:val="20"/>
                <w:lang w:val="en-US"/>
              </w:rPr>
            </w:pPr>
            <w:r w:rsidRPr="0020691D">
              <w:rPr>
                <w:rFonts w:ascii="Aptos" w:hAnsi="Aptos"/>
                <w:b/>
                <w:sz w:val="20"/>
                <w:u w:val="single"/>
                <w:lang w:val="en-US"/>
              </w:rPr>
              <w:t xml:space="preserve">Outgoing Transactions - </w:t>
            </w:r>
            <w:r w:rsidR="00D8557A">
              <w:rPr>
                <w:rFonts w:ascii="Aptos" w:hAnsi="Aptos"/>
                <w:b/>
                <w:sz w:val="20"/>
                <w:u w:val="single"/>
                <w:lang w:val="en-US"/>
              </w:rPr>
              <w:t>Number</w:t>
            </w:r>
          </w:p>
          <w:p w14:paraId="1327E9F0" w14:textId="35161D6A" w:rsidR="00AE326C" w:rsidRPr="00E23D60" w:rsidRDefault="00AE326C" w:rsidP="00AE326C">
            <w:pPr>
              <w:pStyle w:val="InstructionsText2"/>
              <w:rPr>
                <w:rStyle w:val="InstructionsTabelleberschrift"/>
                <w:rFonts w:asciiTheme="minorHAnsi" w:hAnsiTheme="minorHAnsi"/>
                <w:u w:val="none"/>
              </w:rPr>
            </w:pPr>
            <w:r w:rsidRPr="0B11460E">
              <w:rPr>
                <w:rFonts w:asciiTheme="minorHAnsi" w:hAnsiTheme="minorHAnsi"/>
                <w:sz w:val="20"/>
                <w:szCs w:val="20"/>
                <w:lang w:val="en-US"/>
              </w:rPr>
              <w:t xml:space="preserve">Number of transactions related to the value mentioned </w:t>
            </w:r>
            <w:r w:rsidR="0050730C" w:rsidRPr="0B11460E">
              <w:rPr>
                <w:rFonts w:asciiTheme="minorHAnsi" w:hAnsiTheme="minorHAnsi"/>
                <w:sz w:val="20"/>
                <w:szCs w:val="20"/>
                <w:lang w:val="en-US"/>
              </w:rPr>
              <w:t>in C0</w:t>
            </w:r>
            <w:r w:rsidR="00542BB1" w:rsidRPr="0B11460E">
              <w:rPr>
                <w:rFonts w:asciiTheme="minorHAnsi" w:hAnsiTheme="minorHAnsi"/>
                <w:sz w:val="20"/>
                <w:szCs w:val="20"/>
                <w:lang w:val="en-US"/>
              </w:rPr>
              <w:t>040</w:t>
            </w:r>
            <w:r w:rsidR="00A83AA3">
              <w:rPr>
                <w:rFonts w:asciiTheme="minorHAnsi" w:hAnsiTheme="minorHAnsi"/>
                <w:sz w:val="20"/>
                <w:szCs w:val="20"/>
                <w:lang w:val="en-US"/>
              </w:rPr>
              <w:t xml:space="preserve"> above</w:t>
            </w:r>
            <w:r w:rsidR="4F2F462C" w:rsidRPr="4CC23BA8">
              <w:rPr>
                <w:rFonts w:asciiTheme="minorHAnsi" w:hAnsiTheme="minorHAnsi"/>
                <w:sz w:val="20"/>
                <w:szCs w:val="20"/>
                <w:lang w:val="en-US"/>
              </w:rPr>
              <w:t xml:space="preserve">. </w:t>
            </w:r>
            <w:r w:rsidR="4F2F462C" w:rsidRPr="4CC23BA8">
              <w:rPr>
                <w:rStyle w:val="InstructionsTabelleberschrift"/>
                <w:rFonts w:asciiTheme="minorHAnsi" w:hAnsiTheme="minorHAnsi"/>
                <w:b w:val="0"/>
                <w:bCs w:val="0"/>
                <w:u w:val="none"/>
              </w:rPr>
              <w:t>For the sake of consistency, the exclusion mentioned for data point C0040 should also apply to this data point.</w:t>
            </w:r>
          </w:p>
        </w:tc>
      </w:tr>
    </w:tbl>
    <w:p w14:paraId="5134A3BB" w14:textId="546E3B65" w:rsidR="001A7F12" w:rsidRPr="009B282E" w:rsidRDefault="00490C78" w:rsidP="59B3A793">
      <w:pPr>
        <w:pStyle w:val="Heading3"/>
        <w:rPr>
          <w:lang w:val="en-GB"/>
        </w:rPr>
      </w:pPr>
      <w:bookmarkStart w:id="93" w:name="_Toc223018894"/>
      <w:bookmarkStart w:id="94" w:name="_Toc223021692"/>
      <w:bookmarkStart w:id="95" w:name="_Toc223086540"/>
      <w:bookmarkStart w:id="96" w:name="_Toc223086634"/>
      <w:bookmarkStart w:id="97" w:name="_Toc223086728"/>
      <w:bookmarkStart w:id="98" w:name="_Toc223086822"/>
      <w:bookmarkStart w:id="99" w:name="_Toc223018895"/>
      <w:bookmarkStart w:id="100" w:name="_Toc223021693"/>
      <w:bookmarkStart w:id="101" w:name="_Toc223086541"/>
      <w:bookmarkStart w:id="102" w:name="_Toc223086635"/>
      <w:bookmarkStart w:id="103" w:name="_Toc223086729"/>
      <w:bookmarkStart w:id="104" w:name="_Toc223086823"/>
      <w:bookmarkStart w:id="105" w:name="_Toc221355969"/>
      <w:bookmarkStart w:id="106" w:name="_Toc223104835"/>
      <w:bookmarkEnd w:id="93"/>
      <w:bookmarkEnd w:id="94"/>
      <w:bookmarkEnd w:id="95"/>
      <w:bookmarkEnd w:id="96"/>
      <w:bookmarkEnd w:id="97"/>
      <w:bookmarkEnd w:id="98"/>
      <w:bookmarkEnd w:id="99"/>
      <w:bookmarkEnd w:id="100"/>
      <w:bookmarkEnd w:id="101"/>
      <w:bookmarkEnd w:id="102"/>
      <w:bookmarkEnd w:id="103"/>
      <w:bookmarkEnd w:id="104"/>
      <w:r w:rsidRPr="009B282E">
        <w:rPr>
          <w:lang w:val="en-GB"/>
        </w:rPr>
        <w:t>AML.03.02</w:t>
      </w:r>
      <w:r w:rsidR="007841C5" w:rsidRPr="009B282E">
        <w:rPr>
          <w:lang w:val="en-GB"/>
        </w:rPr>
        <w:t xml:space="preserve"> </w:t>
      </w:r>
      <w:r w:rsidR="19DACF8D" w:rsidRPr="009B282E">
        <w:rPr>
          <w:lang w:val="en-GB"/>
        </w:rPr>
        <w:t>Virtual IBANs</w:t>
      </w:r>
      <w:bookmarkEnd w:id="105"/>
      <w:bookmarkEnd w:id="106"/>
    </w:p>
    <w:p w14:paraId="2D88226A" w14:textId="77777777" w:rsidR="006B6D53" w:rsidRPr="0072311B" w:rsidRDefault="006B6D53" w:rsidP="006B6D53">
      <w:pPr>
        <w:jc w:val="both"/>
        <w:rPr>
          <w:rFonts w:asciiTheme="minorHAnsi" w:hAnsiTheme="minorHAnsi"/>
          <w:b/>
          <w:iCs/>
        </w:rPr>
      </w:pPr>
      <w:bookmarkStart w:id="107" w:name="_Hlk222813736"/>
      <w:r w:rsidRPr="0072311B">
        <w:rPr>
          <w:rFonts w:asciiTheme="minorHAnsi" w:hAnsiTheme="minorHAnsi"/>
          <w:b/>
          <w:iCs/>
        </w:rPr>
        <w:t>Template Remarks</w:t>
      </w:r>
    </w:p>
    <w:bookmarkEnd w:id="107"/>
    <w:p w14:paraId="2C825969" w14:textId="7974A758" w:rsidR="007433A1" w:rsidRDefault="006B6D53" w:rsidP="6F7416F3">
      <w:pPr>
        <w:jc w:val="both"/>
        <w:rPr>
          <w:rFonts w:asciiTheme="minorHAnsi" w:hAnsiTheme="minorHAnsi"/>
        </w:rPr>
      </w:pPr>
      <w:r w:rsidRPr="6F7416F3">
        <w:rPr>
          <w:rFonts w:asciiTheme="minorHAnsi" w:hAnsiTheme="minorHAnsi"/>
        </w:rPr>
        <w:t>Fill out this template if you offer some of these services and/or products</w:t>
      </w:r>
      <w:r w:rsidR="66A37611" w:rsidRPr="6F7416F3">
        <w:rPr>
          <w:rFonts w:asciiTheme="minorHAnsi" w:hAnsiTheme="minorHAnsi"/>
        </w:rPr>
        <w:t>, normally</w:t>
      </w:r>
      <w:r w:rsidRPr="6F7416F3">
        <w:rPr>
          <w:rFonts w:asciiTheme="minorHAnsi" w:hAnsiTheme="minorHAnsi"/>
        </w:rPr>
        <w:t xml:space="preserve"> this template is applicable for CI, EMI and PI.</w:t>
      </w:r>
    </w:p>
    <w:p w14:paraId="6C20AE99" w14:textId="7E348987" w:rsidR="004D23B3" w:rsidRPr="00E23D60" w:rsidRDefault="004D23B3" w:rsidP="00135B9D">
      <w:pPr>
        <w:jc w:val="both"/>
        <w:rPr>
          <w:rFonts w:asciiTheme="minorHAnsi" w:hAnsiTheme="minorHAnsi"/>
          <w:lang w:val="en-GB"/>
        </w:rPr>
      </w:pPr>
      <w:r w:rsidRPr="001D0728">
        <w:rPr>
          <w:rFonts w:asciiTheme="minorHAnsi" w:hAnsiTheme="minorHAnsi"/>
          <w:lang w:val="en-GB"/>
        </w:rPr>
        <w:t xml:space="preserve">The definition of vIBAN is based on the </w:t>
      </w:r>
      <w:r w:rsidR="004F53B4" w:rsidRPr="001D0728">
        <w:rPr>
          <w:rFonts w:asciiTheme="minorHAnsi" w:hAnsiTheme="minorHAnsi"/>
          <w:lang w:val="en-GB"/>
        </w:rPr>
        <w:t>definition used</w:t>
      </w:r>
      <w:r w:rsidRPr="001D0728">
        <w:rPr>
          <w:rFonts w:asciiTheme="minorHAnsi" w:hAnsiTheme="minorHAnsi"/>
          <w:lang w:val="en-GB"/>
        </w:rPr>
        <w:t xml:space="preserve"> in Article 2(26)</w:t>
      </w:r>
      <w:r w:rsidRPr="001D0728">
        <w:rPr>
          <w:rFonts w:asciiTheme="minorHAnsi" w:hAnsiTheme="minorHAnsi"/>
        </w:rPr>
        <w:t xml:space="preserve"> </w:t>
      </w:r>
      <w:r w:rsidR="00632313">
        <w:rPr>
          <w:rFonts w:asciiTheme="minorHAnsi" w:hAnsiTheme="minorHAnsi"/>
        </w:rPr>
        <w:t>AMLR</w:t>
      </w:r>
      <w:r w:rsidRPr="001D0728">
        <w:rPr>
          <w:rFonts w:asciiTheme="minorHAnsi" w:hAnsiTheme="minorHAnsi"/>
          <w:lang w:val="en-GB"/>
        </w:rPr>
        <w:t>: identifier causing payments to be redirected to a payment account identified by an IBAN different from that identifier. This should include both individual and pooled vIBAN accounts.</w:t>
      </w:r>
    </w:p>
    <w:tbl>
      <w:tblPr>
        <w:tblW w:w="92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3"/>
        <w:gridCol w:w="7616"/>
      </w:tblGrid>
      <w:tr w:rsidR="005E211E" w:rsidRPr="009B282E" w14:paraId="07B3FB4B" w14:textId="77777777" w:rsidTr="4542DA74">
        <w:tc>
          <w:tcPr>
            <w:tcW w:w="16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286CED" w14:textId="77777777" w:rsidR="00DF5217" w:rsidRPr="009275BC" w:rsidRDefault="00DF5217" w:rsidP="00F32516">
            <w:pPr>
              <w:pStyle w:val="InstructionsText"/>
              <w:rPr>
                <w:rStyle w:val="InstructionsTabelleText"/>
                <w:rFonts w:asciiTheme="minorHAnsi" w:hAnsiTheme="minorHAnsi"/>
                <w:bCs w:val="0"/>
                <w:lang w:eastAsia="en-US"/>
              </w:rPr>
            </w:pPr>
            <w:bookmarkStart w:id="108" w:name="_Hlk219380837"/>
            <w:r w:rsidRPr="009275BC">
              <w:rPr>
                <w:rStyle w:val="InstructionsTabelleText"/>
                <w:rFonts w:asciiTheme="minorHAnsi" w:hAnsiTheme="minorHAnsi"/>
              </w:rPr>
              <w:t>Column code</w:t>
            </w:r>
          </w:p>
        </w:tc>
        <w:tc>
          <w:tcPr>
            <w:tcW w:w="76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E77658" w14:textId="77777777" w:rsidR="00DF5217" w:rsidRPr="009275BC" w:rsidRDefault="00DF5217" w:rsidP="00F32516">
            <w:pPr>
              <w:pStyle w:val="InstructionsText"/>
              <w:rPr>
                <w:rStyle w:val="InstructionsTabelleText"/>
                <w:rFonts w:asciiTheme="minorHAnsi" w:hAnsiTheme="minorHAnsi"/>
                <w:bCs w:val="0"/>
                <w:lang w:eastAsia="en-US"/>
              </w:rPr>
            </w:pPr>
            <w:r w:rsidRPr="009275BC">
              <w:rPr>
                <w:rStyle w:val="InstructionsTabelleText"/>
                <w:rFonts w:asciiTheme="minorHAnsi" w:hAnsiTheme="minorHAnsi"/>
              </w:rPr>
              <w:t>Legal references and instructions</w:t>
            </w:r>
          </w:p>
        </w:tc>
      </w:tr>
      <w:tr w:rsidR="005E211E" w:rsidRPr="009B282E" w14:paraId="26E8EF5D" w14:textId="77777777" w:rsidTr="4542DA74">
        <w:tc>
          <w:tcPr>
            <w:tcW w:w="1673" w:type="dxa"/>
            <w:tcBorders>
              <w:top w:val="single" w:sz="4" w:space="0" w:color="auto"/>
              <w:left w:val="single" w:sz="4" w:space="0" w:color="auto"/>
              <w:bottom w:val="single" w:sz="4" w:space="0" w:color="auto"/>
              <w:right w:val="single" w:sz="4" w:space="0" w:color="auto"/>
            </w:tcBorders>
          </w:tcPr>
          <w:p w14:paraId="1EBC2040" w14:textId="6D8C1377" w:rsidR="003D67B4" w:rsidRPr="009275BC" w:rsidRDefault="003D67B4"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C0010</w:t>
            </w:r>
          </w:p>
        </w:tc>
        <w:tc>
          <w:tcPr>
            <w:tcW w:w="7616" w:type="dxa"/>
            <w:tcBorders>
              <w:top w:val="single" w:sz="8" w:space="0" w:color="auto"/>
              <w:left w:val="nil"/>
              <w:bottom w:val="single" w:sz="4" w:space="0" w:color="000000" w:themeColor="text1"/>
              <w:right w:val="single" w:sz="4" w:space="0" w:color="000000" w:themeColor="text1"/>
            </w:tcBorders>
            <w:vAlign w:val="center"/>
          </w:tcPr>
          <w:p w14:paraId="72B0741C" w14:textId="77777777" w:rsidR="00491899" w:rsidRPr="00115E01" w:rsidRDefault="00491899" w:rsidP="00E23D60">
            <w:pPr>
              <w:pStyle w:val="InstructionsText2"/>
              <w:rPr>
                <w:rStyle w:val="InstructionsTabelleberschrift"/>
                <w:rFonts w:asciiTheme="minorHAnsi" w:hAnsiTheme="minorHAnsi"/>
                <w:bCs w:val="0"/>
              </w:rPr>
            </w:pPr>
            <w:r w:rsidRPr="0020691D">
              <w:rPr>
                <w:rStyle w:val="InstructionsTabelleberschrift"/>
                <w:rFonts w:ascii="Aptos" w:hAnsi="Aptos"/>
                <w:bCs w:val="0"/>
                <w:u w:val="none"/>
              </w:rPr>
              <w:t>Master Accounts with Linked Virtual IBANs</w:t>
            </w:r>
          </w:p>
          <w:p w14:paraId="322DECFA" w14:textId="676AD91B" w:rsidR="003D67B4" w:rsidRPr="00115E01" w:rsidRDefault="00491899" w:rsidP="00B13E36">
            <w:pPr>
              <w:pStyle w:val="InstructionsText2"/>
              <w:rPr>
                <w:rStyle w:val="InstructionsTabelleberschrift"/>
                <w:rFonts w:asciiTheme="minorHAnsi" w:hAnsiTheme="minorHAnsi"/>
                <w:b w:val="0"/>
                <w:bCs w:val="0"/>
                <w:u w:val="none"/>
              </w:rPr>
            </w:pPr>
            <w:r>
              <w:rPr>
                <w:rStyle w:val="InstructionsTabelleberschrift"/>
                <w:rFonts w:asciiTheme="minorHAnsi" w:hAnsiTheme="minorHAnsi"/>
                <w:b w:val="0"/>
                <w:bCs w:val="0"/>
                <w:u w:val="none"/>
              </w:rPr>
              <w:t>Indicate the total number of master accounts with linked virtual IBANs (vIBANs) as of as of end of the reference year. This includes both individual and pooled vIBAN accounts.</w:t>
            </w:r>
          </w:p>
        </w:tc>
      </w:tr>
      <w:tr w:rsidR="005E211E" w:rsidRPr="009B282E" w14:paraId="7C5B039E" w14:textId="77777777" w:rsidTr="4542DA74">
        <w:tc>
          <w:tcPr>
            <w:tcW w:w="1673" w:type="dxa"/>
            <w:tcBorders>
              <w:top w:val="single" w:sz="4" w:space="0" w:color="auto"/>
              <w:left w:val="single" w:sz="4" w:space="0" w:color="auto"/>
              <w:bottom w:val="single" w:sz="4" w:space="0" w:color="auto"/>
              <w:right w:val="single" w:sz="4" w:space="0" w:color="auto"/>
            </w:tcBorders>
          </w:tcPr>
          <w:p w14:paraId="513393A2" w14:textId="72C20905" w:rsidR="003D67B4" w:rsidRPr="009275BC" w:rsidRDefault="003D67B4"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C0020</w:t>
            </w:r>
          </w:p>
        </w:tc>
        <w:tc>
          <w:tcPr>
            <w:tcW w:w="7616" w:type="dxa"/>
            <w:tcBorders>
              <w:top w:val="nil"/>
              <w:left w:val="nil"/>
              <w:bottom w:val="single" w:sz="4" w:space="0" w:color="000000" w:themeColor="text1"/>
              <w:right w:val="single" w:sz="4" w:space="0" w:color="000000" w:themeColor="text1"/>
            </w:tcBorders>
            <w:vAlign w:val="center"/>
          </w:tcPr>
          <w:p w14:paraId="067CCB45" w14:textId="199583C7" w:rsidR="00491899" w:rsidRDefault="00491899" w:rsidP="003D67B4">
            <w:pPr>
              <w:pStyle w:val="InstructionsText2"/>
              <w:rPr>
                <w:rFonts w:asciiTheme="minorHAnsi" w:hAnsiTheme="minorHAnsi"/>
                <w:sz w:val="20"/>
                <w:szCs w:val="20"/>
                <w:lang w:val="en-IE"/>
              </w:rPr>
            </w:pPr>
            <w:r w:rsidRPr="00BC4116">
              <w:rPr>
                <w:rFonts w:ascii="Aptos" w:hAnsi="Aptos"/>
                <w:b/>
                <w:sz w:val="20"/>
                <w:szCs w:val="20"/>
                <w:u w:val="single"/>
                <w:lang w:val="en-IE"/>
              </w:rPr>
              <w:t xml:space="preserve">Transactions on vIBANs (Incoming) - </w:t>
            </w:r>
            <w:r w:rsidR="00B26C6A">
              <w:rPr>
                <w:rFonts w:ascii="Aptos" w:hAnsi="Aptos"/>
                <w:b/>
                <w:sz w:val="20"/>
                <w:szCs w:val="20"/>
                <w:u w:val="single"/>
                <w:lang w:val="en-IE"/>
              </w:rPr>
              <w:t>Number</w:t>
            </w:r>
          </w:p>
          <w:p w14:paraId="42B38751" w14:textId="020DF414" w:rsidR="0015108E" w:rsidRPr="0015108E" w:rsidRDefault="00491899" w:rsidP="00084002">
            <w:pPr>
              <w:pStyle w:val="InstructionsText2"/>
              <w:rPr>
                <w:rStyle w:val="InstructionsTabelleberschrift"/>
                <w:rFonts w:asciiTheme="minorHAnsi" w:hAnsiTheme="minorHAnsi"/>
                <w:b w:val="0"/>
                <w:bCs w:val="0"/>
                <w:u w:val="none"/>
                <w:lang w:val="en-IE"/>
              </w:rPr>
            </w:pPr>
            <w:r>
              <w:rPr>
                <w:rFonts w:asciiTheme="minorHAnsi" w:hAnsiTheme="minorHAnsi"/>
                <w:sz w:val="20"/>
                <w:szCs w:val="20"/>
                <w:lang w:val="en-IE"/>
              </w:rPr>
              <w:t xml:space="preserve">Indicate Transactions on vIBANs (Incoming) - </w:t>
            </w:r>
            <w:r w:rsidR="00602BD2">
              <w:rPr>
                <w:rFonts w:asciiTheme="minorHAnsi" w:hAnsiTheme="minorHAnsi"/>
                <w:sz w:val="20"/>
                <w:szCs w:val="20"/>
                <w:lang w:val="en-IE"/>
              </w:rPr>
              <w:t>Number</w:t>
            </w:r>
            <w:r>
              <w:rPr>
                <w:rFonts w:asciiTheme="minorHAnsi" w:hAnsiTheme="minorHAnsi"/>
                <w:sz w:val="20"/>
                <w:szCs w:val="20"/>
                <w:lang w:val="en-IE"/>
              </w:rPr>
              <w:t xml:space="preserve"> during the reference year.</w:t>
            </w:r>
          </w:p>
        </w:tc>
      </w:tr>
      <w:tr w:rsidR="005E211E" w:rsidRPr="009B282E" w14:paraId="15FA185C" w14:textId="77777777" w:rsidTr="4542DA74">
        <w:tc>
          <w:tcPr>
            <w:tcW w:w="1673" w:type="dxa"/>
            <w:tcBorders>
              <w:top w:val="single" w:sz="4" w:space="0" w:color="auto"/>
              <w:left w:val="single" w:sz="4" w:space="0" w:color="auto"/>
              <w:bottom w:val="single" w:sz="4" w:space="0" w:color="auto"/>
              <w:right w:val="single" w:sz="4" w:space="0" w:color="auto"/>
            </w:tcBorders>
          </w:tcPr>
          <w:p w14:paraId="4AA6B265" w14:textId="018830E4" w:rsidR="003D67B4" w:rsidRPr="009275BC" w:rsidRDefault="003D67B4"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C0030</w:t>
            </w:r>
          </w:p>
        </w:tc>
        <w:tc>
          <w:tcPr>
            <w:tcW w:w="7616" w:type="dxa"/>
            <w:tcBorders>
              <w:top w:val="nil"/>
              <w:left w:val="nil"/>
              <w:bottom w:val="single" w:sz="4" w:space="0" w:color="000000" w:themeColor="text1"/>
              <w:right w:val="single" w:sz="4" w:space="0" w:color="000000" w:themeColor="text1"/>
            </w:tcBorders>
            <w:vAlign w:val="center"/>
          </w:tcPr>
          <w:p w14:paraId="2F294858" w14:textId="77777777" w:rsidR="00491899" w:rsidRDefault="00491899" w:rsidP="003D67B4">
            <w:pPr>
              <w:pStyle w:val="InstructionsText2"/>
              <w:rPr>
                <w:rFonts w:asciiTheme="minorHAnsi" w:hAnsiTheme="minorHAnsi"/>
                <w:sz w:val="20"/>
                <w:szCs w:val="20"/>
                <w:lang w:val="en-IE"/>
              </w:rPr>
            </w:pPr>
            <w:r w:rsidRPr="0020691D">
              <w:rPr>
                <w:rFonts w:ascii="Aptos" w:hAnsi="Aptos"/>
                <w:b/>
                <w:sz w:val="20"/>
                <w:szCs w:val="20"/>
                <w:u w:val="single"/>
                <w:lang w:val="en-IE"/>
              </w:rPr>
              <w:t>Transactions on vIBANs (Incoming) - Value</w:t>
            </w:r>
          </w:p>
          <w:p w14:paraId="7816990A" w14:textId="2ED7426E" w:rsidR="0015108E" w:rsidRPr="0015108E" w:rsidRDefault="00491899" w:rsidP="00631BE5">
            <w:pPr>
              <w:pStyle w:val="InstructionsText2"/>
              <w:rPr>
                <w:rStyle w:val="InstructionsTabelleberschrift"/>
                <w:rFonts w:asciiTheme="minorHAnsi" w:hAnsiTheme="minorHAnsi"/>
                <w:u w:val="none"/>
              </w:rPr>
            </w:pPr>
            <w:r w:rsidRPr="0020691D">
              <w:rPr>
                <w:rFonts w:asciiTheme="minorHAnsi" w:hAnsiTheme="minorHAnsi"/>
                <w:sz w:val="20"/>
                <w:lang w:val="en-IE"/>
              </w:rPr>
              <w:t>Indicate Transactions on vIBANs (Incoming) - Value during the reference year.</w:t>
            </w:r>
          </w:p>
        </w:tc>
      </w:tr>
      <w:tr w:rsidR="005E211E" w:rsidRPr="009B282E" w14:paraId="50486117" w14:textId="77777777" w:rsidTr="4542DA74">
        <w:tc>
          <w:tcPr>
            <w:tcW w:w="1673" w:type="dxa"/>
            <w:tcBorders>
              <w:top w:val="single" w:sz="4" w:space="0" w:color="auto"/>
              <w:left w:val="single" w:sz="4" w:space="0" w:color="auto"/>
              <w:bottom w:val="single" w:sz="4" w:space="0" w:color="auto"/>
              <w:right w:val="single" w:sz="4" w:space="0" w:color="auto"/>
            </w:tcBorders>
          </w:tcPr>
          <w:p w14:paraId="3685417D" w14:textId="45247689" w:rsidR="003D67B4" w:rsidRPr="009275BC" w:rsidRDefault="003D67B4"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C0040</w:t>
            </w:r>
          </w:p>
        </w:tc>
        <w:tc>
          <w:tcPr>
            <w:tcW w:w="7616" w:type="dxa"/>
            <w:tcBorders>
              <w:top w:val="nil"/>
              <w:left w:val="nil"/>
              <w:bottom w:val="single" w:sz="4" w:space="0" w:color="000000" w:themeColor="text1"/>
              <w:right w:val="single" w:sz="4" w:space="0" w:color="000000" w:themeColor="text1"/>
            </w:tcBorders>
            <w:vAlign w:val="center"/>
          </w:tcPr>
          <w:p w14:paraId="0D9E44CF" w14:textId="1C34AC8B" w:rsidR="00491899" w:rsidRDefault="00491899" w:rsidP="003D67B4">
            <w:pPr>
              <w:pStyle w:val="InstructionsText2"/>
              <w:rPr>
                <w:rFonts w:asciiTheme="minorHAnsi" w:hAnsiTheme="minorHAnsi"/>
                <w:sz w:val="20"/>
                <w:szCs w:val="20"/>
                <w:lang w:val="en-IE"/>
              </w:rPr>
            </w:pPr>
            <w:r w:rsidRPr="00147B24">
              <w:rPr>
                <w:rFonts w:ascii="Aptos" w:hAnsi="Aptos"/>
                <w:b/>
                <w:sz w:val="20"/>
                <w:szCs w:val="20"/>
                <w:u w:val="single"/>
                <w:lang w:val="en-IE"/>
              </w:rPr>
              <w:t xml:space="preserve">Transactions on vIBANs (Outgoing) - </w:t>
            </w:r>
            <w:r w:rsidR="00E25480">
              <w:rPr>
                <w:rFonts w:ascii="Aptos" w:hAnsi="Aptos"/>
                <w:b/>
                <w:sz w:val="20"/>
                <w:szCs w:val="20"/>
                <w:u w:val="single"/>
                <w:lang w:val="en-IE"/>
              </w:rPr>
              <w:t>Number</w:t>
            </w:r>
          </w:p>
          <w:p w14:paraId="312E1780" w14:textId="1101FDA3" w:rsidR="0031224D" w:rsidRPr="0031224D" w:rsidRDefault="00491899" w:rsidP="00631BE5">
            <w:pPr>
              <w:pStyle w:val="InstructionsText2"/>
              <w:rPr>
                <w:rStyle w:val="InstructionsTabelleberschrift"/>
                <w:rFonts w:asciiTheme="minorHAnsi" w:hAnsiTheme="minorHAnsi"/>
                <w:b w:val="0"/>
                <w:bCs w:val="0"/>
                <w:u w:val="none"/>
              </w:rPr>
            </w:pPr>
            <w:r w:rsidRPr="0020691D">
              <w:rPr>
                <w:rFonts w:asciiTheme="minorHAnsi" w:hAnsiTheme="minorHAnsi"/>
                <w:sz w:val="20"/>
                <w:lang w:val="en-IE"/>
              </w:rPr>
              <w:t xml:space="preserve">Indicate Transactions on vIBANs (Outgoing) - </w:t>
            </w:r>
            <w:r w:rsidR="00E25480">
              <w:rPr>
                <w:rFonts w:asciiTheme="minorHAnsi" w:hAnsiTheme="minorHAnsi"/>
                <w:sz w:val="20"/>
                <w:szCs w:val="20"/>
                <w:lang w:val="en-IE"/>
              </w:rPr>
              <w:t>Number</w:t>
            </w:r>
            <w:r w:rsidRPr="008B3AE7">
              <w:rPr>
                <w:rFonts w:asciiTheme="minorHAnsi" w:hAnsiTheme="minorHAnsi"/>
                <w:sz w:val="20"/>
                <w:lang w:val="en-IE"/>
              </w:rPr>
              <w:t xml:space="preserve"> during the reference year.</w:t>
            </w:r>
          </w:p>
        </w:tc>
      </w:tr>
      <w:tr w:rsidR="005E211E" w:rsidRPr="009B282E" w14:paraId="06F6BE38" w14:textId="77777777" w:rsidTr="4542DA74">
        <w:tc>
          <w:tcPr>
            <w:tcW w:w="1673" w:type="dxa"/>
            <w:tcBorders>
              <w:top w:val="single" w:sz="4" w:space="0" w:color="auto"/>
              <w:left w:val="single" w:sz="4" w:space="0" w:color="auto"/>
              <w:bottom w:val="single" w:sz="4" w:space="0" w:color="auto"/>
              <w:right w:val="single" w:sz="4" w:space="0" w:color="auto"/>
            </w:tcBorders>
          </w:tcPr>
          <w:p w14:paraId="03C19629" w14:textId="4A318EE5" w:rsidR="003D67B4" w:rsidRPr="009275BC" w:rsidRDefault="003D67B4"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C0050</w:t>
            </w:r>
          </w:p>
        </w:tc>
        <w:tc>
          <w:tcPr>
            <w:tcW w:w="7616" w:type="dxa"/>
            <w:tcBorders>
              <w:top w:val="nil"/>
              <w:left w:val="nil"/>
              <w:bottom w:val="single" w:sz="4" w:space="0" w:color="000000" w:themeColor="text1"/>
              <w:right w:val="single" w:sz="4" w:space="0" w:color="000000" w:themeColor="text1"/>
            </w:tcBorders>
            <w:vAlign w:val="center"/>
          </w:tcPr>
          <w:p w14:paraId="4E559B5F" w14:textId="77777777" w:rsidR="00491899" w:rsidRDefault="00491899" w:rsidP="003D67B4">
            <w:pPr>
              <w:pStyle w:val="InstructionsText2"/>
              <w:rPr>
                <w:rFonts w:asciiTheme="minorHAnsi" w:hAnsiTheme="minorHAnsi"/>
                <w:sz w:val="20"/>
                <w:szCs w:val="20"/>
                <w:lang w:val="en-IE"/>
              </w:rPr>
            </w:pPr>
            <w:r w:rsidRPr="0020691D">
              <w:rPr>
                <w:rFonts w:ascii="Aptos" w:hAnsi="Aptos"/>
                <w:b/>
                <w:sz w:val="20"/>
                <w:szCs w:val="20"/>
                <w:u w:val="single"/>
                <w:lang w:val="en-IE"/>
              </w:rPr>
              <w:t>Transactions on vIBANs (Outgoing) - Value</w:t>
            </w:r>
          </w:p>
          <w:p w14:paraId="34AA5E77" w14:textId="1909EEE8" w:rsidR="0031224D" w:rsidRPr="0031224D" w:rsidRDefault="0061458C" w:rsidP="00BF2707">
            <w:pPr>
              <w:pStyle w:val="InstructionsText2"/>
              <w:rPr>
                <w:rStyle w:val="InstructionsTabelleberschrift"/>
                <w:rFonts w:asciiTheme="minorHAnsi" w:hAnsiTheme="minorHAnsi"/>
                <w:b w:val="0"/>
                <w:bCs w:val="0"/>
                <w:u w:val="none"/>
              </w:rPr>
            </w:pPr>
            <w:r w:rsidRPr="00BA007F">
              <w:rPr>
                <w:rFonts w:asciiTheme="minorHAnsi" w:hAnsiTheme="minorHAnsi"/>
                <w:bCs/>
                <w:sz w:val="20"/>
                <w:szCs w:val="20"/>
                <w:lang w:val="en-IE"/>
              </w:rPr>
              <w:t>Indicate Transactions on vIBANs (</w:t>
            </w:r>
            <w:r>
              <w:rPr>
                <w:rFonts w:asciiTheme="minorHAnsi" w:hAnsiTheme="minorHAnsi"/>
                <w:bCs/>
                <w:sz w:val="20"/>
                <w:szCs w:val="20"/>
                <w:lang w:val="en-IE"/>
              </w:rPr>
              <w:t>Outgoing</w:t>
            </w:r>
            <w:r w:rsidRPr="00BA007F">
              <w:rPr>
                <w:rFonts w:asciiTheme="minorHAnsi" w:hAnsiTheme="minorHAnsi"/>
                <w:bCs/>
                <w:sz w:val="20"/>
                <w:szCs w:val="20"/>
                <w:lang w:val="en-IE"/>
              </w:rPr>
              <w:t>) - Value during the reference year.</w:t>
            </w:r>
          </w:p>
        </w:tc>
      </w:tr>
      <w:tr w:rsidR="005E211E" w:rsidRPr="009B282E" w14:paraId="575FE71B" w14:textId="77777777">
        <w:tc>
          <w:tcPr>
            <w:tcW w:w="1673" w:type="dxa"/>
            <w:tcBorders>
              <w:top w:val="single" w:sz="4" w:space="0" w:color="auto"/>
              <w:left w:val="single" w:sz="4" w:space="0" w:color="auto"/>
              <w:bottom w:val="single" w:sz="4" w:space="0" w:color="auto"/>
              <w:right w:val="single" w:sz="4" w:space="0" w:color="auto"/>
            </w:tcBorders>
          </w:tcPr>
          <w:p w14:paraId="42EC2CA8" w14:textId="250E19E9" w:rsidR="003D67B4" w:rsidRPr="009275BC" w:rsidRDefault="003D67B4" w:rsidP="00F32516">
            <w:pPr>
              <w:pStyle w:val="InstructionsText"/>
              <w:rPr>
                <w:rStyle w:val="FormatvorlageInstructionsTabelleText"/>
                <w:rFonts w:asciiTheme="minorHAnsi" w:hAnsiTheme="minorHAnsi"/>
                <w:bCs/>
              </w:rPr>
            </w:pPr>
            <w:r w:rsidRPr="009275BC">
              <w:rPr>
                <w:rStyle w:val="FormatvorlageInstructionsTabelleText"/>
                <w:rFonts w:asciiTheme="minorHAnsi" w:hAnsiTheme="minorHAnsi"/>
              </w:rPr>
              <w:t>C00</w:t>
            </w:r>
            <w:r w:rsidR="03016B7D" w:rsidRPr="009275BC">
              <w:rPr>
                <w:rStyle w:val="FormatvorlageInstructionsTabelleText"/>
                <w:rFonts w:asciiTheme="minorHAnsi" w:hAnsiTheme="minorHAnsi"/>
              </w:rPr>
              <w:t>60</w:t>
            </w:r>
          </w:p>
        </w:tc>
        <w:tc>
          <w:tcPr>
            <w:tcW w:w="7616" w:type="dxa"/>
            <w:tcBorders>
              <w:top w:val="nil"/>
              <w:left w:val="nil"/>
              <w:bottom w:val="nil"/>
              <w:right w:val="single" w:sz="4" w:space="0" w:color="auto"/>
            </w:tcBorders>
            <w:vAlign w:val="center"/>
          </w:tcPr>
          <w:p w14:paraId="3DFA0945" w14:textId="77777777" w:rsidR="00491899" w:rsidRDefault="00491899" w:rsidP="00013D3D">
            <w:pPr>
              <w:pStyle w:val="InstructionsText2"/>
              <w:rPr>
                <w:rFonts w:asciiTheme="minorHAnsi" w:hAnsiTheme="minorHAnsi"/>
                <w:sz w:val="20"/>
                <w:szCs w:val="20"/>
                <w:lang w:val="en-IE"/>
              </w:rPr>
            </w:pPr>
            <w:r w:rsidRPr="0020691D">
              <w:rPr>
                <w:rFonts w:ascii="Aptos" w:hAnsi="Aptos"/>
                <w:b/>
                <w:sz w:val="20"/>
                <w:szCs w:val="20"/>
                <w:u w:val="single"/>
                <w:lang w:val="en-IE"/>
              </w:rPr>
              <w:t>Re-issued Virtual IBANs</w:t>
            </w:r>
          </w:p>
          <w:p w14:paraId="239BD01F" w14:textId="5A7802A1" w:rsidR="0031224D" w:rsidRDefault="0031224D" w:rsidP="00013D3D">
            <w:pPr>
              <w:pStyle w:val="InstructionsText2"/>
              <w:rPr>
                <w:rFonts w:asciiTheme="minorHAnsi" w:hAnsiTheme="minorHAnsi"/>
                <w:b/>
                <w:sz w:val="20"/>
                <w:szCs w:val="20"/>
                <w:lang w:val="en-IE"/>
              </w:rPr>
            </w:pPr>
            <w:r w:rsidRPr="467A3946">
              <w:rPr>
                <w:rFonts w:asciiTheme="minorHAnsi" w:hAnsiTheme="minorHAnsi"/>
                <w:sz w:val="20"/>
                <w:szCs w:val="20"/>
                <w:lang w:val="en-IE"/>
              </w:rPr>
              <w:t>This information should refer to the</w:t>
            </w:r>
            <w:r w:rsidR="000A537B">
              <w:rPr>
                <w:rFonts w:asciiTheme="minorHAnsi" w:hAnsiTheme="minorHAnsi"/>
                <w:sz w:val="20"/>
                <w:szCs w:val="20"/>
                <w:lang w:val="en-IE"/>
              </w:rPr>
              <w:t xml:space="preserve"> total number </w:t>
            </w:r>
            <w:r w:rsidR="00EF66B1">
              <w:rPr>
                <w:rFonts w:asciiTheme="minorHAnsi" w:hAnsiTheme="minorHAnsi"/>
                <w:sz w:val="20"/>
                <w:szCs w:val="20"/>
                <w:lang w:val="en-IE"/>
              </w:rPr>
              <w:t xml:space="preserve">of </w:t>
            </w:r>
            <w:r w:rsidR="006F0421">
              <w:rPr>
                <w:rFonts w:asciiTheme="minorHAnsi" w:hAnsiTheme="minorHAnsi"/>
                <w:sz w:val="20"/>
                <w:szCs w:val="20"/>
                <w:lang w:val="en-IE"/>
              </w:rPr>
              <w:t>r</w:t>
            </w:r>
            <w:r w:rsidR="00EF66B1" w:rsidRPr="00EF66B1">
              <w:rPr>
                <w:rFonts w:asciiTheme="minorHAnsi" w:hAnsiTheme="minorHAnsi"/>
                <w:sz w:val="20"/>
                <w:szCs w:val="20"/>
                <w:lang w:val="en-IE"/>
              </w:rPr>
              <w:t>e-issued Virtual IBANs</w:t>
            </w:r>
            <w:r w:rsidRPr="467A3946">
              <w:rPr>
                <w:rFonts w:asciiTheme="minorHAnsi" w:hAnsiTheme="minorHAnsi"/>
                <w:sz w:val="20"/>
                <w:szCs w:val="20"/>
                <w:lang w:val="en-IE"/>
              </w:rPr>
              <w:t xml:space="preserve"> </w:t>
            </w:r>
            <w:r w:rsidR="006F0421">
              <w:rPr>
                <w:rFonts w:asciiTheme="minorHAnsi" w:hAnsiTheme="minorHAnsi"/>
                <w:sz w:val="20"/>
                <w:szCs w:val="20"/>
                <w:lang w:val="en-IE"/>
              </w:rPr>
              <w:t xml:space="preserve">during the </w:t>
            </w:r>
            <w:r w:rsidRPr="0020691D">
              <w:rPr>
                <w:rFonts w:asciiTheme="minorHAnsi" w:hAnsiTheme="minorHAnsi"/>
                <w:bCs/>
                <w:sz w:val="20"/>
                <w:szCs w:val="20"/>
                <w:lang w:val="en-IE"/>
              </w:rPr>
              <w:t>reference year.</w:t>
            </w:r>
          </w:p>
          <w:p w14:paraId="7979F95A" w14:textId="6A48A267" w:rsidR="00FB0B92" w:rsidRPr="0031224D" w:rsidRDefault="00491899" w:rsidP="00FA1AF0">
            <w:pPr>
              <w:pStyle w:val="InstructionsText2"/>
              <w:rPr>
                <w:rStyle w:val="InstructionsTabelleberschrift"/>
                <w:rFonts w:asciiTheme="minorHAnsi" w:hAnsiTheme="minorHAnsi"/>
                <w:b w:val="0"/>
                <w:bCs w:val="0"/>
                <w:u w:val="none"/>
              </w:rPr>
            </w:pPr>
            <w:r>
              <w:rPr>
                <w:rFonts w:asciiTheme="minorHAnsi" w:hAnsiTheme="minorHAnsi"/>
                <w:sz w:val="20"/>
                <w:lang w:val="en-US"/>
              </w:rPr>
              <w:t xml:space="preserve">Re-issued IBANs can be regarded as virtual IBANs </w:t>
            </w:r>
            <w:r w:rsidR="00EA31F1">
              <w:rPr>
                <w:rFonts w:asciiTheme="minorHAnsi" w:hAnsiTheme="minorHAnsi"/>
                <w:sz w:val="20"/>
                <w:lang w:val="en-US"/>
              </w:rPr>
              <w:t xml:space="preserve">for which </w:t>
            </w:r>
            <w:r>
              <w:rPr>
                <w:rFonts w:asciiTheme="minorHAnsi" w:hAnsiTheme="minorHAnsi"/>
                <w:sz w:val="20"/>
                <w:lang w:val="en-US"/>
              </w:rPr>
              <w:t>the end user is not a customer of the obliged entity during the reference year.</w:t>
            </w:r>
          </w:p>
        </w:tc>
      </w:tr>
      <w:tr w:rsidR="005E211E" w:rsidRPr="009B282E" w14:paraId="3BF3F1C9" w14:textId="77777777">
        <w:tc>
          <w:tcPr>
            <w:tcW w:w="1673" w:type="dxa"/>
            <w:tcBorders>
              <w:top w:val="single" w:sz="4" w:space="0" w:color="auto"/>
              <w:left w:val="single" w:sz="4" w:space="0" w:color="auto"/>
              <w:bottom w:val="single" w:sz="4" w:space="0" w:color="auto"/>
              <w:right w:val="single" w:sz="4" w:space="0" w:color="auto"/>
            </w:tcBorders>
          </w:tcPr>
          <w:p w14:paraId="1531E8ED" w14:textId="6FD77A50" w:rsidR="003D67B4" w:rsidRPr="009275BC" w:rsidRDefault="003D67B4" w:rsidP="00F32516">
            <w:pPr>
              <w:pStyle w:val="InstructionsText"/>
              <w:rPr>
                <w:rStyle w:val="FormatvorlageInstructionsTabelleText"/>
                <w:rFonts w:asciiTheme="minorHAnsi" w:hAnsiTheme="minorHAnsi"/>
                <w:bCs/>
              </w:rPr>
            </w:pPr>
            <w:r w:rsidRPr="009275BC">
              <w:rPr>
                <w:rStyle w:val="FormatvorlageInstructionsTabelleText"/>
                <w:rFonts w:asciiTheme="minorHAnsi" w:hAnsiTheme="minorHAnsi"/>
              </w:rPr>
              <w:t>C00</w:t>
            </w:r>
            <w:r w:rsidR="1A3BEDCC" w:rsidRPr="009275BC">
              <w:rPr>
                <w:rStyle w:val="FormatvorlageInstructionsTabelleText"/>
                <w:rFonts w:asciiTheme="minorHAnsi" w:hAnsiTheme="minorHAnsi"/>
              </w:rPr>
              <w:t>70</w:t>
            </w:r>
          </w:p>
        </w:tc>
        <w:tc>
          <w:tcPr>
            <w:tcW w:w="7616" w:type="dxa"/>
            <w:tcBorders>
              <w:top w:val="single" w:sz="4" w:space="0" w:color="auto"/>
              <w:left w:val="nil"/>
              <w:bottom w:val="single" w:sz="8" w:space="0" w:color="auto"/>
              <w:right w:val="single" w:sz="4" w:space="0" w:color="auto"/>
            </w:tcBorders>
            <w:vAlign w:val="center"/>
          </w:tcPr>
          <w:p w14:paraId="7E440B5C" w14:textId="77777777" w:rsidR="00491899" w:rsidRDefault="00491899" w:rsidP="003D67B4">
            <w:pPr>
              <w:pStyle w:val="InstructionsText2"/>
              <w:rPr>
                <w:rFonts w:asciiTheme="minorHAnsi" w:hAnsiTheme="minorHAnsi"/>
                <w:sz w:val="20"/>
                <w:szCs w:val="20"/>
                <w:lang w:val="en-IE"/>
              </w:rPr>
            </w:pPr>
            <w:r w:rsidRPr="008B3AE7">
              <w:rPr>
                <w:rFonts w:ascii="Aptos" w:hAnsi="Aptos"/>
                <w:b/>
                <w:sz w:val="20"/>
                <w:szCs w:val="20"/>
                <w:u w:val="single"/>
                <w:lang w:val="en-IE"/>
              </w:rPr>
              <w:t>Re-issued Virtual IBANs - Non-customer End-user</w:t>
            </w:r>
          </w:p>
          <w:p w14:paraId="36C19813" w14:textId="0374937D" w:rsidR="0031224D" w:rsidRPr="0031224D" w:rsidRDefault="00491899" w:rsidP="007006E7">
            <w:pPr>
              <w:pStyle w:val="InstructionsText2"/>
              <w:rPr>
                <w:rStyle w:val="InstructionsTabelleberschrift"/>
                <w:rFonts w:asciiTheme="minorHAnsi" w:hAnsiTheme="minorHAnsi"/>
                <w:b w:val="0"/>
                <w:bCs w:val="0"/>
                <w:u w:val="none"/>
              </w:rPr>
            </w:pPr>
            <w:r w:rsidRPr="008B3AE7">
              <w:rPr>
                <w:rFonts w:asciiTheme="minorHAnsi" w:hAnsiTheme="minorHAnsi"/>
                <w:sz w:val="20"/>
                <w:lang w:val="en-IE"/>
              </w:rPr>
              <w:t xml:space="preserve">Indicate </w:t>
            </w:r>
            <w:r w:rsidR="004B1EA1" w:rsidRPr="00154825">
              <w:rPr>
                <w:rStyle w:val="InstructionsTabelleberschrift"/>
                <w:rFonts w:asciiTheme="minorHAnsi" w:hAnsiTheme="minorHAnsi"/>
                <w:b w:val="0"/>
                <w:bCs w:val="0"/>
                <w:u w:val="none"/>
              </w:rPr>
              <w:t xml:space="preserve">the total number of re-issued IBANs </w:t>
            </w:r>
            <w:r w:rsidR="004B1EA1" w:rsidRPr="00154825">
              <w:rPr>
                <w:rFonts w:asciiTheme="minorHAnsi" w:hAnsiTheme="minorHAnsi"/>
                <w:sz w:val="20"/>
                <w:szCs w:val="20"/>
                <w:lang w:val="en-IE"/>
              </w:rPr>
              <w:t>during the reference year</w:t>
            </w:r>
            <w:r w:rsidR="007D4B5D" w:rsidRPr="00154825">
              <w:rPr>
                <w:rFonts w:asciiTheme="minorHAnsi" w:hAnsiTheme="minorHAnsi"/>
                <w:sz w:val="20"/>
                <w:szCs w:val="20"/>
                <w:lang w:val="en-IE"/>
              </w:rPr>
              <w:t xml:space="preserve"> for which</w:t>
            </w:r>
            <w:r w:rsidR="004B1EA1" w:rsidRPr="00154825">
              <w:rPr>
                <w:rStyle w:val="InstructionsTabelleberschrift"/>
                <w:rFonts w:asciiTheme="minorHAnsi" w:hAnsiTheme="minorHAnsi"/>
                <w:b w:val="0"/>
                <w:bCs w:val="0"/>
                <w:u w:val="none"/>
              </w:rPr>
              <w:t xml:space="preserve"> the end-user is not a customer of the obliged entity</w:t>
            </w:r>
            <w:r w:rsidR="007006E7" w:rsidRPr="00154825">
              <w:rPr>
                <w:rStyle w:val="InstructionsTabelleberschrift"/>
                <w:rFonts w:asciiTheme="minorHAnsi" w:hAnsiTheme="minorHAnsi"/>
                <w:b w:val="0"/>
                <w:bCs w:val="0"/>
                <w:u w:val="none"/>
              </w:rPr>
              <w:t>.</w:t>
            </w:r>
          </w:p>
        </w:tc>
      </w:tr>
    </w:tbl>
    <w:p w14:paraId="2C4DF999" w14:textId="3DCDF3AD" w:rsidR="001A7F12" w:rsidRPr="009B282E" w:rsidRDefault="7C2FF960" w:rsidP="00CB14A2">
      <w:pPr>
        <w:pStyle w:val="Heading3"/>
        <w:rPr>
          <w:lang w:val="en-GB"/>
        </w:rPr>
      </w:pPr>
      <w:bookmarkStart w:id="109" w:name="_Toc223086543"/>
      <w:bookmarkStart w:id="110" w:name="_Toc223086637"/>
      <w:bookmarkStart w:id="111" w:name="_Toc223086731"/>
      <w:bookmarkStart w:id="112" w:name="_Toc223086825"/>
      <w:bookmarkStart w:id="113" w:name="_Toc221355970"/>
      <w:bookmarkStart w:id="114" w:name="_Toc223104836"/>
      <w:bookmarkEnd w:id="108"/>
      <w:bookmarkEnd w:id="109"/>
      <w:bookmarkEnd w:id="110"/>
      <w:bookmarkEnd w:id="111"/>
      <w:bookmarkEnd w:id="112"/>
      <w:r w:rsidRPr="009B282E">
        <w:rPr>
          <w:lang w:val="en-GB"/>
        </w:rPr>
        <w:t xml:space="preserve">AML.03.03 </w:t>
      </w:r>
      <w:r w:rsidR="00DF5217" w:rsidRPr="009B282E">
        <w:rPr>
          <w:lang w:val="en-GB"/>
        </w:rPr>
        <w:t xml:space="preserve">Prepaid </w:t>
      </w:r>
      <w:r w:rsidR="00C74985">
        <w:rPr>
          <w:lang w:val="en-GB"/>
        </w:rPr>
        <w:t>C</w:t>
      </w:r>
      <w:r w:rsidR="00DF5217" w:rsidRPr="009B282E">
        <w:rPr>
          <w:lang w:val="en-GB"/>
        </w:rPr>
        <w:t>ards</w:t>
      </w:r>
      <w:bookmarkEnd w:id="113"/>
      <w:bookmarkEnd w:id="114"/>
    </w:p>
    <w:p w14:paraId="552CF694" w14:textId="77777777" w:rsidR="006B6D53" w:rsidRPr="006B6D53" w:rsidRDefault="006B6D53" w:rsidP="006B6D53">
      <w:pPr>
        <w:rPr>
          <w:rFonts w:asciiTheme="minorHAnsi" w:hAnsiTheme="minorHAnsi"/>
          <w:b/>
          <w:bCs/>
          <w:iCs/>
        </w:rPr>
      </w:pPr>
      <w:r w:rsidRPr="006B6D53">
        <w:rPr>
          <w:rFonts w:asciiTheme="minorHAnsi" w:hAnsiTheme="minorHAnsi"/>
          <w:b/>
          <w:bCs/>
          <w:iCs/>
        </w:rPr>
        <w:t>Template Remarks</w:t>
      </w:r>
    </w:p>
    <w:p w14:paraId="67BA1441" w14:textId="006F8EB5" w:rsidR="006B6D53" w:rsidRDefault="006B6D53" w:rsidP="00E20BF5">
      <w:pPr>
        <w:rPr>
          <w:rFonts w:asciiTheme="minorHAnsi" w:hAnsiTheme="minorHAnsi"/>
          <w:lang w:val="en-GB"/>
        </w:rPr>
      </w:pPr>
      <w:r w:rsidRPr="006B6D53">
        <w:rPr>
          <w:rFonts w:asciiTheme="minorHAnsi" w:hAnsiTheme="minorHAnsi"/>
          <w:lang w:val="en-GB"/>
        </w:rPr>
        <w:t xml:space="preserve">Fill out this template if you </w:t>
      </w:r>
      <w:r w:rsidRPr="006B6D53">
        <w:rPr>
          <w:rFonts w:asciiTheme="minorHAnsi" w:hAnsiTheme="minorHAnsi"/>
        </w:rPr>
        <w:t xml:space="preserve">offer some of these services and/or products, normally this template is applicable for CI, EMI, PI and </w:t>
      </w:r>
      <w:r>
        <w:rPr>
          <w:rFonts w:asciiTheme="minorHAnsi" w:hAnsiTheme="minorHAnsi"/>
        </w:rPr>
        <w:t>CASP</w:t>
      </w:r>
      <w:r w:rsidRPr="006B6D53">
        <w:rPr>
          <w:rFonts w:asciiTheme="minorHAnsi" w:hAnsiTheme="minorHAnsi"/>
        </w:rPr>
        <w:t>.</w:t>
      </w:r>
    </w:p>
    <w:p w14:paraId="1E7A58D3" w14:textId="296690B7" w:rsidR="00E20BF5" w:rsidRPr="00233710" w:rsidRDefault="00E20BF5" w:rsidP="00E20BF5">
      <w:pPr>
        <w:rPr>
          <w:rFonts w:asciiTheme="minorHAnsi" w:hAnsiTheme="minorHAnsi"/>
          <w:lang w:val="en-GB"/>
        </w:rPr>
      </w:pPr>
      <w:r w:rsidRPr="00233710">
        <w:rPr>
          <w:rFonts w:asciiTheme="minorHAnsi" w:hAnsiTheme="minorHAnsi"/>
          <w:lang w:val="en-GB"/>
        </w:rPr>
        <w:t>‘Prepaid card’ means a non-nominal card that stores or provides access to monetary value or funds which can be used for payment transactions, for acquiring goods or services or for the redemption of currency where such card is not linked to a bank account</w:t>
      </w:r>
      <w:r w:rsidR="006E18F0">
        <w:rPr>
          <w:rFonts w:asciiTheme="minorHAnsi" w:hAnsiTheme="minorHAnsi"/>
          <w:lang w:val="en-GB"/>
        </w:rPr>
        <w:t xml:space="preserve">, in accordance with </w:t>
      </w:r>
      <w:r w:rsidR="006E18F0" w:rsidRPr="006E18F0">
        <w:rPr>
          <w:rFonts w:asciiTheme="minorHAnsi" w:hAnsiTheme="minorHAnsi"/>
          <w:lang w:val="en-GB"/>
        </w:rPr>
        <w:t>Article 2(1)(f) of Regulation (EU) 2018/1672</w:t>
      </w:r>
      <w:r w:rsidRPr="00233710">
        <w:rPr>
          <w:rFonts w:asciiTheme="minorHAnsi" w:hAnsiTheme="minorHAnsi"/>
          <w:lang w:val="en-GB"/>
        </w:rPr>
        <w:t>.</w:t>
      </w:r>
    </w:p>
    <w:tbl>
      <w:tblPr>
        <w:tblW w:w="92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3"/>
        <w:gridCol w:w="7616"/>
      </w:tblGrid>
      <w:tr w:rsidR="005E211E" w:rsidRPr="009B282E" w14:paraId="0F3C5E85" w14:textId="77777777" w:rsidTr="0A7DBE6E">
        <w:tc>
          <w:tcPr>
            <w:tcW w:w="16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B4E9F5" w14:textId="77777777" w:rsidR="008328FA" w:rsidRPr="009275BC" w:rsidRDefault="008328FA" w:rsidP="00F32516">
            <w:pPr>
              <w:pStyle w:val="InstructionsText"/>
              <w:rPr>
                <w:rStyle w:val="InstructionsTabelleText"/>
                <w:rFonts w:asciiTheme="minorHAnsi" w:hAnsiTheme="minorHAnsi"/>
                <w:bCs w:val="0"/>
                <w:lang w:eastAsia="en-US"/>
              </w:rPr>
            </w:pPr>
            <w:r w:rsidRPr="009275BC">
              <w:rPr>
                <w:rStyle w:val="InstructionsTabelleText"/>
                <w:rFonts w:asciiTheme="minorHAnsi" w:hAnsiTheme="minorHAnsi"/>
              </w:rPr>
              <w:t>Column code</w:t>
            </w:r>
          </w:p>
        </w:tc>
        <w:tc>
          <w:tcPr>
            <w:tcW w:w="76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8040A1" w14:textId="77777777" w:rsidR="008328FA" w:rsidRPr="009275BC" w:rsidRDefault="008328FA" w:rsidP="00F32516">
            <w:pPr>
              <w:pStyle w:val="InstructionsText"/>
              <w:rPr>
                <w:rStyle w:val="InstructionsTabelleText"/>
                <w:rFonts w:asciiTheme="minorHAnsi" w:hAnsiTheme="minorHAnsi"/>
                <w:bCs w:val="0"/>
                <w:lang w:eastAsia="en-US"/>
              </w:rPr>
            </w:pPr>
            <w:r w:rsidRPr="009275BC">
              <w:rPr>
                <w:rStyle w:val="InstructionsTabelleText"/>
                <w:rFonts w:asciiTheme="minorHAnsi" w:hAnsiTheme="minorHAnsi"/>
              </w:rPr>
              <w:t>Legal references and instructions</w:t>
            </w:r>
          </w:p>
        </w:tc>
      </w:tr>
      <w:tr w:rsidR="005E211E" w:rsidRPr="009B282E" w14:paraId="48B024F5" w14:textId="77777777" w:rsidTr="0A7DBE6E">
        <w:tc>
          <w:tcPr>
            <w:tcW w:w="1673" w:type="dxa"/>
            <w:tcBorders>
              <w:top w:val="single" w:sz="4" w:space="0" w:color="auto"/>
              <w:left w:val="single" w:sz="4" w:space="0" w:color="auto"/>
              <w:bottom w:val="single" w:sz="4" w:space="0" w:color="auto"/>
              <w:right w:val="single" w:sz="4" w:space="0" w:color="auto"/>
            </w:tcBorders>
          </w:tcPr>
          <w:p w14:paraId="34106D61" w14:textId="46E834D9" w:rsidR="0A7DBE6E" w:rsidRPr="000D213F" w:rsidRDefault="0A7DBE6E" w:rsidP="0A7DBE6E">
            <w:pPr>
              <w:spacing w:before="0" w:after="0"/>
              <w:rPr>
                <w:rFonts w:asciiTheme="minorHAnsi" w:eastAsia="Calibri" w:hAnsiTheme="minorHAnsi" w:cs="Calibri"/>
                <w:color w:val="000000" w:themeColor="text1"/>
                <w:sz w:val="20"/>
              </w:rPr>
            </w:pPr>
            <w:r w:rsidRPr="000D213F">
              <w:rPr>
                <w:rFonts w:asciiTheme="minorHAnsi" w:eastAsia="Calibri" w:hAnsiTheme="minorHAnsi" w:cs="Calibri"/>
                <w:color w:val="000000" w:themeColor="text1"/>
                <w:sz w:val="20"/>
              </w:rPr>
              <w:t>C0010</w:t>
            </w:r>
          </w:p>
        </w:tc>
        <w:tc>
          <w:tcPr>
            <w:tcW w:w="7616" w:type="dxa"/>
            <w:tcBorders>
              <w:top w:val="single" w:sz="8" w:space="0" w:color="auto"/>
              <w:left w:val="nil"/>
              <w:bottom w:val="nil"/>
              <w:right w:val="single" w:sz="4" w:space="0" w:color="auto"/>
            </w:tcBorders>
            <w:vAlign w:val="center"/>
          </w:tcPr>
          <w:p w14:paraId="3FFE8359" w14:textId="568546BA" w:rsidR="00491899" w:rsidRDefault="00491899" w:rsidP="00B07022">
            <w:pPr>
              <w:pStyle w:val="InstructionsText2"/>
              <w:rPr>
                <w:rFonts w:asciiTheme="minorHAnsi" w:hAnsiTheme="minorHAnsi"/>
                <w:sz w:val="20"/>
                <w:szCs w:val="20"/>
                <w:lang w:val="en-IE"/>
              </w:rPr>
            </w:pPr>
            <w:r w:rsidRPr="00EC3717">
              <w:rPr>
                <w:rFonts w:ascii="Aptos" w:hAnsi="Aptos"/>
                <w:b/>
                <w:sz w:val="20"/>
                <w:szCs w:val="20"/>
                <w:u w:val="single"/>
                <w:lang w:val="en-IE"/>
              </w:rPr>
              <w:t xml:space="preserve">Prepaid Cards Issued - </w:t>
            </w:r>
            <w:r w:rsidR="001E5310">
              <w:rPr>
                <w:rFonts w:ascii="Aptos" w:hAnsi="Aptos"/>
                <w:b/>
                <w:sz w:val="20"/>
                <w:szCs w:val="20"/>
                <w:u w:val="single"/>
                <w:lang w:val="en-IE"/>
              </w:rPr>
              <w:t>Number</w:t>
            </w:r>
          </w:p>
          <w:p w14:paraId="7AB9E5C1" w14:textId="7BD53D1E" w:rsidR="00954AF7" w:rsidRPr="00954AF7" w:rsidRDefault="00491899" w:rsidP="000213B2">
            <w:pPr>
              <w:pStyle w:val="InstructionsText2"/>
              <w:rPr>
                <w:rStyle w:val="InstructionsTabelleberschrift"/>
                <w:rFonts w:asciiTheme="minorHAnsi" w:hAnsiTheme="minorHAnsi"/>
                <w:b w:val="0"/>
                <w:bCs w:val="0"/>
                <w:u w:val="none"/>
              </w:rPr>
            </w:pPr>
            <w:r w:rsidRPr="00196000">
              <w:rPr>
                <w:rFonts w:asciiTheme="minorHAnsi" w:hAnsiTheme="minorHAnsi"/>
                <w:sz w:val="20"/>
                <w:lang w:val="en-IE"/>
              </w:rPr>
              <w:t xml:space="preserve">Indicate </w:t>
            </w:r>
            <w:r w:rsidR="00F62DCF">
              <w:rPr>
                <w:rFonts w:asciiTheme="minorHAnsi" w:hAnsiTheme="minorHAnsi"/>
                <w:sz w:val="20"/>
                <w:lang w:val="en-IE"/>
              </w:rPr>
              <w:t xml:space="preserve">the total number of </w:t>
            </w:r>
            <w:r w:rsidRPr="00196000">
              <w:rPr>
                <w:rFonts w:asciiTheme="minorHAnsi" w:hAnsiTheme="minorHAnsi"/>
                <w:sz w:val="20"/>
                <w:lang w:val="en-IE"/>
              </w:rPr>
              <w:t xml:space="preserve">Prepaid Cards Issued </w:t>
            </w:r>
            <w:r w:rsidR="002C7888" w:rsidRPr="00196000">
              <w:rPr>
                <w:rFonts w:asciiTheme="minorHAnsi" w:hAnsiTheme="minorHAnsi"/>
                <w:sz w:val="20"/>
                <w:lang w:val="en-IE"/>
              </w:rPr>
              <w:t>–</w:t>
            </w:r>
            <w:r w:rsidRPr="00196000">
              <w:rPr>
                <w:rFonts w:asciiTheme="minorHAnsi" w:hAnsiTheme="minorHAnsi"/>
                <w:sz w:val="20"/>
                <w:lang w:val="en-IE"/>
              </w:rPr>
              <w:t xml:space="preserve"> </w:t>
            </w:r>
            <w:r w:rsidR="002C7888" w:rsidRPr="00196000">
              <w:rPr>
                <w:rFonts w:asciiTheme="minorHAnsi" w:hAnsiTheme="minorHAnsi"/>
                <w:sz w:val="20"/>
                <w:lang w:val="en-IE"/>
              </w:rPr>
              <w:t>Total number</w:t>
            </w:r>
            <w:r w:rsidRPr="00196000">
              <w:rPr>
                <w:rFonts w:asciiTheme="minorHAnsi" w:hAnsiTheme="minorHAnsi"/>
                <w:sz w:val="20"/>
                <w:lang w:val="en-IE"/>
              </w:rPr>
              <w:t xml:space="preserve"> during the reference year.</w:t>
            </w:r>
          </w:p>
        </w:tc>
      </w:tr>
      <w:tr w:rsidR="005E211E" w:rsidRPr="009B282E" w14:paraId="0CF674C2" w14:textId="77777777" w:rsidTr="0A7DBE6E">
        <w:tc>
          <w:tcPr>
            <w:tcW w:w="1673" w:type="dxa"/>
            <w:tcBorders>
              <w:top w:val="single" w:sz="4" w:space="0" w:color="auto"/>
              <w:left w:val="single" w:sz="4" w:space="0" w:color="auto"/>
              <w:bottom w:val="single" w:sz="4" w:space="0" w:color="auto"/>
              <w:right w:val="single" w:sz="4" w:space="0" w:color="auto"/>
            </w:tcBorders>
          </w:tcPr>
          <w:p w14:paraId="43D007B6" w14:textId="70256B61" w:rsidR="0A7DBE6E" w:rsidRPr="000D213F" w:rsidRDefault="0A7DBE6E" w:rsidP="0A7DBE6E">
            <w:pPr>
              <w:spacing w:before="0" w:after="0"/>
              <w:rPr>
                <w:rFonts w:asciiTheme="minorHAnsi" w:eastAsia="Calibri" w:hAnsiTheme="minorHAnsi" w:cs="Calibri"/>
                <w:color w:val="000000" w:themeColor="text1"/>
                <w:sz w:val="20"/>
              </w:rPr>
            </w:pPr>
            <w:r w:rsidRPr="000D213F">
              <w:rPr>
                <w:rFonts w:asciiTheme="minorHAnsi" w:eastAsia="Calibri" w:hAnsiTheme="minorHAnsi" w:cs="Calibri"/>
                <w:color w:val="000000" w:themeColor="text1"/>
                <w:sz w:val="20"/>
              </w:rPr>
              <w:t>C0020</w:t>
            </w:r>
          </w:p>
        </w:tc>
        <w:tc>
          <w:tcPr>
            <w:tcW w:w="7616" w:type="dxa"/>
            <w:tcBorders>
              <w:top w:val="single" w:sz="4" w:space="0" w:color="auto"/>
              <w:left w:val="nil"/>
              <w:bottom w:val="nil"/>
              <w:right w:val="single" w:sz="4" w:space="0" w:color="auto"/>
            </w:tcBorders>
            <w:vAlign w:val="center"/>
          </w:tcPr>
          <w:p w14:paraId="0F6773B6" w14:textId="77777777" w:rsidR="00491899" w:rsidRDefault="00491899" w:rsidP="004708C6">
            <w:pPr>
              <w:pStyle w:val="InstructionsText2"/>
              <w:rPr>
                <w:rFonts w:asciiTheme="minorHAnsi" w:hAnsiTheme="minorHAnsi"/>
                <w:sz w:val="20"/>
                <w:szCs w:val="20"/>
                <w:lang w:val="en-IE"/>
              </w:rPr>
            </w:pPr>
            <w:r w:rsidRPr="00AE2BF4">
              <w:rPr>
                <w:rFonts w:ascii="Aptos" w:hAnsi="Aptos"/>
                <w:b/>
                <w:sz w:val="20"/>
                <w:szCs w:val="20"/>
                <w:u w:val="single"/>
                <w:lang w:val="en-IE"/>
              </w:rPr>
              <w:t>Prepaid Cards Issued - Value</w:t>
            </w:r>
          </w:p>
          <w:p w14:paraId="52406F30" w14:textId="1785033E" w:rsidR="00D5475B" w:rsidRPr="00954AF7" w:rsidRDefault="00491899" w:rsidP="000213B2">
            <w:pPr>
              <w:pStyle w:val="InstructionsText2"/>
              <w:rPr>
                <w:rStyle w:val="InstructionsTabelleberschrift"/>
                <w:rFonts w:asciiTheme="minorHAnsi" w:hAnsiTheme="minorHAnsi"/>
                <w:b w:val="0"/>
                <w:bCs w:val="0"/>
                <w:u w:val="none"/>
              </w:rPr>
            </w:pPr>
            <w:r w:rsidRPr="00AE2BF4">
              <w:rPr>
                <w:rFonts w:asciiTheme="minorHAnsi" w:hAnsiTheme="minorHAnsi"/>
                <w:sz w:val="20"/>
                <w:lang w:val="en-IE"/>
              </w:rPr>
              <w:t xml:space="preserve">Indicate </w:t>
            </w:r>
            <w:r w:rsidR="00F62DCF">
              <w:rPr>
                <w:rFonts w:asciiTheme="minorHAnsi" w:hAnsiTheme="minorHAnsi"/>
                <w:sz w:val="20"/>
                <w:lang w:val="en-IE"/>
              </w:rPr>
              <w:t xml:space="preserve">the total value of the </w:t>
            </w:r>
            <w:r w:rsidRPr="00AE2BF4">
              <w:rPr>
                <w:rFonts w:asciiTheme="minorHAnsi" w:hAnsiTheme="minorHAnsi"/>
                <w:sz w:val="20"/>
                <w:lang w:val="en-IE"/>
              </w:rPr>
              <w:t>Prepaid Cards Issued - Value during the reference year.</w:t>
            </w:r>
          </w:p>
        </w:tc>
      </w:tr>
      <w:tr w:rsidR="005E211E" w:rsidRPr="009B282E" w14:paraId="769787D0" w14:textId="77777777" w:rsidTr="0A7DBE6E">
        <w:tc>
          <w:tcPr>
            <w:tcW w:w="1673" w:type="dxa"/>
            <w:tcBorders>
              <w:top w:val="single" w:sz="4" w:space="0" w:color="auto"/>
              <w:left w:val="single" w:sz="4" w:space="0" w:color="auto"/>
              <w:bottom w:val="single" w:sz="4" w:space="0" w:color="auto"/>
              <w:right w:val="single" w:sz="4" w:space="0" w:color="auto"/>
            </w:tcBorders>
          </w:tcPr>
          <w:p w14:paraId="531E0F7C" w14:textId="0A09EEFB" w:rsidR="0A7DBE6E" w:rsidRPr="000D213F" w:rsidRDefault="0A7DBE6E" w:rsidP="0A7DBE6E">
            <w:pPr>
              <w:spacing w:before="0" w:after="0"/>
              <w:rPr>
                <w:rFonts w:asciiTheme="minorHAnsi" w:eastAsia="Calibri" w:hAnsiTheme="minorHAnsi" w:cs="Calibri"/>
                <w:color w:val="000000" w:themeColor="text1"/>
                <w:sz w:val="20"/>
              </w:rPr>
            </w:pPr>
            <w:r w:rsidRPr="000D213F">
              <w:rPr>
                <w:rFonts w:asciiTheme="minorHAnsi" w:eastAsia="Calibri" w:hAnsiTheme="minorHAnsi" w:cs="Calibri"/>
                <w:color w:val="000000" w:themeColor="text1"/>
                <w:sz w:val="20"/>
              </w:rPr>
              <w:t>C0030</w:t>
            </w:r>
          </w:p>
        </w:tc>
        <w:tc>
          <w:tcPr>
            <w:tcW w:w="7616" w:type="dxa"/>
            <w:tcBorders>
              <w:top w:val="single" w:sz="4" w:space="0" w:color="auto"/>
              <w:left w:val="nil"/>
              <w:bottom w:val="nil"/>
              <w:right w:val="single" w:sz="4" w:space="0" w:color="auto"/>
            </w:tcBorders>
            <w:vAlign w:val="center"/>
          </w:tcPr>
          <w:p w14:paraId="35BAE748" w14:textId="77777777" w:rsidR="00491899" w:rsidRDefault="00491899" w:rsidP="00535C1D">
            <w:pPr>
              <w:pStyle w:val="InstructionsText2"/>
              <w:rPr>
                <w:rStyle w:val="InstructionsTabelleberschrift"/>
                <w:rFonts w:asciiTheme="minorHAnsi" w:hAnsiTheme="minorHAnsi"/>
                <w:b w:val="0"/>
                <w:bCs w:val="0"/>
                <w:u w:val="none"/>
              </w:rPr>
            </w:pPr>
            <w:r w:rsidRPr="000549C7">
              <w:rPr>
                <w:rStyle w:val="InstructionsTabelleberschrift"/>
                <w:rFonts w:ascii="Aptos" w:hAnsi="Aptos"/>
                <w:bCs w:val="0"/>
              </w:rPr>
              <w:t>Prepaid Cards - Outstanding Value</w:t>
            </w:r>
          </w:p>
          <w:p w14:paraId="5B5C14D1" w14:textId="16F99AA4" w:rsidR="004E073D" w:rsidRPr="00535C1D" w:rsidRDefault="00491899" w:rsidP="0071410F">
            <w:pPr>
              <w:pStyle w:val="InstructionsText2"/>
              <w:rPr>
                <w:rStyle w:val="InstructionsTabelleberschrift"/>
                <w:rFonts w:asciiTheme="minorHAnsi" w:hAnsiTheme="minorHAnsi"/>
                <w:b w:val="0"/>
                <w:bCs w:val="0"/>
                <w:u w:val="none"/>
              </w:rPr>
            </w:pPr>
            <w:r>
              <w:rPr>
                <w:rStyle w:val="InstructionsTabelleberschrift"/>
                <w:rFonts w:asciiTheme="minorHAnsi" w:hAnsiTheme="minorHAnsi"/>
                <w:b w:val="0"/>
                <w:bCs w:val="0"/>
                <w:u w:val="none"/>
              </w:rPr>
              <w:t xml:space="preserve">Balance remaining </w:t>
            </w:r>
            <w:r w:rsidR="0071410F">
              <w:rPr>
                <w:rStyle w:val="InstructionsTabelleberschrift"/>
                <w:rFonts w:asciiTheme="minorHAnsi" w:hAnsiTheme="minorHAnsi"/>
                <w:b w:val="0"/>
                <w:bCs w:val="0"/>
                <w:u w:val="none"/>
              </w:rPr>
              <w:t>as of end of the reference year</w:t>
            </w:r>
            <w:r w:rsidR="0071410F" w:rsidDel="0038690F">
              <w:rPr>
                <w:rStyle w:val="InstructionsTabelleberschrift"/>
                <w:rFonts w:asciiTheme="minorHAnsi" w:hAnsiTheme="minorHAnsi"/>
                <w:b w:val="0"/>
                <w:bCs w:val="0"/>
                <w:u w:val="none"/>
              </w:rPr>
              <w:t xml:space="preserve"> </w:t>
            </w:r>
            <w:r>
              <w:rPr>
                <w:rStyle w:val="InstructionsTabelleberschrift"/>
                <w:rFonts w:asciiTheme="minorHAnsi" w:hAnsiTheme="minorHAnsi"/>
                <w:b w:val="0"/>
                <w:bCs w:val="0"/>
                <w:u w:val="none"/>
              </w:rPr>
              <w:t>on pre-paid cards issued during the reference year.</w:t>
            </w:r>
          </w:p>
        </w:tc>
      </w:tr>
      <w:tr w:rsidR="005E211E" w:rsidRPr="009B282E" w14:paraId="67B2FB63" w14:textId="77777777" w:rsidTr="0A7DBE6E">
        <w:tc>
          <w:tcPr>
            <w:tcW w:w="1673" w:type="dxa"/>
            <w:tcBorders>
              <w:top w:val="single" w:sz="4" w:space="0" w:color="auto"/>
              <w:left w:val="single" w:sz="4" w:space="0" w:color="auto"/>
              <w:bottom w:val="single" w:sz="4" w:space="0" w:color="auto"/>
              <w:right w:val="single" w:sz="4" w:space="0" w:color="auto"/>
            </w:tcBorders>
          </w:tcPr>
          <w:p w14:paraId="478E2D5B" w14:textId="29D4C904" w:rsidR="0A7DBE6E" w:rsidRPr="000D213F" w:rsidRDefault="0A7DBE6E" w:rsidP="0A7DBE6E">
            <w:pPr>
              <w:spacing w:before="0" w:after="0"/>
              <w:rPr>
                <w:rFonts w:asciiTheme="minorHAnsi" w:eastAsia="Calibri" w:hAnsiTheme="minorHAnsi" w:cs="Calibri"/>
                <w:color w:val="000000" w:themeColor="text1"/>
                <w:sz w:val="20"/>
              </w:rPr>
            </w:pPr>
            <w:r w:rsidRPr="000D213F">
              <w:rPr>
                <w:rFonts w:asciiTheme="minorHAnsi" w:eastAsia="Calibri" w:hAnsiTheme="minorHAnsi" w:cs="Calibri"/>
                <w:color w:val="000000" w:themeColor="text1"/>
                <w:sz w:val="20"/>
              </w:rPr>
              <w:t>C0040</w:t>
            </w:r>
          </w:p>
        </w:tc>
        <w:tc>
          <w:tcPr>
            <w:tcW w:w="7616" w:type="dxa"/>
            <w:tcBorders>
              <w:top w:val="single" w:sz="4" w:space="0" w:color="auto"/>
              <w:left w:val="nil"/>
              <w:bottom w:val="nil"/>
              <w:right w:val="single" w:sz="4" w:space="0" w:color="auto"/>
            </w:tcBorders>
            <w:vAlign w:val="center"/>
          </w:tcPr>
          <w:p w14:paraId="37697F78" w14:textId="77777777" w:rsidR="00491899" w:rsidRDefault="00491899" w:rsidP="00B07022">
            <w:pPr>
              <w:pStyle w:val="InstructionsText2"/>
              <w:rPr>
                <w:rStyle w:val="InstructionsTabelleberschrift"/>
                <w:rFonts w:asciiTheme="minorHAnsi" w:hAnsiTheme="minorHAnsi"/>
                <w:b w:val="0"/>
                <w:bCs w:val="0"/>
                <w:u w:val="none"/>
              </w:rPr>
            </w:pPr>
            <w:r w:rsidRPr="00EC3717">
              <w:rPr>
                <w:rStyle w:val="InstructionsTabelleberschrift"/>
                <w:rFonts w:ascii="Aptos" w:hAnsi="Aptos"/>
                <w:bCs w:val="0"/>
              </w:rPr>
              <w:t>Customers Using Prepaid Cards</w:t>
            </w:r>
          </w:p>
          <w:p w14:paraId="3DC5C8BE" w14:textId="306CD951" w:rsidR="00CC211E" w:rsidRPr="00CC211E" w:rsidRDefault="00676969" w:rsidP="00EE20FD">
            <w:pPr>
              <w:pStyle w:val="InstructionsText2"/>
              <w:rPr>
                <w:rStyle w:val="InstructionsTabelleberschrift"/>
                <w:rFonts w:asciiTheme="minorHAnsi" w:hAnsiTheme="minorHAnsi"/>
                <w:b w:val="0"/>
                <w:bCs w:val="0"/>
                <w:u w:val="none"/>
              </w:rPr>
            </w:pPr>
            <w:r w:rsidRPr="007D78CD">
              <w:rPr>
                <w:rStyle w:val="InstructionsTabelleberschrift"/>
                <w:rFonts w:asciiTheme="minorHAnsi" w:hAnsiTheme="minorHAnsi"/>
                <w:b w:val="0"/>
                <w:bCs w:val="0"/>
                <w:u w:val="none"/>
              </w:rPr>
              <w:t>I</w:t>
            </w:r>
            <w:r w:rsidRPr="0019270A">
              <w:rPr>
                <w:rStyle w:val="InstructionsTabelleberschrift"/>
                <w:rFonts w:asciiTheme="minorHAnsi" w:hAnsiTheme="minorHAnsi"/>
                <w:b w:val="0"/>
                <w:bCs w:val="0"/>
                <w:u w:val="none"/>
              </w:rPr>
              <w:t>ndicate the total number of customers using pre</w:t>
            </w:r>
            <w:r w:rsidR="009105F9" w:rsidRPr="0019270A">
              <w:rPr>
                <w:rStyle w:val="InstructionsTabelleberschrift"/>
                <w:rFonts w:asciiTheme="minorHAnsi" w:hAnsiTheme="minorHAnsi"/>
                <w:b w:val="0"/>
                <w:bCs w:val="0"/>
                <w:u w:val="none"/>
              </w:rPr>
              <w:t xml:space="preserve">-paid cards </w:t>
            </w:r>
            <w:r w:rsidR="007D78CD" w:rsidRPr="0019270A">
              <w:rPr>
                <w:rStyle w:val="InstructionsTabelleberschrift"/>
                <w:rFonts w:asciiTheme="minorHAnsi" w:hAnsiTheme="minorHAnsi"/>
                <w:b w:val="0"/>
                <w:bCs w:val="0"/>
                <w:u w:val="none"/>
              </w:rPr>
              <w:t xml:space="preserve">during the reference year. </w:t>
            </w:r>
            <w:r w:rsidR="00491899" w:rsidRPr="007D78CD">
              <w:rPr>
                <w:rStyle w:val="InstructionsTabelleberschrift"/>
                <w:rFonts w:asciiTheme="minorHAnsi" w:hAnsiTheme="minorHAnsi"/>
                <w:b w:val="0"/>
                <w:bCs w:val="0"/>
                <w:u w:val="none"/>
              </w:rPr>
              <w:t>U</w:t>
            </w:r>
            <w:r w:rsidR="00491899">
              <w:rPr>
                <w:rStyle w:val="InstructionsTabelleberschrift"/>
                <w:rFonts w:asciiTheme="minorHAnsi" w:hAnsiTheme="minorHAnsi"/>
                <w:b w:val="0"/>
                <w:bCs w:val="0"/>
                <w:u w:val="none"/>
              </w:rPr>
              <w:t>sing customers also inc</w:t>
            </w:r>
            <w:r w:rsidR="009C6F4E">
              <w:rPr>
                <w:rStyle w:val="InstructionsTabelleberschrift"/>
                <w:rFonts w:asciiTheme="minorHAnsi" w:hAnsiTheme="minorHAnsi"/>
                <w:b w:val="0"/>
                <w:bCs w:val="0"/>
                <w:u w:val="none"/>
              </w:rPr>
              <w:t>l</w:t>
            </w:r>
            <w:r w:rsidR="00491899">
              <w:rPr>
                <w:rStyle w:val="InstructionsTabelleberschrift"/>
                <w:rFonts w:asciiTheme="minorHAnsi" w:hAnsiTheme="minorHAnsi"/>
                <w:b w:val="0"/>
                <w:bCs w:val="0"/>
                <w:u w:val="none"/>
              </w:rPr>
              <w:t xml:space="preserve">ude customers that </w:t>
            </w:r>
            <w:r w:rsidR="00495169">
              <w:rPr>
                <w:rStyle w:val="InstructionsTabelleberschrift"/>
                <w:rFonts w:asciiTheme="minorHAnsi" w:hAnsiTheme="minorHAnsi"/>
                <w:b w:val="0"/>
                <w:bCs w:val="0"/>
                <w:u w:val="none"/>
              </w:rPr>
              <w:t>bought</w:t>
            </w:r>
            <w:r w:rsidR="00491899">
              <w:rPr>
                <w:rStyle w:val="InstructionsTabelleberschrift"/>
                <w:rFonts w:asciiTheme="minorHAnsi" w:hAnsiTheme="minorHAnsi"/>
                <w:b w:val="0"/>
                <w:bCs w:val="0"/>
                <w:u w:val="none"/>
              </w:rPr>
              <w:t xml:space="preserve"> </w:t>
            </w:r>
            <w:r w:rsidR="00062FC6">
              <w:rPr>
                <w:rStyle w:val="InstructionsTabelleberschrift"/>
                <w:rFonts w:asciiTheme="minorHAnsi" w:hAnsiTheme="minorHAnsi"/>
                <w:b w:val="0"/>
                <w:bCs w:val="0"/>
                <w:u w:val="none"/>
              </w:rPr>
              <w:t>or were issued</w:t>
            </w:r>
            <w:r w:rsidR="00491899">
              <w:rPr>
                <w:rStyle w:val="InstructionsTabelleberschrift"/>
                <w:rFonts w:asciiTheme="minorHAnsi" w:hAnsiTheme="minorHAnsi"/>
                <w:b w:val="0"/>
                <w:bCs w:val="0"/>
                <w:u w:val="none"/>
              </w:rPr>
              <w:t xml:space="preserve"> a prepaid card during the reference year, but didn</w:t>
            </w:r>
            <w:r w:rsidR="00984BC2">
              <w:rPr>
                <w:rStyle w:val="InstructionsTabelleberschrift"/>
                <w:rFonts w:ascii="Aptos" w:hAnsi="Aptos" w:cs="Aptos"/>
                <w:b w:val="0"/>
                <w:bCs w:val="0"/>
                <w:u w:val="none"/>
              </w:rPr>
              <w:t>’</w:t>
            </w:r>
            <w:r w:rsidR="00491899">
              <w:rPr>
                <w:rStyle w:val="InstructionsTabelleberschrift"/>
                <w:rFonts w:asciiTheme="minorHAnsi" w:hAnsiTheme="minorHAnsi"/>
                <w:b w:val="0"/>
                <w:bCs w:val="0"/>
                <w:u w:val="none"/>
              </w:rPr>
              <w:t>t use it during the reference year.</w:t>
            </w:r>
          </w:p>
        </w:tc>
      </w:tr>
      <w:tr w:rsidR="005E211E" w:rsidRPr="009B282E" w14:paraId="67E5FB55" w14:textId="77777777" w:rsidTr="0A7DBE6E">
        <w:tc>
          <w:tcPr>
            <w:tcW w:w="1673" w:type="dxa"/>
            <w:tcBorders>
              <w:top w:val="single" w:sz="4" w:space="0" w:color="auto"/>
              <w:left w:val="single" w:sz="4" w:space="0" w:color="auto"/>
              <w:bottom w:val="single" w:sz="4" w:space="0" w:color="auto"/>
              <w:right w:val="single" w:sz="4" w:space="0" w:color="auto"/>
            </w:tcBorders>
          </w:tcPr>
          <w:p w14:paraId="66856EE3" w14:textId="607A74E3" w:rsidR="0A7DBE6E" w:rsidRPr="000D213F" w:rsidRDefault="0A7DBE6E" w:rsidP="0A7DBE6E">
            <w:pPr>
              <w:spacing w:before="0" w:after="0"/>
              <w:rPr>
                <w:rFonts w:asciiTheme="minorHAnsi" w:eastAsia="Calibri" w:hAnsiTheme="minorHAnsi" w:cs="Calibri"/>
                <w:color w:val="000000" w:themeColor="text1"/>
                <w:sz w:val="20"/>
              </w:rPr>
            </w:pPr>
            <w:r w:rsidRPr="000D213F">
              <w:rPr>
                <w:rFonts w:asciiTheme="minorHAnsi" w:eastAsia="Calibri" w:hAnsiTheme="minorHAnsi" w:cs="Calibri"/>
                <w:color w:val="000000" w:themeColor="text1"/>
                <w:sz w:val="20"/>
              </w:rPr>
              <w:t>C0050</w:t>
            </w:r>
          </w:p>
        </w:tc>
        <w:tc>
          <w:tcPr>
            <w:tcW w:w="7616" w:type="dxa"/>
            <w:tcBorders>
              <w:top w:val="single" w:sz="4" w:space="0" w:color="auto"/>
              <w:left w:val="nil"/>
              <w:bottom w:val="single" w:sz="8" w:space="0" w:color="auto"/>
              <w:right w:val="single" w:sz="4" w:space="0" w:color="auto"/>
            </w:tcBorders>
            <w:vAlign w:val="center"/>
          </w:tcPr>
          <w:p w14:paraId="081BB5A9" w14:textId="77777777" w:rsidR="00491899" w:rsidRDefault="00491899" w:rsidP="00B07022">
            <w:pPr>
              <w:pStyle w:val="InstructionsText2"/>
              <w:rPr>
                <w:rFonts w:asciiTheme="minorHAnsi" w:hAnsiTheme="minorHAnsi"/>
                <w:sz w:val="20"/>
                <w:lang w:val="en-US"/>
              </w:rPr>
            </w:pPr>
            <w:r w:rsidRPr="00BA3C50">
              <w:rPr>
                <w:rFonts w:ascii="Aptos" w:hAnsi="Aptos"/>
                <w:b/>
                <w:sz w:val="20"/>
                <w:u w:val="single"/>
                <w:lang w:val="en-US"/>
              </w:rPr>
              <w:t>Customers with Multiple Prepaid Cards (&gt;3)</w:t>
            </w:r>
          </w:p>
          <w:p w14:paraId="646092A0" w14:textId="18FBCDA2" w:rsidR="00241D2C" w:rsidRPr="00241D2C" w:rsidRDefault="008E20F0" w:rsidP="00866A47">
            <w:pPr>
              <w:pStyle w:val="InstructionsText2"/>
              <w:rPr>
                <w:rStyle w:val="InstructionsTabelleberschrift"/>
                <w:rFonts w:asciiTheme="minorHAnsi" w:hAnsiTheme="minorHAnsi"/>
                <w:b w:val="0"/>
                <w:bCs w:val="0"/>
                <w:u w:val="none"/>
              </w:rPr>
            </w:pPr>
            <w:r>
              <w:rPr>
                <w:rStyle w:val="InstructionsTabelleberschrift"/>
                <w:rFonts w:asciiTheme="minorHAnsi" w:hAnsiTheme="minorHAnsi"/>
                <w:b w:val="0"/>
                <w:bCs w:val="0"/>
                <w:u w:val="none"/>
              </w:rPr>
              <w:t>Ind</w:t>
            </w:r>
            <w:r w:rsidR="007D78CD" w:rsidRPr="00BA007F">
              <w:rPr>
                <w:rStyle w:val="InstructionsTabelleberschrift"/>
                <w:rFonts w:asciiTheme="minorHAnsi" w:hAnsiTheme="minorHAnsi"/>
                <w:b w:val="0"/>
                <w:bCs w:val="0"/>
                <w:u w:val="none"/>
              </w:rPr>
              <w:t xml:space="preserve">icate the total number of customers using </w:t>
            </w:r>
            <w:r w:rsidR="00051CC4">
              <w:rPr>
                <w:rStyle w:val="InstructionsTabelleberschrift"/>
                <w:rFonts w:asciiTheme="minorHAnsi" w:hAnsiTheme="minorHAnsi"/>
                <w:b w:val="0"/>
                <w:bCs w:val="0"/>
                <w:u w:val="none"/>
              </w:rPr>
              <w:t xml:space="preserve">(more than </w:t>
            </w:r>
            <w:r w:rsidR="002B0118">
              <w:rPr>
                <w:rStyle w:val="InstructionsTabelleberschrift"/>
                <w:rFonts w:asciiTheme="minorHAnsi" w:hAnsiTheme="minorHAnsi"/>
                <w:b w:val="0"/>
                <w:bCs w:val="0"/>
                <w:u w:val="none"/>
              </w:rPr>
              <w:t xml:space="preserve">3) </w:t>
            </w:r>
            <w:r w:rsidR="007D78CD" w:rsidRPr="00BA007F">
              <w:rPr>
                <w:rStyle w:val="InstructionsTabelleberschrift"/>
                <w:rFonts w:asciiTheme="minorHAnsi" w:hAnsiTheme="minorHAnsi"/>
                <w:b w:val="0"/>
                <w:bCs w:val="0"/>
                <w:u w:val="none"/>
              </w:rPr>
              <w:t xml:space="preserve">pre-paid cards during the reference year. </w:t>
            </w:r>
            <w:r w:rsidR="00491899">
              <w:rPr>
                <w:rFonts w:asciiTheme="minorHAnsi" w:hAnsiTheme="minorHAnsi"/>
                <w:sz w:val="20"/>
                <w:lang w:val="en-US"/>
              </w:rPr>
              <w:t xml:space="preserve">Using customers also include customers that </w:t>
            </w:r>
            <w:r w:rsidR="00E506BF">
              <w:rPr>
                <w:rFonts w:asciiTheme="minorHAnsi" w:hAnsiTheme="minorHAnsi"/>
                <w:sz w:val="20"/>
                <w:lang w:val="en-US"/>
              </w:rPr>
              <w:t>bought</w:t>
            </w:r>
            <w:r w:rsidR="00491899">
              <w:rPr>
                <w:rFonts w:asciiTheme="minorHAnsi" w:hAnsiTheme="minorHAnsi"/>
                <w:sz w:val="20"/>
                <w:lang w:val="en-US"/>
              </w:rPr>
              <w:t xml:space="preserve"> </w:t>
            </w:r>
            <w:r w:rsidR="00062FC6">
              <w:rPr>
                <w:rFonts w:asciiTheme="minorHAnsi" w:hAnsiTheme="minorHAnsi"/>
                <w:sz w:val="20"/>
                <w:lang w:val="en-US"/>
              </w:rPr>
              <w:t>or were issued</w:t>
            </w:r>
            <w:r w:rsidR="00491899">
              <w:rPr>
                <w:rFonts w:asciiTheme="minorHAnsi" w:hAnsiTheme="minorHAnsi"/>
                <w:sz w:val="20"/>
                <w:lang w:val="en-US"/>
              </w:rPr>
              <w:t xml:space="preserve"> a prepaid card during the reference year, but didn</w:t>
            </w:r>
            <w:r w:rsidR="00984BC2">
              <w:rPr>
                <w:rFonts w:ascii="Aptos" w:hAnsi="Aptos" w:cs="Aptos"/>
                <w:sz w:val="20"/>
                <w:lang w:val="en-US"/>
              </w:rPr>
              <w:t>’</w:t>
            </w:r>
            <w:r w:rsidR="00491899">
              <w:rPr>
                <w:rFonts w:asciiTheme="minorHAnsi" w:hAnsiTheme="minorHAnsi"/>
                <w:sz w:val="20"/>
                <w:lang w:val="en-US"/>
              </w:rPr>
              <w:t>t use it during the reference year.</w:t>
            </w:r>
          </w:p>
        </w:tc>
      </w:tr>
    </w:tbl>
    <w:p w14:paraId="2D714BA6" w14:textId="1834FC33" w:rsidR="00695201" w:rsidRDefault="5E9416FF" w:rsidP="00CB14A2">
      <w:pPr>
        <w:pStyle w:val="Heading3"/>
        <w:rPr>
          <w:lang w:val="en-GB"/>
        </w:rPr>
      </w:pPr>
      <w:bookmarkStart w:id="115" w:name="_Toc223018898"/>
      <w:bookmarkStart w:id="116" w:name="_Toc223021696"/>
      <w:bookmarkStart w:id="117" w:name="_Toc223086545"/>
      <w:bookmarkStart w:id="118" w:name="_Toc223086639"/>
      <w:bookmarkStart w:id="119" w:name="_Toc223086733"/>
      <w:bookmarkStart w:id="120" w:name="_Toc223086827"/>
      <w:bookmarkStart w:id="121" w:name="_Toc221355971"/>
      <w:bookmarkStart w:id="122" w:name="_Toc223104837"/>
      <w:bookmarkEnd w:id="115"/>
      <w:bookmarkEnd w:id="116"/>
      <w:bookmarkEnd w:id="117"/>
      <w:bookmarkEnd w:id="118"/>
      <w:bookmarkEnd w:id="119"/>
      <w:bookmarkEnd w:id="120"/>
      <w:r w:rsidRPr="009B282E">
        <w:rPr>
          <w:lang w:val="en-GB"/>
        </w:rPr>
        <w:t xml:space="preserve">AML.03.04 </w:t>
      </w:r>
      <w:r w:rsidR="009A4591">
        <w:rPr>
          <w:lang w:val="en-GB"/>
        </w:rPr>
        <w:t>Lending</w:t>
      </w:r>
      <w:r w:rsidR="00734FE4" w:rsidRPr="009B282E">
        <w:rPr>
          <w:lang w:val="en-GB"/>
        </w:rPr>
        <w:t xml:space="preserve"> and Factoring</w:t>
      </w:r>
      <w:bookmarkEnd w:id="121"/>
      <w:bookmarkEnd w:id="122"/>
    </w:p>
    <w:p w14:paraId="186A288F" w14:textId="77777777" w:rsidR="006B6D53" w:rsidRPr="0072311B" w:rsidRDefault="006B6D53" w:rsidP="006B6D53">
      <w:pPr>
        <w:rPr>
          <w:rFonts w:asciiTheme="minorHAnsi" w:hAnsiTheme="minorHAnsi"/>
          <w:b/>
          <w:bCs/>
          <w:iCs/>
        </w:rPr>
      </w:pPr>
      <w:bookmarkStart w:id="123" w:name="_Hlk222854419"/>
      <w:r w:rsidRPr="0072311B">
        <w:rPr>
          <w:rFonts w:asciiTheme="minorHAnsi" w:hAnsiTheme="minorHAnsi"/>
          <w:b/>
          <w:bCs/>
          <w:iCs/>
        </w:rPr>
        <w:t>Template Remarks</w:t>
      </w:r>
    </w:p>
    <w:p w14:paraId="79B60553" w14:textId="13179308" w:rsidR="000927A1" w:rsidRPr="0040760A" w:rsidRDefault="006B6D53" w:rsidP="00256BE1">
      <w:pPr>
        <w:rPr>
          <w:lang w:val="en-GB"/>
        </w:rPr>
      </w:pPr>
      <w:r w:rsidRPr="0072311B">
        <w:rPr>
          <w:rFonts w:asciiTheme="minorHAnsi" w:hAnsiTheme="minorHAnsi"/>
          <w:lang w:val="en-GB"/>
        </w:rPr>
        <w:t xml:space="preserve">Fill out this template if you </w:t>
      </w:r>
      <w:r w:rsidRPr="0072311B">
        <w:rPr>
          <w:rFonts w:asciiTheme="minorHAnsi" w:hAnsiTheme="minorHAnsi"/>
        </w:rPr>
        <w:t xml:space="preserve">offer some of these services and/or products, normally this template is applicable for CI and </w:t>
      </w:r>
      <w:r>
        <w:rPr>
          <w:rFonts w:asciiTheme="minorHAnsi" w:hAnsiTheme="minorHAnsi"/>
        </w:rPr>
        <w:t>CP</w:t>
      </w:r>
      <w:r w:rsidRPr="0072311B">
        <w:rPr>
          <w:rFonts w:asciiTheme="minorHAnsi" w:hAnsiTheme="minorHAnsi"/>
        </w:rPr>
        <w:t>.</w:t>
      </w:r>
      <w:bookmarkEnd w:id="123"/>
    </w:p>
    <w:p w14:paraId="467998F3" w14:textId="77777777" w:rsidR="00F154BB" w:rsidRDefault="00256BE1" w:rsidP="00256BE1">
      <w:pPr>
        <w:rPr>
          <w:rFonts w:asciiTheme="minorHAnsi" w:hAnsiTheme="minorHAnsi"/>
          <w:lang w:val="en-GB"/>
        </w:rPr>
      </w:pPr>
      <w:r w:rsidRPr="00233710">
        <w:rPr>
          <w:rFonts w:asciiTheme="minorHAnsi" w:hAnsiTheme="minorHAnsi"/>
          <w:lang w:val="en-GB"/>
        </w:rPr>
        <w:t>An outstanding loan refers to the portion of a loan that remains unpaid by the borrower at a given point in time</w:t>
      </w:r>
      <w:r w:rsidR="009424E3">
        <w:rPr>
          <w:rFonts w:asciiTheme="minorHAnsi" w:hAnsiTheme="minorHAnsi"/>
          <w:lang w:val="en-GB"/>
        </w:rPr>
        <w:t>; the outstanding principal (</w:t>
      </w:r>
      <w:r w:rsidR="00BA2411">
        <w:rPr>
          <w:rFonts w:asciiTheme="minorHAnsi" w:hAnsiTheme="minorHAnsi"/>
          <w:lang w:val="en-GB"/>
        </w:rPr>
        <w:t>drawn amounts only)</w:t>
      </w:r>
      <w:r w:rsidR="00440FA2">
        <w:rPr>
          <w:rFonts w:asciiTheme="minorHAnsi" w:hAnsiTheme="minorHAnsi"/>
          <w:lang w:val="en-GB"/>
        </w:rPr>
        <w:t xml:space="preserve">. Overdrafts, guarantees and undrawn committed lines are </w:t>
      </w:r>
      <w:r w:rsidR="008E6935">
        <w:rPr>
          <w:rFonts w:asciiTheme="minorHAnsi" w:hAnsiTheme="minorHAnsi"/>
          <w:lang w:val="en-GB"/>
        </w:rPr>
        <w:t xml:space="preserve">thus </w:t>
      </w:r>
      <w:r w:rsidR="00440FA2">
        <w:rPr>
          <w:rFonts w:asciiTheme="minorHAnsi" w:hAnsiTheme="minorHAnsi"/>
          <w:lang w:val="en-GB"/>
        </w:rPr>
        <w:t>not included.</w:t>
      </w:r>
    </w:p>
    <w:p w14:paraId="453010AF" w14:textId="7654B7F5" w:rsidR="00E97164" w:rsidRDefault="00F154BB" w:rsidP="00256BE1">
      <w:pPr>
        <w:rPr>
          <w:rFonts w:asciiTheme="minorHAnsi" w:hAnsiTheme="minorHAnsi"/>
        </w:rPr>
      </w:pPr>
      <w:r w:rsidRPr="3129DC11">
        <w:rPr>
          <w:rFonts w:asciiTheme="minorHAnsi" w:hAnsiTheme="minorHAnsi"/>
        </w:rPr>
        <w:t>Facoring</w:t>
      </w:r>
      <w:r w:rsidR="002926C1" w:rsidRPr="3129DC11">
        <w:rPr>
          <w:rFonts w:asciiTheme="minorHAnsi" w:hAnsiTheme="minorHAnsi"/>
        </w:rPr>
        <w:t>, Leasing</w:t>
      </w:r>
      <w:r w:rsidR="001B3F4F" w:rsidRPr="3129DC11">
        <w:rPr>
          <w:rFonts w:asciiTheme="minorHAnsi" w:hAnsiTheme="minorHAnsi"/>
        </w:rPr>
        <w:t>, written off loans (with repayment activity)</w:t>
      </w:r>
      <w:r w:rsidR="00BD70D0" w:rsidRPr="3129DC11">
        <w:rPr>
          <w:rFonts w:asciiTheme="minorHAnsi" w:hAnsiTheme="minorHAnsi"/>
        </w:rPr>
        <w:t>, non performing loans</w:t>
      </w:r>
      <w:r w:rsidR="00971C46" w:rsidRPr="3129DC11">
        <w:rPr>
          <w:rFonts w:asciiTheme="minorHAnsi" w:hAnsiTheme="minorHAnsi"/>
        </w:rPr>
        <w:t xml:space="preserve"> should be included</w:t>
      </w:r>
      <w:r w:rsidR="002F2C37" w:rsidRPr="3129DC11">
        <w:rPr>
          <w:rFonts w:asciiTheme="minorHAnsi" w:hAnsiTheme="minorHAnsi"/>
        </w:rPr>
        <w:t>.</w:t>
      </w:r>
      <w:r w:rsidR="00162DD2">
        <w:rPr>
          <w:rFonts w:asciiTheme="minorHAnsi" w:hAnsiTheme="minorHAnsi"/>
        </w:rPr>
        <w:t xml:space="preserve"> </w:t>
      </w:r>
    </w:p>
    <w:p w14:paraId="386DB33B" w14:textId="3E3A0E6F" w:rsidR="00816982" w:rsidRDefault="00816982" w:rsidP="00E7642A">
      <w:pPr>
        <w:rPr>
          <w:rFonts w:asciiTheme="minorHAnsi" w:hAnsiTheme="minorHAnsi"/>
        </w:rPr>
      </w:pPr>
      <w:r w:rsidRPr="00454907">
        <w:rPr>
          <w:rFonts w:asciiTheme="minorHAnsi" w:hAnsiTheme="minorHAnsi"/>
        </w:rPr>
        <w:t>Credit agreements which are secured either by a mortgage or by another comparable security commonly used in a Member State on immovable property or secured by a right related to immovable property are excluded</w:t>
      </w:r>
      <w:r>
        <w:rPr>
          <w:rFonts w:asciiTheme="minorHAnsi" w:hAnsiTheme="minorHAnsi"/>
        </w:rPr>
        <w:t xml:space="preserve"> (except for</w:t>
      </w:r>
      <w:r w:rsidR="00737EEF">
        <w:rPr>
          <w:rFonts w:asciiTheme="minorHAnsi" w:hAnsiTheme="minorHAnsi"/>
        </w:rPr>
        <w:t xml:space="preserve"> datapoints </w:t>
      </w:r>
      <w:r>
        <w:rPr>
          <w:rFonts w:asciiTheme="minorHAnsi" w:hAnsiTheme="minorHAnsi"/>
        </w:rPr>
        <w:t>C0030 and C0040</w:t>
      </w:r>
      <w:r w:rsidR="003B0F3C">
        <w:rPr>
          <w:rFonts w:asciiTheme="minorHAnsi" w:hAnsiTheme="minorHAnsi"/>
        </w:rPr>
        <w:t xml:space="preserve"> in this template</w:t>
      </w:r>
      <w:r>
        <w:rPr>
          <w:rFonts w:asciiTheme="minorHAnsi" w:hAnsiTheme="minorHAnsi"/>
        </w:rPr>
        <w:t>)</w:t>
      </w:r>
      <w:r w:rsidR="00737EEF">
        <w:rPr>
          <w:rFonts w:asciiTheme="minorHAnsi" w:hAnsiTheme="minorHAnsi"/>
        </w:rPr>
        <w:t>.</w:t>
      </w:r>
    </w:p>
    <w:p w14:paraId="65C3A763" w14:textId="506B9D86" w:rsidR="00E7642A" w:rsidRDefault="00E7642A" w:rsidP="00E7642A">
      <w:pPr>
        <w:rPr>
          <w:rFonts w:asciiTheme="minorHAnsi" w:hAnsiTheme="minorHAnsi"/>
        </w:rPr>
      </w:pPr>
      <w:r w:rsidRPr="00E7642A">
        <w:rPr>
          <w:rFonts w:asciiTheme="minorHAnsi" w:hAnsiTheme="minorHAnsi"/>
        </w:rPr>
        <w:t xml:space="preserve">Credit cards with a credit facility </w:t>
      </w:r>
      <w:r w:rsidR="008C3A18">
        <w:rPr>
          <w:rFonts w:asciiTheme="minorHAnsi" w:hAnsiTheme="minorHAnsi"/>
        </w:rPr>
        <w:t xml:space="preserve">and similar products </w:t>
      </w:r>
      <w:r w:rsidR="00C02916">
        <w:rPr>
          <w:rFonts w:asciiTheme="minorHAnsi" w:hAnsiTheme="minorHAnsi"/>
        </w:rPr>
        <w:t xml:space="preserve">(e.g. credit invoice facilities) </w:t>
      </w:r>
      <w:r w:rsidRPr="00E7642A">
        <w:rPr>
          <w:rFonts w:asciiTheme="minorHAnsi" w:hAnsiTheme="minorHAnsi"/>
        </w:rPr>
        <w:t>are excluded</w:t>
      </w:r>
      <w:r w:rsidR="008C3A18">
        <w:rPr>
          <w:rFonts w:asciiTheme="minorHAnsi" w:hAnsiTheme="minorHAnsi"/>
        </w:rPr>
        <w:t xml:space="preserve"> from this template. </w:t>
      </w:r>
    </w:p>
    <w:p w14:paraId="28D4C836" w14:textId="43506FC0" w:rsidR="00145DD5" w:rsidRDefault="009A2DBC" w:rsidP="00E7642A">
      <w:pPr>
        <w:rPr>
          <w:rFonts w:asciiTheme="minorHAnsi" w:hAnsiTheme="minorHAnsi"/>
        </w:rPr>
      </w:pPr>
      <w:r>
        <w:rPr>
          <w:rFonts w:asciiTheme="minorHAnsi" w:hAnsiTheme="minorHAnsi"/>
        </w:rPr>
        <w:t>Intra group loans should be excluded</w:t>
      </w:r>
    </w:p>
    <w:p w14:paraId="16B086CF" w14:textId="77777777" w:rsidR="00EB1C0A" w:rsidRPr="00EB1C0A" w:rsidRDefault="00EB1C0A" w:rsidP="00EB1C0A">
      <w:pPr>
        <w:rPr>
          <w:rFonts w:asciiTheme="minorHAnsi" w:hAnsiTheme="minorHAnsi"/>
          <w:lang w:val="en-IE"/>
        </w:rPr>
      </w:pPr>
      <w:r w:rsidRPr="00EB1C0A">
        <w:rPr>
          <w:rFonts w:asciiTheme="minorHAnsi" w:hAnsiTheme="minorHAnsi"/>
          <w:lang w:val="en-IE"/>
        </w:rPr>
        <w:t>Reporting must align with the entity that legally books the loan (regardless of customer relationship management).</w:t>
      </w:r>
    </w:p>
    <w:tbl>
      <w:tblPr>
        <w:tblW w:w="92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3"/>
        <w:gridCol w:w="7616"/>
      </w:tblGrid>
      <w:tr w:rsidR="005E211E" w:rsidRPr="009B282E" w14:paraId="58B01554" w14:textId="77777777" w:rsidTr="5A726F5A">
        <w:tc>
          <w:tcPr>
            <w:tcW w:w="16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F198E3" w14:textId="77777777" w:rsidR="008328FA" w:rsidRPr="009275BC" w:rsidRDefault="008328FA" w:rsidP="00F32516">
            <w:pPr>
              <w:pStyle w:val="InstructionsText"/>
              <w:rPr>
                <w:rStyle w:val="InstructionsTabelleText"/>
                <w:rFonts w:asciiTheme="minorHAnsi" w:hAnsiTheme="minorHAnsi"/>
                <w:bCs w:val="0"/>
                <w:lang w:eastAsia="en-US"/>
              </w:rPr>
            </w:pPr>
            <w:r w:rsidRPr="009275BC">
              <w:rPr>
                <w:rStyle w:val="InstructionsTabelleText"/>
                <w:rFonts w:asciiTheme="minorHAnsi" w:hAnsiTheme="minorHAnsi"/>
              </w:rPr>
              <w:t>Column code</w:t>
            </w:r>
          </w:p>
        </w:tc>
        <w:tc>
          <w:tcPr>
            <w:tcW w:w="76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832F08" w14:textId="77777777" w:rsidR="008328FA" w:rsidRPr="009275BC" w:rsidRDefault="008328FA" w:rsidP="00F32516">
            <w:pPr>
              <w:pStyle w:val="InstructionsText"/>
              <w:rPr>
                <w:rStyle w:val="InstructionsTabelleText"/>
                <w:rFonts w:asciiTheme="minorHAnsi" w:hAnsiTheme="minorHAnsi"/>
                <w:bCs w:val="0"/>
                <w:lang w:eastAsia="en-US"/>
              </w:rPr>
            </w:pPr>
            <w:r w:rsidRPr="009275BC">
              <w:rPr>
                <w:rStyle w:val="InstructionsTabelleText"/>
                <w:rFonts w:asciiTheme="minorHAnsi" w:hAnsiTheme="minorHAnsi"/>
              </w:rPr>
              <w:t>Legal references and instructions</w:t>
            </w:r>
          </w:p>
        </w:tc>
      </w:tr>
      <w:tr w:rsidR="005E211E" w:rsidRPr="009B282E" w14:paraId="7E68864B" w14:textId="77777777" w:rsidTr="5A726F5A">
        <w:tc>
          <w:tcPr>
            <w:tcW w:w="1673" w:type="dxa"/>
            <w:tcBorders>
              <w:top w:val="single" w:sz="4" w:space="0" w:color="auto"/>
              <w:left w:val="single" w:sz="4" w:space="0" w:color="auto"/>
              <w:bottom w:val="single" w:sz="4" w:space="0" w:color="auto"/>
              <w:right w:val="single" w:sz="4" w:space="0" w:color="auto"/>
            </w:tcBorders>
          </w:tcPr>
          <w:p w14:paraId="66DEBF80" w14:textId="2FE7C6B2" w:rsidR="5A726F5A" w:rsidRPr="000D213F" w:rsidRDefault="5A726F5A" w:rsidP="5A726F5A">
            <w:pPr>
              <w:spacing w:before="0" w:after="0"/>
              <w:rPr>
                <w:rFonts w:asciiTheme="minorHAnsi" w:eastAsia="Calibri" w:hAnsiTheme="minorHAnsi" w:cs="Calibri"/>
                <w:color w:val="000000" w:themeColor="text1"/>
                <w:sz w:val="20"/>
              </w:rPr>
            </w:pPr>
            <w:r w:rsidRPr="000D213F">
              <w:rPr>
                <w:rFonts w:asciiTheme="minorHAnsi" w:eastAsia="Calibri" w:hAnsiTheme="minorHAnsi" w:cs="Calibri"/>
                <w:color w:val="000000" w:themeColor="text1"/>
                <w:sz w:val="20"/>
              </w:rPr>
              <w:t>C0010</w:t>
            </w:r>
          </w:p>
        </w:tc>
        <w:tc>
          <w:tcPr>
            <w:tcW w:w="7616" w:type="dxa"/>
            <w:tcBorders>
              <w:top w:val="single" w:sz="8" w:space="0" w:color="auto"/>
              <w:left w:val="single" w:sz="4" w:space="0" w:color="auto"/>
              <w:bottom w:val="nil"/>
              <w:right w:val="single" w:sz="4" w:space="0" w:color="auto"/>
            </w:tcBorders>
            <w:vAlign w:val="center"/>
          </w:tcPr>
          <w:p w14:paraId="1DD261CD" w14:textId="240B05C1" w:rsidR="00491899" w:rsidRDefault="00491899" w:rsidP="00AD22E8">
            <w:pPr>
              <w:pStyle w:val="InstructionsText2"/>
              <w:rPr>
                <w:rStyle w:val="InstructionsTabelleberschrift"/>
                <w:rFonts w:asciiTheme="minorHAnsi" w:hAnsiTheme="minorHAnsi"/>
              </w:rPr>
            </w:pPr>
            <w:r w:rsidRPr="0096472A">
              <w:rPr>
                <w:rStyle w:val="InstructionsTabelleberschrift"/>
                <w:rFonts w:ascii="Aptos" w:hAnsi="Aptos"/>
              </w:rPr>
              <w:t xml:space="preserve">Outstanding Loans - </w:t>
            </w:r>
            <w:r w:rsidR="007E338C">
              <w:rPr>
                <w:rStyle w:val="InstructionsTabelleberschrift"/>
                <w:rFonts w:ascii="Aptos" w:hAnsi="Aptos"/>
              </w:rPr>
              <w:t>Number</w:t>
            </w:r>
          </w:p>
          <w:p w14:paraId="418054A0" w14:textId="6CF7BF2C" w:rsidR="00454907" w:rsidRDefault="00491899" w:rsidP="00816982">
            <w:pPr>
              <w:pStyle w:val="InstructionsText2"/>
              <w:rPr>
                <w:rStyle w:val="InstructionsTabelleberschrift"/>
                <w:rFonts w:asciiTheme="minorHAnsi" w:hAnsiTheme="minorHAnsi"/>
                <w:b w:val="0"/>
                <w:bCs w:val="0"/>
                <w:u w:val="none"/>
              </w:rPr>
            </w:pPr>
            <w:r w:rsidRPr="0096472A">
              <w:rPr>
                <w:rStyle w:val="InstructionsTabelleberschrift"/>
                <w:rFonts w:asciiTheme="minorHAnsi" w:hAnsiTheme="minorHAnsi"/>
                <w:b w:val="0"/>
                <w:bCs w:val="0"/>
                <w:u w:val="none"/>
              </w:rPr>
              <w:t xml:space="preserve">Indicate the status </w:t>
            </w:r>
            <w:r w:rsidR="007E338C" w:rsidRPr="0096472A">
              <w:rPr>
                <w:rStyle w:val="InstructionsTabelleberschrift"/>
                <w:rFonts w:asciiTheme="minorHAnsi" w:hAnsiTheme="minorHAnsi"/>
                <w:b w:val="0"/>
                <w:bCs w:val="0"/>
                <w:u w:val="none"/>
              </w:rPr>
              <w:t xml:space="preserve">of the total number of outstanding loans </w:t>
            </w:r>
            <w:r w:rsidRPr="0096472A">
              <w:rPr>
                <w:rStyle w:val="InstructionsTabelleberschrift"/>
                <w:rFonts w:asciiTheme="minorHAnsi" w:hAnsiTheme="minorHAnsi"/>
                <w:b w:val="0"/>
                <w:bCs w:val="0"/>
                <w:u w:val="none"/>
              </w:rPr>
              <w:t>as of end of the reference year.</w:t>
            </w:r>
            <w:r w:rsidR="00E90990">
              <w:rPr>
                <w:rStyle w:val="InstructionsTabelleberschrift"/>
                <w:rFonts w:asciiTheme="minorHAnsi" w:hAnsiTheme="minorHAnsi"/>
                <w:b w:val="0"/>
                <w:bCs w:val="0"/>
                <w:u w:val="none"/>
              </w:rPr>
              <w:t xml:space="preserve"> </w:t>
            </w:r>
          </w:p>
          <w:p w14:paraId="09D2FE0A" w14:textId="08378D30" w:rsidR="00454907" w:rsidRPr="0072311B" w:rsidRDefault="00E90990" w:rsidP="00816982">
            <w:pPr>
              <w:pStyle w:val="InstructionsText2"/>
              <w:rPr>
                <w:rStyle w:val="InstructionsTabelleberschrift"/>
                <w:rFonts w:asciiTheme="minorHAnsi" w:eastAsia="Cambria" w:hAnsiTheme="minorHAnsi"/>
                <w:b w:val="0"/>
                <w:u w:val="none"/>
                <w:lang w:val="en-US"/>
              </w:rPr>
            </w:pPr>
            <w:r>
              <w:rPr>
                <w:rStyle w:val="InstructionsTabelleberschrift"/>
                <w:rFonts w:asciiTheme="minorHAnsi" w:hAnsiTheme="minorHAnsi"/>
                <w:b w:val="0"/>
                <w:bCs w:val="0"/>
                <w:u w:val="none"/>
              </w:rPr>
              <w:t xml:space="preserve">Only count every loan </w:t>
            </w:r>
            <w:r w:rsidR="00344C5F">
              <w:rPr>
                <w:rStyle w:val="InstructionsTabelleberschrift"/>
                <w:rFonts w:asciiTheme="minorHAnsi" w:hAnsiTheme="minorHAnsi"/>
                <w:b w:val="0"/>
                <w:bCs w:val="0"/>
                <w:u w:val="none"/>
              </w:rPr>
              <w:t xml:space="preserve">once (even if there are more </w:t>
            </w:r>
            <w:r w:rsidR="00BB023F">
              <w:rPr>
                <w:rStyle w:val="InstructionsTabelleberschrift"/>
                <w:rFonts w:asciiTheme="minorHAnsi" w:hAnsiTheme="minorHAnsi"/>
                <w:b w:val="0"/>
                <w:bCs w:val="0"/>
                <w:u w:val="none"/>
              </w:rPr>
              <w:t>clients to one loan)</w:t>
            </w:r>
          </w:p>
        </w:tc>
      </w:tr>
      <w:tr w:rsidR="005E211E" w:rsidRPr="009B282E" w14:paraId="53665C93" w14:textId="77777777" w:rsidTr="5A726F5A">
        <w:tc>
          <w:tcPr>
            <w:tcW w:w="1673" w:type="dxa"/>
            <w:tcBorders>
              <w:top w:val="single" w:sz="4" w:space="0" w:color="auto"/>
              <w:left w:val="single" w:sz="4" w:space="0" w:color="auto"/>
              <w:bottom w:val="single" w:sz="4" w:space="0" w:color="auto"/>
              <w:right w:val="single" w:sz="4" w:space="0" w:color="auto"/>
            </w:tcBorders>
          </w:tcPr>
          <w:p w14:paraId="13FFB3D4" w14:textId="0A45A54E" w:rsidR="5A726F5A" w:rsidRPr="000D213F" w:rsidRDefault="5A726F5A" w:rsidP="5A726F5A">
            <w:pPr>
              <w:spacing w:before="0" w:after="0"/>
              <w:rPr>
                <w:rFonts w:asciiTheme="minorHAnsi" w:eastAsia="Calibri" w:hAnsiTheme="minorHAnsi" w:cs="Calibri"/>
                <w:color w:val="000000" w:themeColor="text1"/>
                <w:sz w:val="20"/>
              </w:rPr>
            </w:pPr>
            <w:r w:rsidRPr="000D213F">
              <w:rPr>
                <w:rFonts w:asciiTheme="minorHAnsi" w:eastAsia="Calibri" w:hAnsiTheme="minorHAnsi" w:cs="Calibri"/>
                <w:color w:val="000000" w:themeColor="text1"/>
                <w:sz w:val="20"/>
              </w:rPr>
              <w:t>C0020</w:t>
            </w:r>
          </w:p>
        </w:tc>
        <w:tc>
          <w:tcPr>
            <w:tcW w:w="7616" w:type="dxa"/>
            <w:tcBorders>
              <w:top w:val="single" w:sz="4" w:space="0" w:color="auto"/>
              <w:left w:val="single" w:sz="4" w:space="0" w:color="auto"/>
              <w:bottom w:val="nil"/>
              <w:right w:val="single" w:sz="4" w:space="0" w:color="auto"/>
            </w:tcBorders>
            <w:vAlign w:val="center"/>
          </w:tcPr>
          <w:p w14:paraId="414C5B04" w14:textId="77777777" w:rsidR="00491899" w:rsidRDefault="00491899" w:rsidP="00AD22E8">
            <w:pPr>
              <w:pStyle w:val="InstructionsText2"/>
              <w:rPr>
                <w:rStyle w:val="InstructionsTabelleberschrift"/>
                <w:rFonts w:asciiTheme="minorHAnsi" w:hAnsiTheme="minorHAnsi"/>
              </w:rPr>
            </w:pPr>
            <w:r w:rsidRPr="005374DB">
              <w:rPr>
                <w:rStyle w:val="InstructionsTabelleberschrift"/>
                <w:rFonts w:ascii="Aptos" w:hAnsi="Aptos"/>
              </w:rPr>
              <w:t>Outstanding Loans - Value</w:t>
            </w:r>
          </w:p>
          <w:p w14:paraId="6F921CC3" w14:textId="71A1612B" w:rsidR="00AD22E8" w:rsidRPr="00233710" w:rsidRDefault="00491899" w:rsidP="007E338C">
            <w:pPr>
              <w:pStyle w:val="InstructionsText2"/>
              <w:rPr>
                <w:rStyle w:val="InstructionsTabelleberschrift"/>
                <w:rFonts w:asciiTheme="minorHAnsi" w:hAnsiTheme="minorHAnsi"/>
              </w:rPr>
            </w:pPr>
            <w:r w:rsidRPr="005374DB">
              <w:rPr>
                <w:rStyle w:val="InstructionsTabelleberschrift"/>
                <w:rFonts w:asciiTheme="minorHAnsi" w:hAnsiTheme="minorHAnsi"/>
                <w:b w:val="0"/>
                <w:bCs w:val="0"/>
                <w:u w:val="none"/>
              </w:rPr>
              <w:t xml:space="preserve">Indicate the status </w:t>
            </w:r>
            <w:r w:rsidR="007E338C" w:rsidRPr="007E338C">
              <w:rPr>
                <w:rStyle w:val="InstructionsTabelleberschrift"/>
                <w:rFonts w:asciiTheme="minorHAnsi" w:hAnsiTheme="minorHAnsi"/>
                <w:b w:val="0"/>
                <w:bCs w:val="0"/>
                <w:u w:val="none"/>
              </w:rPr>
              <w:t>of the total value of outstanding loans</w:t>
            </w:r>
            <w:r w:rsidRPr="00841093">
              <w:rPr>
                <w:rStyle w:val="InstructionsTabelleberschrift"/>
                <w:rFonts w:asciiTheme="minorHAnsi" w:hAnsiTheme="minorHAnsi"/>
                <w:b w:val="0"/>
                <w:bCs w:val="0"/>
                <w:u w:val="none"/>
              </w:rPr>
              <w:t xml:space="preserve"> as of end of the reference year.</w:t>
            </w:r>
          </w:p>
        </w:tc>
      </w:tr>
      <w:tr w:rsidR="005E211E" w:rsidRPr="009B282E" w14:paraId="2A0C39AF" w14:textId="77777777" w:rsidTr="5A726F5A">
        <w:tc>
          <w:tcPr>
            <w:tcW w:w="1673" w:type="dxa"/>
            <w:tcBorders>
              <w:top w:val="single" w:sz="4" w:space="0" w:color="auto"/>
              <w:left w:val="single" w:sz="4" w:space="0" w:color="auto"/>
              <w:bottom w:val="single" w:sz="4" w:space="0" w:color="auto"/>
              <w:right w:val="single" w:sz="4" w:space="0" w:color="auto"/>
            </w:tcBorders>
          </w:tcPr>
          <w:p w14:paraId="71537F91" w14:textId="1919411A" w:rsidR="5A726F5A" w:rsidRPr="000D213F" w:rsidRDefault="5A726F5A" w:rsidP="5A726F5A">
            <w:pPr>
              <w:spacing w:before="0" w:after="0"/>
              <w:rPr>
                <w:rFonts w:asciiTheme="minorHAnsi" w:eastAsia="Calibri" w:hAnsiTheme="minorHAnsi" w:cs="Calibri"/>
                <w:color w:val="000000" w:themeColor="text1"/>
                <w:sz w:val="20"/>
              </w:rPr>
            </w:pPr>
            <w:r w:rsidRPr="000D213F">
              <w:rPr>
                <w:rFonts w:asciiTheme="minorHAnsi" w:eastAsia="Calibri" w:hAnsiTheme="minorHAnsi" w:cs="Calibri"/>
                <w:color w:val="000000" w:themeColor="text1"/>
                <w:sz w:val="20"/>
              </w:rPr>
              <w:t>C0030</w:t>
            </w:r>
          </w:p>
        </w:tc>
        <w:tc>
          <w:tcPr>
            <w:tcW w:w="7616" w:type="dxa"/>
            <w:tcBorders>
              <w:top w:val="single" w:sz="4" w:space="0" w:color="auto"/>
              <w:left w:val="single" w:sz="4" w:space="0" w:color="auto"/>
              <w:bottom w:val="nil"/>
              <w:right w:val="single" w:sz="4" w:space="0" w:color="auto"/>
            </w:tcBorders>
            <w:vAlign w:val="center"/>
          </w:tcPr>
          <w:p w14:paraId="20A86955" w14:textId="2E83CAF4" w:rsidR="00491899" w:rsidRDefault="00491899" w:rsidP="00AD22E8">
            <w:pPr>
              <w:pStyle w:val="InstructionsText2"/>
              <w:rPr>
                <w:rFonts w:asciiTheme="minorHAnsi" w:hAnsiTheme="minorHAnsi"/>
                <w:sz w:val="20"/>
                <w:lang w:val="en-US"/>
              </w:rPr>
            </w:pPr>
            <w:r w:rsidRPr="00841093">
              <w:rPr>
                <w:rFonts w:ascii="Aptos" w:hAnsi="Aptos"/>
                <w:b/>
                <w:sz w:val="20"/>
                <w:u w:val="single"/>
                <w:lang w:val="en-US"/>
              </w:rPr>
              <w:t>Outstanding Real Estate Loans</w:t>
            </w:r>
            <w:r w:rsidR="00B3616A">
              <w:rPr>
                <w:rFonts w:ascii="Aptos" w:hAnsi="Aptos"/>
                <w:b/>
                <w:sz w:val="20"/>
                <w:u w:val="single"/>
                <w:lang w:val="en-US"/>
              </w:rPr>
              <w:t xml:space="preserve"> </w:t>
            </w:r>
            <w:r w:rsidR="00D163F3">
              <w:rPr>
                <w:rFonts w:ascii="Aptos" w:hAnsi="Aptos"/>
                <w:b/>
                <w:sz w:val="20"/>
                <w:u w:val="single"/>
                <w:lang w:val="en-US"/>
              </w:rPr>
              <w:t>- Number</w:t>
            </w:r>
          </w:p>
          <w:p w14:paraId="6FA93C08" w14:textId="61CEFB4E" w:rsidR="00E71B39" w:rsidRDefault="007E338C" w:rsidP="00E71B39">
            <w:pPr>
              <w:pStyle w:val="InstructionsText2"/>
              <w:rPr>
                <w:rFonts w:asciiTheme="minorHAnsi" w:hAnsiTheme="minorHAnsi"/>
                <w:sz w:val="20"/>
                <w:szCs w:val="20"/>
                <w:lang w:val="en-US"/>
              </w:rPr>
            </w:pPr>
            <w:r w:rsidRPr="2C793A7B">
              <w:rPr>
                <w:rFonts w:asciiTheme="minorHAnsi" w:hAnsiTheme="minorHAnsi"/>
                <w:sz w:val="20"/>
                <w:szCs w:val="20"/>
                <w:lang w:val="en-US"/>
              </w:rPr>
              <w:t>Total number of o</w:t>
            </w:r>
            <w:r w:rsidR="000517CB" w:rsidRPr="2C793A7B">
              <w:rPr>
                <w:rFonts w:asciiTheme="minorHAnsi" w:hAnsiTheme="minorHAnsi"/>
                <w:sz w:val="20"/>
                <w:szCs w:val="20"/>
                <w:lang w:val="en-US"/>
              </w:rPr>
              <w:t>utstanding loans</w:t>
            </w:r>
            <w:r w:rsidR="00E71B39">
              <w:rPr>
                <w:rFonts w:asciiTheme="minorHAnsi" w:hAnsiTheme="minorHAnsi"/>
                <w:sz w:val="20"/>
                <w:szCs w:val="20"/>
                <w:lang w:val="en-US"/>
              </w:rPr>
              <w:t>/</w:t>
            </w:r>
            <w:r w:rsidR="00E71B39" w:rsidRPr="00454907">
              <w:rPr>
                <w:rFonts w:asciiTheme="minorHAnsi" w:hAnsiTheme="minorHAnsi"/>
                <w:sz w:val="20"/>
                <w:szCs w:val="20"/>
                <w:lang w:val="en-US"/>
              </w:rPr>
              <w:t>Credit agreements</w:t>
            </w:r>
            <w:r w:rsidR="000517CB" w:rsidRPr="2C793A7B">
              <w:rPr>
                <w:rFonts w:asciiTheme="minorHAnsi" w:hAnsiTheme="minorHAnsi"/>
                <w:sz w:val="20"/>
                <w:szCs w:val="20"/>
                <w:lang w:val="en-US"/>
              </w:rPr>
              <w:t xml:space="preserve"> </w:t>
            </w:r>
            <w:r w:rsidR="00F537CC" w:rsidRPr="2C793A7B">
              <w:rPr>
                <w:rFonts w:asciiTheme="minorHAnsi" w:hAnsiTheme="minorHAnsi"/>
                <w:sz w:val="20"/>
                <w:szCs w:val="20"/>
                <w:lang w:val="en-US"/>
              </w:rPr>
              <w:t xml:space="preserve">(partly or fully) </w:t>
            </w:r>
            <w:r w:rsidR="000517CB" w:rsidRPr="2C793A7B">
              <w:rPr>
                <w:rFonts w:asciiTheme="minorHAnsi" w:hAnsiTheme="minorHAnsi"/>
                <w:sz w:val="20"/>
                <w:szCs w:val="20"/>
                <w:lang w:val="en-US"/>
              </w:rPr>
              <w:t>secured</w:t>
            </w:r>
            <w:r w:rsidR="00E71B39" w:rsidRPr="00454907">
              <w:rPr>
                <w:rFonts w:asciiTheme="minorHAnsi" w:hAnsiTheme="minorHAnsi"/>
                <w:sz w:val="20"/>
                <w:lang w:val="en-US"/>
              </w:rPr>
              <w:t xml:space="preserve"> </w:t>
            </w:r>
            <w:r w:rsidR="00E71B39" w:rsidRPr="00454907">
              <w:rPr>
                <w:rFonts w:asciiTheme="minorHAnsi" w:hAnsiTheme="minorHAnsi"/>
                <w:sz w:val="20"/>
                <w:szCs w:val="20"/>
                <w:lang w:val="en-US"/>
              </w:rPr>
              <w:t xml:space="preserve">either by a mortgage or by another comparable security commonly used in a Member State on </w:t>
            </w:r>
            <w:r w:rsidR="007F7C8D">
              <w:rPr>
                <w:rFonts w:asciiTheme="minorHAnsi" w:hAnsiTheme="minorHAnsi"/>
                <w:sz w:val="20"/>
                <w:szCs w:val="20"/>
                <w:lang w:val="en-US"/>
              </w:rPr>
              <w:t xml:space="preserve">residential </w:t>
            </w:r>
            <w:r w:rsidR="006E14BD">
              <w:rPr>
                <w:rFonts w:asciiTheme="minorHAnsi" w:hAnsiTheme="minorHAnsi"/>
                <w:sz w:val="20"/>
                <w:szCs w:val="20"/>
                <w:lang w:val="en-US"/>
              </w:rPr>
              <w:t>real estate col</w:t>
            </w:r>
            <w:r w:rsidR="00DD5108">
              <w:rPr>
                <w:rFonts w:asciiTheme="minorHAnsi" w:hAnsiTheme="minorHAnsi"/>
                <w:sz w:val="20"/>
                <w:szCs w:val="20"/>
                <w:lang w:val="en-US"/>
              </w:rPr>
              <w:t xml:space="preserve">lateral </w:t>
            </w:r>
            <w:r w:rsidR="00E71B39" w:rsidRPr="00454907">
              <w:rPr>
                <w:rFonts w:asciiTheme="minorHAnsi" w:hAnsiTheme="minorHAnsi"/>
                <w:sz w:val="20"/>
                <w:szCs w:val="20"/>
                <w:lang w:val="en-US"/>
              </w:rPr>
              <w:t xml:space="preserve">or secured by a right related to </w:t>
            </w:r>
            <w:r w:rsidR="00DD5108">
              <w:rPr>
                <w:rFonts w:asciiTheme="minorHAnsi" w:hAnsiTheme="minorHAnsi"/>
                <w:sz w:val="20"/>
                <w:szCs w:val="20"/>
                <w:lang w:val="en-US"/>
              </w:rPr>
              <w:t xml:space="preserve">that </w:t>
            </w:r>
            <w:r w:rsidR="00E71B39" w:rsidRPr="00454907">
              <w:rPr>
                <w:rFonts w:asciiTheme="minorHAnsi" w:hAnsiTheme="minorHAnsi"/>
                <w:sz w:val="20"/>
                <w:szCs w:val="20"/>
                <w:lang w:val="en-US"/>
              </w:rPr>
              <w:t>immovable property</w:t>
            </w:r>
            <w:r w:rsidR="005F5EC3">
              <w:rPr>
                <w:rFonts w:asciiTheme="minorHAnsi" w:hAnsiTheme="minorHAnsi"/>
                <w:sz w:val="20"/>
                <w:szCs w:val="20"/>
                <w:lang w:val="en-US"/>
              </w:rPr>
              <w:t xml:space="preserve">, </w:t>
            </w:r>
            <w:r w:rsidR="005F5EC3" w:rsidRPr="005F5EC3">
              <w:rPr>
                <w:rFonts w:asciiTheme="minorHAnsi" w:hAnsiTheme="minorHAnsi"/>
                <w:sz w:val="20"/>
                <w:szCs w:val="20"/>
                <w:lang w:val="en-US"/>
              </w:rPr>
              <w:t>as of end of the reference year.</w:t>
            </w:r>
          </w:p>
          <w:p w14:paraId="64E093D1" w14:textId="189F70E7" w:rsidR="000B0B1E" w:rsidRDefault="00557A14" w:rsidP="0022007F">
            <w:pPr>
              <w:pStyle w:val="InstructionsText2"/>
              <w:rPr>
                <w:rFonts w:asciiTheme="minorHAnsi" w:hAnsiTheme="minorHAnsi"/>
                <w:sz w:val="20"/>
                <w:szCs w:val="20"/>
                <w:lang w:val="en-US"/>
              </w:rPr>
            </w:pPr>
            <w:r>
              <w:rPr>
                <w:rFonts w:asciiTheme="minorHAnsi" w:hAnsiTheme="minorHAnsi"/>
                <w:sz w:val="20"/>
                <w:szCs w:val="20"/>
                <w:lang w:val="en-US"/>
              </w:rPr>
              <w:t xml:space="preserve">In accordance with </w:t>
            </w:r>
            <w:r w:rsidR="0025005D">
              <w:rPr>
                <w:rFonts w:asciiTheme="minorHAnsi" w:hAnsiTheme="minorHAnsi"/>
                <w:sz w:val="20"/>
                <w:szCs w:val="20"/>
                <w:lang w:val="en-US"/>
              </w:rPr>
              <w:t xml:space="preserve">the </w:t>
            </w:r>
            <w:r w:rsidR="004333DF">
              <w:rPr>
                <w:rFonts w:asciiTheme="minorHAnsi" w:hAnsiTheme="minorHAnsi"/>
                <w:sz w:val="20"/>
                <w:szCs w:val="20"/>
                <w:lang w:val="en-US"/>
              </w:rPr>
              <w:t>meaning</w:t>
            </w:r>
            <w:r w:rsidR="004333DF" w:rsidRPr="2C793A7B">
              <w:rPr>
                <w:rFonts w:asciiTheme="minorHAnsi" w:hAnsiTheme="minorHAnsi"/>
                <w:sz w:val="20"/>
                <w:szCs w:val="20"/>
                <w:lang w:val="en-US"/>
              </w:rPr>
              <w:t xml:space="preserve"> </w:t>
            </w:r>
            <w:r w:rsidR="000517CB" w:rsidRPr="2C793A7B">
              <w:rPr>
                <w:rFonts w:asciiTheme="minorHAnsi" w:hAnsiTheme="minorHAnsi"/>
                <w:sz w:val="20"/>
                <w:szCs w:val="20"/>
                <w:lang w:val="en-US"/>
              </w:rPr>
              <w:t xml:space="preserve">of residential real estate </w:t>
            </w:r>
            <w:r w:rsidR="00B9668A">
              <w:rPr>
                <w:rFonts w:asciiTheme="minorHAnsi" w:hAnsiTheme="minorHAnsi"/>
                <w:sz w:val="20"/>
                <w:szCs w:val="20"/>
                <w:lang w:val="en-US"/>
              </w:rPr>
              <w:t>set out in the CRR</w:t>
            </w:r>
            <w:r w:rsidR="3725A6DE" w:rsidRPr="68B72268">
              <w:rPr>
                <w:rFonts w:asciiTheme="minorHAnsi" w:hAnsiTheme="minorHAnsi"/>
                <w:sz w:val="20"/>
                <w:szCs w:val="20"/>
                <w:lang w:val="en-US"/>
              </w:rPr>
              <w:t>,</w:t>
            </w:r>
            <w:r w:rsidR="00E14712" w:rsidRPr="00E14712">
              <w:rPr>
                <w:rFonts w:ascii="Aptos Light" w:eastAsia="Cambria" w:hAnsi="Aptos Light"/>
                <w:color w:val="262626" w:themeColor="text1" w:themeTint="D9"/>
                <w:kern w:val="20"/>
                <w:sz w:val="22"/>
                <w:szCs w:val="20"/>
                <w:lang w:val="en-US" w:eastAsia="ja-JP"/>
              </w:rPr>
              <w:t xml:space="preserve"> </w:t>
            </w:r>
            <w:r w:rsidR="00E14712" w:rsidRPr="00E14712">
              <w:rPr>
                <w:rFonts w:asciiTheme="minorHAnsi" w:hAnsiTheme="minorHAnsi"/>
                <w:sz w:val="20"/>
                <w:szCs w:val="20"/>
                <w:lang w:val="en-US"/>
              </w:rPr>
              <w:t xml:space="preserve">'residential property' means a residence which is occupied </w:t>
            </w:r>
            <w:r w:rsidR="005C4707">
              <w:rPr>
                <w:rFonts w:asciiTheme="minorHAnsi" w:hAnsiTheme="minorHAnsi"/>
                <w:sz w:val="20"/>
                <w:szCs w:val="20"/>
                <w:lang w:val="en-US"/>
              </w:rPr>
              <w:t>or intended to be occupied</w:t>
            </w:r>
            <w:r w:rsidR="00E14712" w:rsidRPr="00E14712">
              <w:rPr>
                <w:rFonts w:asciiTheme="minorHAnsi" w:hAnsiTheme="minorHAnsi"/>
                <w:sz w:val="20"/>
                <w:szCs w:val="20"/>
                <w:lang w:val="en-US"/>
              </w:rPr>
              <w:t xml:space="preserve"> by the owner of the residence, including the right to inhabit an apartment in housing cooperatives </w:t>
            </w:r>
            <w:r w:rsidR="004C1736">
              <w:rPr>
                <w:rFonts w:asciiTheme="minorHAnsi" w:hAnsiTheme="minorHAnsi"/>
                <w:sz w:val="20"/>
                <w:szCs w:val="20"/>
                <w:lang w:val="en-US"/>
              </w:rPr>
              <w:t>(</w:t>
            </w:r>
            <w:r w:rsidR="009A59FA">
              <w:rPr>
                <w:rFonts w:asciiTheme="minorHAnsi" w:hAnsiTheme="minorHAnsi"/>
                <w:sz w:val="20"/>
                <w:szCs w:val="20"/>
                <w:lang w:val="en-US"/>
              </w:rPr>
              <w:t>A</w:t>
            </w:r>
            <w:r w:rsidR="004C1736">
              <w:rPr>
                <w:rFonts w:asciiTheme="minorHAnsi" w:hAnsiTheme="minorHAnsi"/>
                <w:sz w:val="20"/>
                <w:szCs w:val="20"/>
                <w:lang w:val="en-US"/>
              </w:rPr>
              <w:t xml:space="preserve">rticle 4(1)(75) </w:t>
            </w:r>
            <w:r w:rsidR="00917071">
              <w:rPr>
                <w:rFonts w:asciiTheme="minorHAnsi" w:hAnsiTheme="minorHAnsi"/>
                <w:sz w:val="20"/>
                <w:szCs w:val="20"/>
                <w:lang w:val="en-US"/>
              </w:rPr>
              <w:t xml:space="preserve">of </w:t>
            </w:r>
            <w:r w:rsidR="00903D89">
              <w:rPr>
                <w:rFonts w:asciiTheme="minorHAnsi" w:hAnsiTheme="minorHAnsi"/>
                <w:sz w:val="20"/>
                <w:szCs w:val="20"/>
                <w:lang w:val="en-US"/>
              </w:rPr>
              <w:t xml:space="preserve">Regulation </w:t>
            </w:r>
            <w:r w:rsidR="004823C9">
              <w:rPr>
                <w:rFonts w:asciiTheme="minorHAnsi" w:hAnsiTheme="minorHAnsi"/>
                <w:sz w:val="20"/>
                <w:szCs w:val="20"/>
                <w:lang w:val="en-US"/>
              </w:rPr>
              <w:t>(</w:t>
            </w:r>
            <w:r w:rsidR="00917071">
              <w:rPr>
                <w:rFonts w:asciiTheme="minorHAnsi" w:hAnsiTheme="minorHAnsi"/>
                <w:sz w:val="20"/>
                <w:szCs w:val="20"/>
                <w:lang w:val="en-US"/>
              </w:rPr>
              <w:t>EU</w:t>
            </w:r>
            <w:r w:rsidR="00903D89">
              <w:rPr>
                <w:rFonts w:asciiTheme="minorHAnsi" w:hAnsiTheme="minorHAnsi"/>
                <w:sz w:val="20"/>
                <w:szCs w:val="20"/>
                <w:lang w:val="en-US"/>
              </w:rPr>
              <w:t>)</w:t>
            </w:r>
            <w:r w:rsidR="00917071">
              <w:rPr>
                <w:rFonts w:asciiTheme="minorHAnsi" w:hAnsiTheme="minorHAnsi"/>
                <w:sz w:val="20"/>
                <w:szCs w:val="20"/>
                <w:lang w:val="en-US"/>
              </w:rPr>
              <w:t xml:space="preserve"> 575</w:t>
            </w:r>
            <w:r w:rsidR="00B70D91">
              <w:rPr>
                <w:rFonts w:asciiTheme="minorHAnsi" w:hAnsiTheme="minorHAnsi"/>
                <w:sz w:val="20"/>
                <w:szCs w:val="20"/>
                <w:lang w:val="en-US"/>
              </w:rPr>
              <w:t>/2013 (CRR)</w:t>
            </w:r>
          </w:p>
          <w:p w14:paraId="56F9039B" w14:textId="3E425165" w:rsidR="00477346" w:rsidRPr="00386AF1" w:rsidRDefault="00477346" w:rsidP="0022007F">
            <w:pPr>
              <w:pStyle w:val="InstructionsText2"/>
              <w:rPr>
                <w:rStyle w:val="InstructionsTabelleberschrift"/>
                <w:rFonts w:asciiTheme="minorHAnsi" w:hAnsiTheme="minorHAnsi"/>
                <w:b w:val="0"/>
                <w:bCs w:val="0"/>
                <w:szCs w:val="20"/>
                <w:u w:val="none"/>
                <w:lang w:val="en-US"/>
              </w:rPr>
            </w:pPr>
            <w:r w:rsidRPr="0072311B">
              <w:rPr>
                <w:rFonts w:asciiTheme="minorHAnsi" w:hAnsiTheme="minorHAnsi"/>
                <w:sz w:val="20"/>
                <w:szCs w:val="20"/>
                <w:lang w:val="en-US"/>
              </w:rPr>
              <w:t>Exclude operating leases and pure leasing agreements not classified as loans</w:t>
            </w:r>
            <w:r>
              <w:rPr>
                <w:rFonts w:asciiTheme="minorHAnsi" w:hAnsiTheme="minorHAnsi"/>
                <w:sz w:val="20"/>
                <w:szCs w:val="20"/>
                <w:lang w:val="en-US"/>
              </w:rPr>
              <w:t>, and</w:t>
            </w:r>
            <w:r w:rsidRPr="00477346">
              <w:rPr>
                <w:rFonts w:asciiTheme="minorHAnsi" w:eastAsia="Cambria" w:hAnsiTheme="minorHAnsi"/>
                <w:color w:val="262626" w:themeColor="text1" w:themeTint="D9"/>
                <w:kern w:val="20"/>
                <w:sz w:val="20"/>
                <w:szCs w:val="20"/>
                <w:lang w:val="en-US" w:eastAsia="ja-JP"/>
              </w:rPr>
              <w:t xml:space="preserve"> </w:t>
            </w:r>
            <w:r w:rsidRPr="00477346">
              <w:rPr>
                <w:rFonts w:asciiTheme="minorHAnsi" w:hAnsiTheme="minorHAnsi"/>
                <w:sz w:val="20"/>
                <w:szCs w:val="20"/>
                <w:lang w:val="en-US"/>
              </w:rPr>
              <w:t>Commercial real estate loans</w:t>
            </w:r>
            <w:r>
              <w:rPr>
                <w:rFonts w:asciiTheme="minorHAnsi" w:hAnsiTheme="minorHAnsi"/>
                <w:sz w:val="20"/>
                <w:szCs w:val="20"/>
                <w:lang w:val="en-US"/>
              </w:rPr>
              <w:t xml:space="preserve">. </w:t>
            </w:r>
          </w:p>
        </w:tc>
      </w:tr>
      <w:tr w:rsidR="005E211E" w:rsidRPr="009B282E" w14:paraId="02468AAF" w14:textId="77777777" w:rsidTr="5A726F5A">
        <w:tc>
          <w:tcPr>
            <w:tcW w:w="1673" w:type="dxa"/>
            <w:tcBorders>
              <w:top w:val="single" w:sz="4" w:space="0" w:color="auto"/>
              <w:left w:val="single" w:sz="4" w:space="0" w:color="auto"/>
              <w:bottom w:val="single" w:sz="4" w:space="0" w:color="auto"/>
              <w:right w:val="single" w:sz="4" w:space="0" w:color="auto"/>
            </w:tcBorders>
          </w:tcPr>
          <w:p w14:paraId="64CB1604" w14:textId="3EF406B3" w:rsidR="5A726F5A" w:rsidRPr="000D213F" w:rsidRDefault="5A726F5A" w:rsidP="5A726F5A">
            <w:pPr>
              <w:spacing w:before="0" w:after="0"/>
              <w:rPr>
                <w:rFonts w:asciiTheme="minorHAnsi" w:eastAsia="Calibri" w:hAnsiTheme="minorHAnsi" w:cs="Calibri"/>
                <w:color w:val="000000" w:themeColor="text1"/>
                <w:sz w:val="20"/>
              </w:rPr>
            </w:pPr>
            <w:r w:rsidRPr="000D213F">
              <w:rPr>
                <w:rFonts w:asciiTheme="minorHAnsi" w:eastAsia="Calibri" w:hAnsiTheme="minorHAnsi" w:cs="Calibri"/>
                <w:color w:val="000000" w:themeColor="text1"/>
                <w:sz w:val="20"/>
              </w:rPr>
              <w:t>C0040</w:t>
            </w:r>
          </w:p>
        </w:tc>
        <w:tc>
          <w:tcPr>
            <w:tcW w:w="7616" w:type="dxa"/>
            <w:tcBorders>
              <w:top w:val="single" w:sz="4" w:space="0" w:color="auto"/>
              <w:left w:val="single" w:sz="4" w:space="0" w:color="auto"/>
              <w:bottom w:val="nil"/>
              <w:right w:val="single" w:sz="4" w:space="0" w:color="auto"/>
            </w:tcBorders>
            <w:vAlign w:val="center"/>
          </w:tcPr>
          <w:p w14:paraId="0FD37AE4" w14:textId="71EAB1D9" w:rsidR="00491899" w:rsidRDefault="00491899" w:rsidP="00AD22E8">
            <w:pPr>
              <w:pStyle w:val="InstructionsText2"/>
              <w:rPr>
                <w:rFonts w:asciiTheme="minorHAnsi" w:hAnsiTheme="minorHAnsi"/>
                <w:sz w:val="20"/>
                <w:szCs w:val="20"/>
                <w:lang w:val="en-IE"/>
              </w:rPr>
            </w:pPr>
            <w:r w:rsidRPr="00006DA0">
              <w:rPr>
                <w:rFonts w:ascii="Aptos" w:hAnsi="Aptos"/>
                <w:b/>
                <w:sz w:val="20"/>
                <w:szCs w:val="20"/>
                <w:u w:val="single"/>
                <w:lang w:val="en-IE"/>
              </w:rPr>
              <w:t>Real Estate Loans with Third-party Payments</w:t>
            </w:r>
            <w:r w:rsidR="00D163F3" w:rsidRPr="007B5388">
              <w:rPr>
                <w:rFonts w:ascii="Aptos" w:hAnsi="Aptos"/>
                <w:b/>
                <w:sz w:val="20"/>
                <w:szCs w:val="20"/>
                <w:u w:val="single"/>
                <w:lang w:val="en-IE"/>
              </w:rPr>
              <w:t xml:space="preserve"> </w:t>
            </w:r>
            <w:r w:rsidR="007B5388" w:rsidRPr="007B5388">
              <w:rPr>
                <w:rFonts w:ascii="Aptos" w:hAnsi="Aptos"/>
                <w:b/>
                <w:sz w:val="20"/>
                <w:szCs w:val="20"/>
                <w:u w:val="single"/>
                <w:lang w:val="en-IE"/>
              </w:rPr>
              <w:t>-</w:t>
            </w:r>
            <w:r w:rsidR="007B5388" w:rsidRPr="00386AF1">
              <w:rPr>
                <w:rFonts w:ascii="Aptos" w:hAnsi="Aptos"/>
                <w:b/>
                <w:sz w:val="20"/>
                <w:szCs w:val="20"/>
                <w:u w:val="single"/>
                <w:lang w:val="en-IE"/>
              </w:rPr>
              <w:t xml:space="preserve"> Number</w:t>
            </w:r>
          </w:p>
          <w:p w14:paraId="449860F8" w14:textId="36850387" w:rsidR="00942DC8" w:rsidRDefault="00942DC8" w:rsidP="00AD22E8">
            <w:pPr>
              <w:pStyle w:val="InstructionsText2"/>
              <w:rPr>
                <w:rFonts w:asciiTheme="minorHAnsi" w:hAnsiTheme="minorHAnsi"/>
                <w:sz w:val="20"/>
                <w:szCs w:val="20"/>
                <w:lang w:val="en-US"/>
              </w:rPr>
            </w:pPr>
            <w:r w:rsidRPr="004D60EB">
              <w:rPr>
                <w:rFonts w:asciiTheme="minorHAnsi" w:hAnsiTheme="minorHAnsi"/>
                <w:sz w:val="20"/>
                <w:szCs w:val="20"/>
                <w:lang w:val="en-US"/>
              </w:rPr>
              <w:t xml:space="preserve">This information should refer to </w:t>
            </w:r>
            <w:r w:rsidR="00CD68A4" w:rsidRPr="00841093">
              <w:rPr>
                <w:rFonts w:asciiTheme="minorHAnsi" w:hAnsiTheme="minorHAnsi"/>
                <w:sz w:val="20"/>
                <w:szCs w:val="20"/>
                <w:lang w:val="en-US"/>
              </w:rPr>
              <w:t xml:space="preserve">the total number of outstanding real estate loans with third party payments </w:t>
            </w:r>
            <w:r w:rsidR="00064AA3" w:rsidRPr="00841093">
              <w:rPr>
                <w:rFonts w:asciiTheme="minorHAnsi" w:hAnsiTheme="minorHAnsi"/>
                <w:sz w:val="20"/>
                <w:szCs w:val="20"/>
                <w:lang w:val="en-US"/>
              </w:rPr>
              <w:t xml:space="preserve">as of the end of the </w:t>
            </w:r>
            <w:r w:rsidRPr="00841093">
              <w:rPr>
                <w:rFonts w:asciiTheme="minorHAnsi" w:hAnsiTheme="minorHAnsi"/>
                <w:sz w:val="20"/>
                <w:szCs w:val="20"/>
                <w:lang w:val="en-US"/>
              </w:rPr>
              <w:t>reference year</w:t>
            </w:r>
            <w:r w:rsidR="00A26FE9">
              <w:rPr>
                <w:rFonts w:asciiTheme="minorHAnsi" w:hAnsiTheme="minorHAnsi"/>
                <w:sz w:val="20"/>
                <w:szCs w:val="20"/>
                <w:lang w:val="en-US"/>
              </w:rPr>
              <w:t xml:space="preserve"> with third party payments </w:t>
            </w:r>
            <w:r w:rsidR="00C97128">
              <w:rPr>
                <w:rFonts w:asciiTheme="minorHAnsi" w:hAnsiTheme="minorHAnsi"/>
                <w:sz w:val="20"/>
                <w:szCs w:val="20"/>
                <w:lang w:val="en-US"/>
              </w:rPr>
              <w:t>at any point during the year</w:t>
            </w:r>
            <w:r w:rsidRPr="00841093">
              <w:rPr>
                <w:rFonts w:asciiTheme="minorHAnsi" w:hAnsiTheme="minorHAnsi"/>
                <w:sz w:val="20"/>
                <w:szCs w:val="20"/>
                <w:lang w:val="en-US"/>
              </w:rPr>
              <w:t>.</w:t>
            </w:r>
          </w:p>
          <w:p w14:paraId="16CD6571" w14:textId="2FC2F2A3" w:rsidR="00425529" w:rsidRDefault="00491899" w:rsidP="00064AA3">
            <w:pPr>
              <w:pStyle w:val="InstructionsText2"/>
              <w:rPr>
                <w:rFonts w:asciiTheme="minorHAnsi" w:hAnsiTheme="minorHAnsi"/>
                <w:sz w:val="20"/>
                <w:lang w:val="en-US"/>
              </w:rPr>
            </w:pPr>
            <w:r>
              <w:rPr>
                <w:rFonts w:asciiTheme="minorHAnsi" w:hAnsiTheme="minorHAnsi"/>
                <w:sz w:val="20"/>
                <w:lang w:val="en-US"/>
              </w:rPr>
              <w:t>Payments and/or interest payments on mortgage loans to be made by third parties/persons not mentioned in the mortgage deed, other than a notary,</w:t>
            </w:r>
            <w:r w:rsidR="00E94CDE">
              <w:rPr>
                <w:rFonts w:asciiTheme="minorHAnsi" w:hAnsiTheme="minorHAnsi"/>
                <w:sz w:val="20"/>
                <w:lang w:val="en-US"/>
              </w:rPr>
              <w:t xml:space="preserve"> </w:t>
            </w:r>
            <w:r w:rsidR="00AC054E">
              <w:rPr>
                <w:rFonts w:asciiTheme="minorHAnsi" w:hAnsiTheme="minorHAnsi"/>
                <w:sz w:val="20"/>
                <w:lang w:val="en-US"/>
              </w:rPr>
              <w:t>from a joint account with only one borrower,</w:t>
            </w:r>
            <w:r>
              <w:rPr>
                <w:rFonts w:asciiTheme="minorHAnsi" w:hAnsiTheme="minorHAnsi"/>
                <w:sz w:val="20"/>
                <w:lang w:val="en-US"/>
              </w:rPr>
              <w:t xml:space="preserve"> the national mortgage guarantee (NHG), municipalities or an insurance company as of end of the reference year.</w:t>
            </w:r>
          </w:p>
          <w:p w14:paraId="55F3BA7F" w14:textId="0D79B64D" w:rsidR="00D73A46" w:rsidRPr="00233710" w:rsidRDefault="00D73A46" w:rsidP="00064AA3">
            <w:pPr>
              <w:pStyle w:val="InstructionsText2"/>
              <w:rPr>
                <w:rStyle w:val="InstructionsTabelleberschrift"/>
                <w:rFonts w:asciiTheme="minorHAnsi" w:hAnsiTheme="minorHAnsi"/>
                <w:b w:val="0"/>
                <w:bCs w:val="0"/>
                <w:u w:val="none"/>
              </w:rPr>
            </w:pPr>
            <w:r>
              <w:rPr>
                <w:rStyle w:val="InstructionsTabelleberschrift"/>
                <w:rFonts w:asciiTheme="minorHAnsi" w:hAnsiTheme="minorHAnsi"/>
                <w:b w:val="0"/>
                <w:bCs w:val="0"/>
                <w:u w:val="none"/>
              </w:rPr>
              <w:t xml:space="preserve">This includes </w:t>
            </w:r>
            <w:r w:rsidR="00466766">
              <w:rPr>
                <w:rStyle w:val="InstructionsTabelleberschrift"/>
                <w:rFonts w:asciiTheme="minorHAnsi" w:hAnsiTheme="minorHAnsi"/>
                <w:b w:val="0"/>
                <w:bCs w:val="0"/>
                <w:u w:val="none"/>
              </w:rPr>
              <w:t>on-off payments by third parties</w:t>
            </w:r>
            <w:r w:rsidR="007573B5">
              <w:rPr>
                <w:rStyle w:val="InstructionsTabelleberschrift"/>
                <w:rFonts w:asciiTheme="minorHAnsi" w:hAnsiTheme="minorHAnsi"/>
                <w:b w:val="0"/>
                <w:bCs w:val="0"/>
                <w:u w:val="none"/>
              </w:rPr>
              <w:t xml:space="preserve"> and/or </w:t>
            </w:r>
            <w:r w:rsidR="009E0B1E">
              <w:rPr>
                <w:rStyle w:val="InstructionsTabelleberschrift"/>
                <w:rFonts w:asciiTheme="minorHAnsi" w:hAnsiTheme="minorHAnsi"/>
                <w:b w:val="0"/>
                <w:bCs w:val="0"/>
                <w:u w:val="none"/>
              </w:rPr>
              <w:t xml:space="preserve">payments by </w:t>
            </w:r>
            <w:r w:rsidR="002909E8">
              <w:rPr>
                <w:rStyle w:val="InstructionsTabelleberschrift"/>
                <w:rFonts w:asciiTheme="minorHAnsi" w:hAnsiTheme="minorHAnsi"/>
                <w:b w:val="0"/>
                <w:bCs w:val="0"/>
                <w:u w:val="none"/>
              </w:rPr>
              <w:t>close family members (if not legally part of the loan agreement)</w:t>
            </w:r>
            <w:r w:rsidR="00461538">
              <w:rPr>
                <w:rStyle w:val="InstructionsTabelleberschrift"/>
                <w:rFonts w:asciiTheme="minorHAnsi" w:hAnsiTheme="minorHAnsi"/>
                <w:b w:val="0"/>
                <w:bCs w:val="0"/>
                <w:u w:val="none"/>
              </w:rPr>
              <w:t xml:space="preserve">. </w:t>
            </w:r>
          </w:p>
        </w:tc>
      </w:tr>
      <w:tr w:rsidR="005E211E" w:rsidRPr="009B282E" w14:paraId="2289D3ED" w14:textId="77777777" w:rsidTr="5A726F5A">
        <w:tc>
          <w:tcPr>
            <w:tcW w:w="1673" w:type="dxa"/>
            <w:tcBorders>
              <w:top w:val="single" w:sz="4" w:space="0" w:color="auto"/>
              <w:left w:val="single" w:sz="4" w:space="0" w:color="auto"/>
              <w:bottom w:val="single" w:sz="4" w:space="0" w:color="auto"/>
              <w:right w:val="single" w:sz="4" w:space="0" w:color="auto"/>
            </w:tcBorders>
          </w:tcPr>
          <w:p w14:paraId="5B139204" w14:textId="09F3A59D" w:rsidR="5A726F5A" w:rsidRPr="000D213F" w:rsidRDefault="5A726F5A" w:rsidP="5A726F5A">
            <w:pPr>
              <w:spacing w:before="0" w:after="0"/>
              <w:rPr>
                <w:rFonts w:asciiTheme="minorHAnsi" w:eastAsia="Calibri" w:hAnsiTheme="minorHAnsi" w:cs="Calibri"/>
                <w:color w:val="000000" w:themeColor="text1"/>
                <w:sz w:val="20"/>
              </w:rPr>
            </w:pPr>
            <w:r w:rsidRPr="000D213F">
              <w:rPr>
                <w:rFonts w:asciiTheme="minorHAnsi" w:eastAsia="Calibri" w:hAnsiTheme="minorHAnsi" w:cs="Calibri"/>
                <w:color w:val="000000" w:themeColor="text1"/>
                <w:sz w:val="20"/>
              </w:rPr>
              <w:t>C0050</w:t>
            </w:r>
          </w:p>
        </w:tc>
        <w:tc>
          <w:tcPr>
            <w:tcW w:w="7616" w:type="dxa"/>
            <w:tcBorders>
              <w:top w:val="single" w:sz="4" w:space="0" w:color="auto"/>
              <w:left w:val="single" w:sz="4" w:space="0" w:color="auto"/>
              <w:bottom w:val="nil"/>
              <w:right w:val="single" w:sz="4" w:space="0" w:color="auto"/>
            </w:tcBorders>
            <w:vAlign w:val="center"/>
          </w:tcPr>
          <w:p w14:paraId="5AF31CC0" w14:textId="77777777" w:rsidR="00491899" w:rsidRDefault="00491899" w:rsidP="00AD22E8">
            <w:pPr>
              <w:pStyle w:val="InstructionsText2"/>
              <w:rPr>
                <w:rFonts w:asciiTheme="minorHAnsi" w:hAnsiTheme="minorHAnsi"/>
                <w:sz w:val="20"/>
                <w:szCs w:val="20"/>
                <w:lang w:val="en-IE"/>
              </w:rPr>
            </w:pPr>
            <w:r w:rsidRPr="00FD6BCB">
              <w:rPr>
                <w:rFonts w:ascii="Aptos" w:hAnsi="Aptos"/>
                <w:b/>
                <w:sz w:val="20"/>
                <w:szCs w:val="20"/>
                <w:u w:val="single"/>
                <w:lang w:val="en-IE"/>
              </w:rPr>
              <w:t>Loans Granted - Value</w:t>
            </w:r>
          </w:p>
          <w:p w14:paraId="250F7390" w14:textId="69A1D95E" w:rsidR="00942DC8" w:rsidRDefault="00491899" w:rsidP="00A345E0">
            <w:pPr>
              <w:pStyle w:val="InstructionsText2"/>
              <w:rPr>
                <w:rFonts w:asciiTheme="minorHAnsi" w:hAnsiTheme="minorHAnsi"/>
                <w:sz w:val="20"/>
                <w:lang w:val="en-IE"/>
              </w:rPr>
            </w:pPr>
            <w:r w:rsidRPr="00FD6BCB">
              <w:rPr>
                <w:rFonts w:asciiTheme="minorHAnsi" w:hAnsiTheme="minorHAnsi"/>
                <w:sz w:val="20"/>
                <w:lang w:val="en-IE"/>
              </w:rPr>
              <w:t xml:space="preserve">Indicate Loans Granted </w:t>
            </w:r>
            <w:r w:rsidR="00BC085A">
              <w:rPr>
                <w:rFonts w:asciiTheme="minorHAnsi" w:hAnsiTheme="minorHAnsi"/>
                <w:sz w:val="20"/>
                <w:lang w:val="en-IE"/>
              </w:rPr>
              <w:t>(</w:t>
            </w:r>
            <w:r w:rsidR="00BC085A" w:rsidRPr="00386AF1">
              <w:rPr>
                <w:rFonts w:asciiTheme="minorHAnsi" w:hAnsiTheme="minorHAnsi"/>
                <w:sz w:val="20"/>
                <w:lang w:val="en-US"/>
              </w:rPr>
              <w:t>New disbursements</w:t>
            </w:r>
            <w:r w:rsidR="00BC085A">
              <w:rPr>
                <w:rFonts w:asciiTheme="minorHAnsi" w:hAnsiTheme="minorHAnsi"/>
                <w:sz w:val="20"/>
                <w:lang w:val="en-US"/>
              </w:rPr>
              <w:t>)</w:t>
            </w:r>
            <w:r w:rsidR="00BC085A" w:rsidRPr="00BC085A">
              <w:rPr>
                <w:rFonts w:asciiTheme="minorHAnsi" w:hAnsiTheme="minorHAnsi"/>
                <w:b/>
                <w:bCs/>
                <w:sz w:val="20"/>
                <w:lang w:val="en-US"/>
              </w:rPr>
              <w:t xml:space="preserve"> </w:t>
            </w:r>
            <w:r w:rsidRPr="00FD6BCB">
              <w:rPr>
                <w:rFonts w:asciiTheme="minorHAnsi" w:hAnsiTheme="minorHAnsi"/>
                <w:sz w:val="20"/>
                <w:lang w:val="en-IE"/>
              </w:rPr>
              <w:t xml:space="preserve">- Value </w:t>
            </w:r>
            <w:r w:rsidR="006E3B5F">
              <w:rPr>
                <w:rFonts w:asciiTheme="minorHAnsi" w:hAnsiTheme="minorHAnsi"/>
                <w:sz w:val="20"/>
                <w:lang w:val="en-IE"/>
              </w:rPr>
              <w:t xml:space="preserve">of the nominal principal </w:t>
            </w:r>
            <w:r w:rsidR="00941687">
              <w:rPr>
                <w:rFonts w:asciiTheme="minorHAnsi" w:hAnsiTheme="minorHAnsi"/>
                <w:sz w:val="20"/>
                <w:lang w:val="en-IE"/>
              </w:rPr>
              <w:t>disbursed d</w:t>
            </w:r>
            <w:r w:rsidRPr="00FD6BCB">
              <w:rPr>
                <w:rFonts w:asciiTheme="minorHAnsi" w:hAnsiTheme="minorHAnsi"/>
                <w:sz w:val="20"/>
                <w:lang w:val="en-IE"/>
              </w:rPr>
              <w:t>uring the reference year.</w:t>
            </w:r>
          </w:p>
          <w:p w14:paraId="50BF0195" w14:textId="77777777" w:rsidR="00847DD7" w:rsidRPr="00847DD7" w:rsidRDefault="00847DD7" w:rsidP="00847DD7">
            <w:pPr>
              <w:pStyle w:val="InstructionsText2"/>
              <w:numPr>
                <w:ilvl w:val="0"/>
                <w:numId w:val="122"/>
              </w:numPr>
              <w:rPr>
                <w:rFonts w:asciiTheme="minorHAnsi" w:hAnsiTheme="minorHAnsi"/>
                <w:sz w:val="20"/>
                <w:lang w:val="en-IE"/>
              </w:rPr>
            </w:pPr>
            <w:r w:rsidRPr="00386AF1">
              <w:rPr>
                <w:rFonts w:asciiTheme="minorHAnsi" w:hAnsiTheme="minorHAnsi"/>
                <w:sz w:val="20"/>
                <w:lang w:val="en-US"/>
              </w:rPr>
              <w:t>Only drawn amounts</w:t>
            </w:r>
            <w:r w:rsidRPr="00847DD7">
              <w:rPr>
                <w:rFonts w:asciiTheme="minorHAnsi" w:hAnsiTheme="minorHAnsi"/>
                <w:sz w:val="20"/>
                <w:lang w:val="en-US"/>
              </w:rPr>
              <w:t> (outstanding balances) should be reported for credit lines/revolving facilities.</w:t>
            </w:r>
            <w:r w:rsidRPr="00847DD7">
              <w:rPr>
                <w:rFonts w:asciiTheme="minorHAnsi" w:hAnsiTheme="minorHAnsi"/>
                <w:sz w:val="20"/>
                <w:lang w:val="en-IE"/>
              </w:rPr>
              <w:t> </w:t>
            </w:r>
          </w:p>
          <w:p w14:paraId="11A2830A" w14:textId="3704B606" w:rsidR="00202E8D" w:rsidRPr="000927A1" w:rsidRDefault="00847DD7" w:rsidP="00135B9D">
            <w:pPr>
              <w:pStyle w:val="InstructionsText2"/>
              <w:numPr>
                <w:ilvl w:val="0"/>
                <w:numId w:val="123"/>
              </w:numPr>
              <w:rPr>
                <w:rStyle w:val="InstructionsTabelleberschrift"/>
                <w:rFonts w:asciiTheme="minorHAnsi" w:eastAsia="Cambria" w:hAnsiTheme="minorHAnsi"/>
                <w:b w:val="0"/>
                <w:color w:val="262626" w:themeColor="text1" w:themeTint="D9"/>
                <w:kern w:val="20"/>
                <w:szCs w:val="20"/>
                <w:u w:val="none"/>
                <w:lang w:val="en-US" w:eastAsia="ja-JP"/>
              </w:rPr>
            </w:pPr>
            <w:r w:rsidRPr="00386AF1">
              <w:rPr>
                <w:rFonts w:asciiTheme="minorHAnsi" w:hAnsiTheme="minorHAnsi"/>
                <w:sz w:val="20"/>
              </w:rPr>
              <w:t>Undrawn limits</w:t>
            </w:r>
            <w:r w:rsidRPr="00847DD7">
              <w:rPr>
                <w:rFonts w:asciiTheme="minorHAnsi" w:hAnsiTheme="minorHAnsi"/>
                <w:sz w:val="20"/>
                <w:lang w:val="en-US"/>
              </w:rPr>
              <w:t> (e.g., approved but unused overdrafts) </w:t>
            </w:r>
            <w:r w:rsidRPr="00386AF1">
              <w:rPr>
                <w:rFonts w:asciiTheme="minorHAnsi" w:hAnsiTheme="minorHAnsi"/>
                <w:sz w:val="20"/>
              </w:rPr>
              <w:t>must be excluded</w:t>
            </w:r>
            <w:r w:rsidRPr="00847DD7">
              <w:rPr>
                <w:rFonts w:asciiTheme="minorHAnsi" w:hAnsiTheme="minorHAnsi"/>
                <w:sz w:val="20"/>
                <w:lang w:val="en-US"/>
              </w:rPr>
              <w:t>.</w:t>
            </w:r>
            <w:r w:rsidRPr="00847DD7">
              <w:rPr>
                <w:rFonts w:asciiTheme="minorHAnsi" w:hAnsiTheme="minorHAnsi"/>
                <w:sz w:val="20"/>
                <w:lang w:val="en-IE"/>
              </w:rPr>
              <w:t> </w:t>
            </w:r>
          </w:p>
        </w:tc>
      </w:tr>
      <w:tr w:rsidR="00AD22E8" w:rsidRPr="009B282E" w14:paraId="3DE518B6" w14:textId="77777777" w:rsidTr="5A726F5A">
        <w:tc>
          <w:tcPr>
            <w:tcW w:w="1673" w:type="dxa"/>
            <w:tcBorders>
              <w:top w:val="single" w:sz="4" w:space="0" w:color="auto"/>
              <w:left w:val="single" w:sz="4" w:space="0" w:color="auto"/>
              <w:bottom w:val="single" w:sz="4" w:space="0" w:color="auto"/>
              <w:right w:val="single" w:sz="4" w:space="0" w:color="auto"/>
            </w:tcBorders>
          </w:tcPr>
          <w:p w14:paraId="1F38C925" w14:textId="02A87674" w:rsidR="5A726F5A" w:rsidRPr="000D213F" w:rsidRDefault="5A726F5A" w:rsidP="5A726F5A">
            <w:pPr>
              <w:spacing w:before="0" w:after="0"/>
              <w:rPr>
                <w:rFonts w:asciiTheme="minorHAnsi" w:eastAsia="Calibri" w:hAnsiTheme="minorHAnsi" w:cs="Calibri"/>
                <w:color w:val="000000" w:themeColor="text1"/>
                <w:sz w:val="20"/>
              </w:rPr>
            </w:pPr>
            <w:r w:rsidRPr="000D213F">
              <w:rPr>
                <w:rFonts w:asciiTheme="minorHAnsi" w:eastAsia="Calibri" w:hAnsiTheme="minorHAnsi" w:cs="Calibri"/>
                <w:color w:val="000000" w:themeColor="text1"/>
                <w:sz w:val="20"/>
              </w:rPr>
              <w:t>C0060</w:t>
            </w:r>
          </w:p>
        </w:tc>
        <w:tc>
          <w:tcPr>
            <w:tcW w:w="7616" w:type="dxa"/>
            <w:tcBorders>
              <w:top w:val="single" w:sz="4" w:space="0" w:color="auto"/>
              <w:left w:val="single" w:sz="4" w:space="0" w:color="auto"/>
              <w:bottom w:val="single" w:sz="4" w:space="0" w:color="auto"/>
              <w:right w:val="single" w:sz="4" w:space="0" w:color="auto"/>
            </w:tcBorders>
            <w:vAlign w:val="center"/>
          </w:tcPr>
          <w:p w14:paraId="13EBD88D" w14:textId="77777777" w:rsidR="00491899" w:rsidRDefault="00491899" w:rsidP="00AD22E8">
            <w:pPr>
              <w:pStyle w:val="InstructionsText2"/>
              <w:rPr>
                <w:rFonts w:asciiTheme="minorHAnsi" w:hAnsiTheme="minorHAnsi"/>
                <w:sz w:val="20"/>
                <w:lang w:val="en-US"/>
              </w:rPr>
            </w:pPr>
            <w:r w:rsidRPr="005D2A98">
              <w:rPr>
                <w:rFonts w:ascii="Aptos" w:hAnsi="Aptos"/>
                <w:b/>
                <w:sz w:val="20"/>
                <w:u w:val="single"/>
                <w:lang w:val="en-US"/>
              </w:rPr>
              <w:t>Asset-backed Loans with Cash Collateral</w:t>
            </w:r>
          </w:p>
          <w:p w14:paraId="621FF117" w14:textId="77777777" w:rsidR="0065263C" w:rsidRDefault="00E24BD7" w:rsidP="00AD22E8">
            <w:pPr>
              <w:pStyle w:val="InstructionsText2"/>
              <w:rPr>
                <w:rFonts w:asciiTheme="minorHAnsi" w:hAnsiTheme="minorHAnsi"/>
                <w:sz w:val="20"/>
                <w:lang w:val="en-US"/>
              </w:rPr>
            </w:pPr>
            <w:r w:rsidRPr="00233710">
              <w:rPr>
                <w:rFonts w:asciiTheme="minorHAnsi" w:hAnsiTheme="minorHAnsi"/>
                <w:sz w:val="20"/>
                <w:lang w:val="en-US"/>
              </w:rPr>
              <w:t>Collateral which at least partially consists of cash or an account on which cash is deposited as per the definition of cash under Article 2(1)(a) of Regulation (EU) 2018/1672: ‘Cash’ means: (i) currency; (ii) bearer-negotiable instruments; (iii) commodities used as highly liquid stores of value; (iv) prepaid cards.</w:t>
            </w:r>
          </w:p>
          <w:p w14:paraId="73271888" w14:textId="0FBF1D00" w:rsidR="0078695D" w:rsidRPr="00233710" w:rsidRDefault="0078695D" w:rsidP="00AD22E8">
            <w:pPr>
              <w:pStyle w:val="InstructionsText2"/>
              <w:rPr>
                <w:rStyle w:val="InstructionsTabelleberschrift"/>
                <w:rFonts w:asciiTheme="minorHAnsi" w:hAnsiTheme="minorHAnsi"/>
                <w:b w:val="0"/>
                <w:u w:val="none"/>
              </w:rPr>
            </w:pPr>
            <w:r w:rsidRPr="00F537CC">
              <w:rPr>
                <w:rFonts w:asciiTheme="minorHAnsi" w:hAnsiTheme="minorHAnsi"/>
                <w:sz w:val="20"/>
                <w:szCs w:val="20"/>
                <w:lang w:val="en-US"/>
              </w:rPr>
              <w:t>Indicate the total number of outstanding asset</w:t>
            </w:r>
            <w:r w:rsidR="00C80A3B" w:rsidRPr="00F537CC">
              <w:rPr>
                <w:rFonts w:asciiTheme="minorHAnsi" w:hAnsiTheme="minorHAnsi"/>
                <w:sz w:val="20"/>
                <w:szCs w:val="20"/>
                <w:lang w:val="en-US"/>
              </w:rPr>
              <w:t xml:space="preserve">-backed loans with cash collateral </w:t>
            </w:r>
            <w:r w:rsidR="00DF1D42" w:rsidRPr="00F537CC">
              <w:rPr>
                <w:rFonts w:asciiTheme="minorHAnsi" w:hAnsiTheme="minorHAnsi"/>
                <w:sz w:val="20"/>
                <w:szCs w:val="20"/>
                <w:lang w:val="en-US"/>
              </w:rPr>
              <w:t>as of the end of the reference year.</w:t>
            </w:r>
          </w:p>
        </w:tc>
      </w:tr>
      <w:tr w:rsidR="005E211E" w:rsidRPr="009B282E" w14:paraId="39EF431B" w14:textId="77777777" w:rsidTr="5A726F5A">
        <w:tc>
          <w:tcPr>
            <w:tcW w:w="1673" w:type="dxa"/>
            <w:tcBorders>
              <w:top w:val="single" w:sz="4" w:space="0" w:color="auto"/>
              <w:left w:val="single" w:sz="4" w:space="0" w:color="auto"/>
              <w:bottom w:val="single" w:sz="4" w:space="0" w:color="auto"/>
              <w:right w:val="single" w:sz="4" w:space="0" w:color="auto"/>
            </w:tcBorders>
          </w:tcPr>
          <w:p w14:paraId="421A78B5" w14:textId="7C1450DC" w:rsidR="5A726F5A" w:rsidRPr="000D213F" w:rsidRDefault="5A726F5A" w:rsidP="5A726F5A">
            <w:pPr>
              <w:spacing w:before="0" w:after="0"/>
              <w:rPr>
                <w:rFonts w:asciiTheme="minorHAnsi" w:eastAsia="Calibri" w:hAnsiTheme="minorHAnsi" w:cs="Calibri"/>
                <w:color w:val="000000" w:themeColor="text1"/>
                <w:sz w:val="20"/>
              </w:rPr>
            </w:pPr>
            <w:r w:rsidRPr="000D213F">
              <w:rPr>
                <w:rFonts w:asciiTheme="minorHAnsi" w:eastAsia="Calibri" w:hAnsiTheme="minorHAnsi" w:cs="Calibri"/>
                <w:color w:val="000000" w:themeColor="text1"/>
                <w:sz w:val="20"/>
              </w:rPr>
              <w:t>C0070</w:t>
            </w:r>
          </w:p>
        </w:tc>
        <w:tc>
          <w:tcPr>
            <w:tcW w:w="7616" w:type="dxa"/>
            <w:tcBorders>
              <w:top w:val="nil"/>
              <w:left w:val="single" w:sz="4" w:space="0" w:color="auto"/>
              <w:bottom w:val="single" w:sz="4" w:space="0" w:color="auto"/>
              <w:right w:val="single" w:sz="4" w:space="0" w:color="auto"/>
            </w:tcBorders>
            <w:vAlign w:val="center"/>
          </w:tcPr>
          <w:p w14:paraId="67D31215" w14:textId="5CC23C17" w:rsidR="00491899" w:rsidRDefault="00491899" w:rsidP="00AD22E8">
            <w:pPr>
              <w:pStyle w:val="InstructionsText2"/>
              <w:rPr>
                <w:rFonts w:asciiTheme="minorHAnsi" w:hAnsiTheme="minorHAnsi"/>
                <w:sz w:val="20"/>
                <w:szCs w:val="20"/>
                <w:lang w:val="en-IE"/>
              </w:rPr>
            </w:pPr>
            <w:r w:rsidRPr="00CB5392">
              <w:rPr>
                <w:rFonts w:ascii="Aptos" w:hAnsi="Aptos"/>
                <w:b/>
                <w:sz w:val="20"/>
                <w:szCs w:val="20"/>
                <w:u w:val="single"/>
                <w:lang w:val="en-IE"/>
              </w:rPr>
              <w:t xml:space="preserve">Loan Repayments - </w:t>
            </w:r>
            <w:r w:rsidR="00913480">
              <w:rPr>
                <w:rFonts w:ascii="Aptos" w:hAnsi="Aptos"/>
                <w:b/>
                <w:sz w:val="20"/>
                <w:szCs w:val="20"/>
                <w:u w:val="single"/>
                <w:lang w:val="en-IE"/>
              </w:rPr>
              <w:t>Number</w:t>
            </w:r>
          </w:p>
          <w:p w14:paraId="0EB7BD8B" w14:textId="5ED41089" w:rsidR="00ED6BD3" w:rsidRPr="00233710" w:rsidRDefault="00491899" w:rsidP="00B07881">
            <w:pPr>
              <w:pStyle w:val="InstructionsText2"/>
              <w:rPr>
                <w:rStyle w:val="InstructionsTabelleberschrift"/>
                <w:rFonts w:asciiTheme="minorHAnsi" w:hAnsiTheme="minorHAnsi"/>
                <w:u w:val="none"/>
              </w:rPr>
            </w:pPr>
            <w:r>
              <w:rPr>
                <w:rFonts w:asciiTheme="minorHAnsi" w:hAnsiTheme="minorHAnsi"/>
                <w:sz w:val="20"/>
                <w:lang w:val="en-US"/>
              </w:rPr>
              <w:t>The total number of loans that were fully repaid and closed within the reference year, regardless of their original disbursement date during the reference year.</w:t>
            </w:r>
          </w:p>
        </w:tc>
      </w:tr>
      <w:tr w:rsidR="005E211E" w:rsidRPr="009B282E" w14:paraId="7D7A8988" w14:textId="77777777" w:rsidTr="5A726F5A">
        <w:tc>
          <w:tcPr>
            <w:tcW w:w="1673" w:type="dxa"/>
            <w:tcBorders>
              <w:top w:val="single" w:sz="4" w:space="0" w:color="auto"/>
              <w:left w:val="single" w:sz="4" w:space="0" w:color="auto"/>
              <w:bottom w:val="single" w:sz="4" w:space="0" w:color="auto"/>
              <w:right w:val="single" w:sz="4" w:space="0" w:color="auto"/>
            </w:tcBorders>
          </w:tcPr>
          <w:p w14:paraId="7E0E18D9" w14:textId="56C969DC" w:rsidR="5A726F5A" w:rsidRPr="000D213F" w:rsidRDefault="5A726F5A" w:rsidP="5A726F5A">
            <w:pPr>
              <w:spacing w:before="0" w:after="0"/>
              <w:rPr>
                <w:rFonts w:asciiTheme="minorHAnsi" w:eastAsia="Calibri" w:hAnsiTheme="minorHAnsi" w:cs="Calibri"/>
                <w:color w:val="000000" w:themeColor="text1"/>
                <w:sz w:val="20"/>
              </w:rPr>
            </w:pPr>
            <w:r w:rsidRPr="000D213F">
              <w:rPr>
                <w:rFonts w:asciiTheme="minorHAnsi" w:eastAsia="Calibri" w:hAnsiTheme="minorHAnsi" w:cs="Calibri"/>
                <w:color w:val="000000" w:themeColor="text1"/>
                <w:sz w:val="20"/>
              </w:rPr>
              <w:t>C0080</w:t>
            </w:r>
          </w:p>
        </w:tc>
        <w:tc>
          <w:tcPr>
            <w:tcW w:w="7616" w:type="dxa"/>
            <w:tcBorders>
              <w:top w:val="nil"/>
              <w:left w:val="single" w:sz="4" w:space="0" w:color="auto"/>
              <w:bottom w:val="single" w:sz="4" w:space="0" w:color="auto"/>
              <w:right w:val="single" w:sz="4" w:space="0" w:color="auto"/>
            </w:tcBorders>
            <w:vAlign w:val="center"/>
          </w:tcPr>
          <w:p w14:paraId="29F3A201" w14:textId="4213EEC2" w:rsidR="00491899" w:rsidRDefault="00491899" w:rsidP="00AD22E8">
            <w:pPr>
              <w:pStyle w:val="InstructionsText2"/>
              <w:rPr>
                <w:rFonts w:asciiTheme="minorHAnsi" w:hAnsiTheme="minorHAnsi"/>
                <w:sz w:val="20"/>
                <w:szCs w:val="20"/>
                <w:lang w:val="en-IE"/>
              </w:rPr>
            </w:pPr>
            <w:r w:rsidRPr="00CB5392">
              <w:rPr>
                <w:rFonts w:ascii="Aptos" w:hAnsi="Aptos"/>
                <w:b/>
                <w:sz w:val="20"/>
                <w:szCs w:val="20"/>
                <w:u w:val="single"/>
                <w:lang w:val="en-IE"/>
              </w:rPr>
              <w:t xml:space="preserve">Premature Loan Repayments - </w:t>
            </w:r>
            <w:r w:rsidR="000A799B">
              <w:rPr>
                <w:rFonts w:ascii="Aptos" w:hAnsi="Aptos"/>
                <w:b/>
                <w:sz w:val="20"/>
                <w:szCs w:val="20"/>
                <w:u w:val="single"/>
                <w:lang w:val="en-IE"/>
              </w:rPr>
              <w:t>Number</w:t>
            </w:r>
          </w:p>
          <w:p w14:paraId="0F20EEEC" w14:textId="072D91FE" w:rsidR="002C59D6" w:rsidRPr="00233710" w:rsidRDefault="00491899" w:rsidP="00B43A0A">
            <w:pPr>
              <w:pStyle w:val="InstructionsText2"/>
              <w:rPr>
                <w:rStyle w:val="InstructionsTabelleberschrift"/>
                <w:rFonts w:asciiTheme="minorHAnsi" w:hAnsiTheme="minorHAnsi"/>
                <w:b w:val="0"/>
                <w:bCs w:val="0"/>
                <w:u w:val="none"/>
              </w:rPr>
            </w:pPr>
            <w:r>
              <w:rPr>
                <w:rFonts w:asciiTheme="minorHAnsi" w:hAnsiTheme="minorHAnsi"/>
                <w:sz w:val="20"/>
                <w:lang w:val="en-US"/>
              </w:rPr>
              <w:t xml:space="preserve">The total number of loans that were fully repaid and closed </w:t>
            </w:r>
            <w:r w:rsidR="00FE2420">
              <w:rPr>
                <w:rFonts w:asciiTheme="minorHAnsi" w:hAnsiTheme="minorHAnsi"/>
                <w:sz w:val="20"/>
                <w:lang w:val="en-US"/>
              </w:rPr>
              <w:t>during</w:t>
            </w:r>
            <w:r>
              <w:rPr>
                <w:rFonts w:asciiTheme="minorHAnsi" w:hAnsiTheme="minorHAnsi"/>
                <w:sz w:val="20"/>
                <w:lang w:val="en-US"/>
              </w:rPr>
              <w:t xml:space="preserve"> the reference year, premature</w:t>
            </w:r>
            <w:r w:rsidR="003328BC">
              <w:rPr>
                <w:rFonts w:asciiTheme="minorHAnsi" w:hAnsiTheme="minorHAnsi"/>
                <w:sz w:val="20"/>
                <w:lang w:val="en-US"/>
              </w:rPr>
              <w:t>ly compared</w:t>
            </w:r>
            <w:r>
              <w:rPr>
                <w:rFonts w:asciiTheme="minorHAnsi" w:hAnsiTheme="minorHAnsi"/>
                <w:sz w:val="20"/>
                <w:lang w:val="en-US"/>
              </w:rPr>
              <w:t xml:space="preserve"> to their originally planned disbursement date</w:t>
            </w:r>
            <w:r w:rsidR="0063018A">
              <w:rPr>
                <w:rFonts w:asciiTheme="minorHAnsi" w:hAnsiTheme="minorHAnsi"/>
                <w:sz w:val="20"/>
                <w:lang w:val="en-US"/>
              </w:rPr>
              <w:t>.</w:t>
            </w:r>
            <w:r>
              <w:rPr>
                <w:rFonts w:asciiTheme="minorHAnsi" w:hAnsiTheme="minorHAnsi"/>
                <w:sz w:val="20"/>
                <w:lang w:val="en-US"/>
              </w:rPr>
              <w:t xml:space="preserve"> </w:t>
            </w:r>
          </w:p>
        </w:tc>
      </w:tr>
      <w:tr w:rsidR="005E211E" w:rsidRPr="009B282E" w14:paraId="62F6A5CF" w14:textId="77777777" w:rsidTr="5A726F5A">
        <w:tc>
          <w:tcPr>
            <w:tcW w:w="1673" w:type="dxa"/>
            <w:tcBorders>
              <w:top w:val="single" w:sz="4" w:space="0" w:color="auto"/>
              <w:left w:val="single" w:sz="4" w:space="0" w:color="auto"/>
              <w:bottom w:val="single" w:sz="4" w:space="0" w:color="auto"/>
              <w:right w:val="single" w:sz="4" w:space="0" w:color="auto"/>
            </w:tcBorders>
          </w:tcPr>
          <w:p w14:paraId="25293C99" w14:textId="6C4505D2" w:rsidR="5A726F5A" w:rsidRPr="000D213F" w:rsidRDefault="5A726F5A" w:rsidP="5A726F5A">
            <w:pPr>
              <w:spacing w:before="0" w:after="0"/>
              <w:rPr>
                <w:rFonts w:asciiTheme="minorHAnsi" w:eastAsia="Calibri" w:hAnsiTheme="minorHAnsi" w:cs="Calibri"/>
                <w:color w:val="000000" w:themeColor="text1"/>
                <w:sz w:val="20"/>
              </w:rPr>
            </w:pPr>
            <w:r w:rsidRPr="000D213F">
              <w:rPr>
                <w:rFonts w:asciiTheme="minorHAnsi" w:eastAsia="Calibri" w:hAnsiTheme="minorHAnsi" w:cs="Calibri"/>
                <w:color w:val="000000" w:themeColor="text1"/>
                <w:sz w:val="20"/>
              </w:rPr>
              <w:t>C0090</w:t>
            </w:r>
          </w:p>
        </w:tc>
        <w:tc>
          <w:tcPr>
            <w:tcW w:w="7616" w:type="dxa"/>
            <w:tcBorders>
              <w:top w:val="nil"/>
              <w:left w:val="single" w:sz="4" w:space="0" w:color="auto"/>
              <w:bottom w:val="single" w:sz="4" w:space="0" w:color="auto"/>
              <w:right w:val="single" w:sz="4" w:space="0" w:color="auto"/>
            </w:tcBorders>
            <w:vAlign w:val="center"/>
          </w:tcPr>
          <w:p w14:paraId="26E04033" w14:textId="77777777" w:rsidR="00491899" w:rsidRDefault="00491899" w:rsidP="00AD22E8">
            <w:pPr>
              <w:pStyle w:val="InstructionsText2"/>
              <w:rPr>
                <w:rFonts w:asciiTheme="minorHAnsi" w:hAnsiTheme="minorHAnsi"/>
                <w:sz w:val="20"/>
                <w:szCs w:val="20"/>
                <w:lang w:val="en-IE"/>
              </w:rPr>
            </w:pPr>
            <w:r w:rsidRPr="00340C23">
              <w:rPr>
                <w:rFonts w:ascii="Aptos" w:hAnsi="Aptos"/>
                <w:b/>
                <w:sz w:val="20"/>
                <w:szCs w:val="20"/>
                <w:u w:val="single"/>
                <w:lang w:val="en-IE"/>
              </w:rPr>
              <w:t>Loan Repayments from Non-EEA Countries</w:t>
            </w:r>
          </w:p>
          <w:p w14:paraId="5AA4C3EF" w14:textId="64D785C8" w:rsidR="00846FC3" w:rsidRDefault="00491899" w:rsidP="00307EF4">
            <w:pPr>
              <w:pStyle w:val="InstructionsText2"/>
              <w:rPr>
                <w:rFonts w:asciiTheme="minorHAnsi" w:hAnsiTheme="minorHAnsi"/>
                <w:sz w:val="20"/>
                <w:lang w:val="en-IE"/>
              </w:rPr>
            </w:pPr>
            <w:r w:rsidRPr="00340C23">
              <w:rPr>
                <w:rFonts w:asciiTheme="minorHAnsi" w:hAnsiTheme="minorHAnsi"/>
                <w:sz w:val="20"/>
                <w:lang w:val="en-IE"/>
              </w:rPr>
              <w:t xml:space="preserve">Indicate </w:t>
            </w:r>
            <w:r w:rsidR="00A21594" w:rsidRPr="00340C23">
              <w:rPr>
                <w:rFonts w:asciiTheme="minorHAnsi" w:hAnsiTheme="minorHAnsi"/>
                <w:sz w:val="20"/>
                <w:lang w:val="en-IE"/>
              </w:rPr>
              <w:t xml:space="preserve">the total number of </w:t>
            </w:r>
            <w:r w:rsidRPr="00340C23">
              <w:rPr>
                <w:rFonts w:asciiTheme="minorHAnsi" w:hAnsiTheme="minorHAnsi"/>
                <w:sz w:val="20"/>
                <w:lang w:val="en-IE"/>
              </w:rPr>
              <w:t>Loan Repayments from Non-EEA Countries during the reference year</w:t>
            </w:r>
            <w:r w:rsidR="00B0335C" w:rsidRPr="00B0335C">
              <w:rPr>
                <w:rFonts w:ascii="Aptos Light" w:eastAsia="Cambria" w:hAnsi="Aptos Light"/>
                <w:color w:val="000000"/>
                <w:kern w:val="20"/>
                <w:sz w:val="22"/>
                <w:szCs w:val="20"/>
                <w:bdr w:val="none" w:sz="0" w:space="0" w:color="auto" w:frame="1"/>
                <w:lang w:val="en-US" w:eastAsia="ja-JP"/>
              </w:rPr>
              <w:t xml:space="preserve"> </w:t>
            </w:r>
            <w:r w:rsidR="00B0335C">
              <w:rPr>
                <w:rFonts w:ascii="Aptos Light" w:eastAsia="Cambria" w:hAnsi="Aptos Light"/>
                <w:color w:val="000000"/>
                <w:kern w:val="20"/>
                <w:sz w:val="22"/>
                <w:szCs w:val="20"/>
                <w:bdr w:val="none" w:sz="0" w:space="0" w:color="auto" w:frame="1"/>
                <w:lang w:val="en-US" w:eastAsia="ja-JP"/>
              </w:rPr>
              <w:t>r</w:t>
            </w:r>
            <w:r w:rsidR="00B0335C" w:rsidRPr="00B0335C">
              <w:rPr>
                <w:rFonts w:asciiTheme="minorHAnsi" w:hAnsiTheme="minorHAnsi"/>
                <w:sz w:val="20"/>
                <w:lang w:val="en-US"/>
              </w:rPr>
              <w:t>egardless of the borrower’s residence</w:t>
            </w:r>
            <w:r w:rsidRPr="00340C23">
              <w:rPr>
                <w:rFonts w:asciiTheme="minorHAnsi" w:hAnsiTheme="minorHAnsi"/>
                <w:sz w:val="20"/>
                <w:lang w:val="en-IE"/>
              </w:rPr>
              <w:t>.</w:t>
            </w:r>
          </w:p>
          <w:p w14:paraId="32A3704C" w14:textId="77777777" w:rsidR="009C22EC" w:rsidRDefault="009C22EC" w:rsidP="00307EF4">
            <w:pPr>
              <w:pStyle w:val="InstructionsText2"/>
              <w:rPr>
                <w:rFonts w:asciiTheme="minorHAnsi" w:hAnsiTheme="minorHAnsi"/>
                <w:sz w:val="20"/>
                <w:lang w:val="en-US"/>
              </w:rPr>
            </w:pPr>
            <w:r>
              <w:rPr>
                <w:rStyle w:val="InstructionsTabelleberschrift"/>
                <w:rFonts w:asciiTheme="minorHAnsi" w:hAnsiTheme="minorHAnsi"/>
                <w:b w:val="0"/>
                <w:bCs w:val="0"/>
                <w:u w:val="none"/>
                <w:lang w:val="en-IE"/>
              </w:rPr>
              <w:t>T</w:t>
            </w:r>
            <w:r w:rsidR="00C74A97">
              <w:rPr>
                <w:rStyle w:val="InstructionsTabelleberschrift"/>
                <w:rFonts w:asciiTheme="minorHAnsi" w:hAnsiTheme="minorHAnsi"/>
                <w:b w:val="0"/>
                <w:bCs w:val="0"/>
                <w:u w:val="none"/>
                <w:lang w:val="en-IE"/>
              </w:rPr>
              <w:t>his means all in</w:t>
            </w:r>
            <w:r w:rsidR="002C7982" w:rsidRPr="002C7982">
              <w:rPr>
                <w:rFonts w:asciiTheme="minorHAnsi" w:hAnsiTheme="minorHAnsi"/>
                <w:sz w:val="20"/>
                <w:lang w:val="en-US"/>
              </w:rPr>
              <w:t>dividual repayment transactions (e.g., every instalment or lump-sum payment) originating from non-EEA countries. </w:t>
            </w:r>
          </w:p>
          <w:p w14:paraId="1AAC66F6" w14:textId="4AAA551F" w:rsidR="009654CE" w:rsidRPr="00846FC3" w:rsidRDefault="0043288A" w:rsidP="00307EF4">
            <w:pPr>
              <w:pStyle w:val="InstructionsText2"/>
              <w:rPr>
                <w:rStyle w:val="InstructionsTabelleberschrift"/>
                <w:rFonts w:asciiTheme="minorHAnsi" w:hAnsiTheme="minorHAnsi"/>
                <w:b w:val="0"/>
                <w:bCs w:val="0"/>
                <w:u w:val="none"/>
              </w:rPr>
            </w:pPr>
            <w:r>
              <w:rPr>
                <w:rStyle w:val="InstructionsTabelleberschrift"/>
                <w:rFonts w:asciiTheme="minorHAnsi" w:hAnsiTheme="minorHAnsi"/>
                <w:b w:val="0"/>
                <w:bCs w:val="0"/>
                <w:u w:val="none"/>
              </w:rPr>
              <w:t>For determining the origin of the payment (EEA-non</w:t>
            </w:r>
            <w:r w:rsidR="00E32D21">
              <w:rPr>
                <w:rStyle w:val="InstructionsTabelleberschrift"/>
                <w:rFonts w:asciiTheme="minorHAnsi" w:hAnsiTheme="minorHAnsi"/>
                <w:b w:val="0"/>
                <w:bCs w:val="0"/>
                <w:u w:val="none"/>
              </w:rPr>
              <w:t xml:space="preserve"> </w:t>
            </w:r>
            <w:r>
              <w:rPr>
                <w:rStyle w:val="InstructionsTabelleberschrift"/>
                <w:rFonts w:asciiTheme="minorHAnsi" w:hAnsiTheme="minorHAnsi"/>
                <w:b w:val="0"/>
                <w:bCs w:val="0"/>
                <w:u w:val="none"/>
              </w:rPr>
              <w:t xml:space="preserve">EEA), </w:t>
            </w:r>
            <w:r w:rsidR="003110A2">
              <w:rPr>
                <w:rStyle w:val="InstructionsTabelleberschrift"/>
                <w:rFonts w:asciiTheme="minorHAnsi" w:hAnsiTheme="minorHAnsi"/>
                <w:b w:val="0"/>
                <w:bCs w:val="0"/>
                <w:u w:val="none"/>
              </w:rPr>
              <w:t xml:space="preserve">use the </w:t>
            </w:r>
            <w:r w:rsidR="00A35BD1">
              <w:rPr>
                <w:rStyle w:val="InstructionsTabelleberschrift"/>
                <w:rFonts w:asciiTheme="minorHAnsi" w:hAnsiTheme="minorHAnsi"/>
                <w:b w:val="0"/>
                <w:bCs w:val="0"/>
                <w:u w:val="none"/>
              </w:rPr>
              <w:t xml:space="preserve">payers residence </w:t>
            </w:r>
            <w:r w:rsidR="004D2B2C">
              <w:rPr>
                <w:rStyle w:val="InstructionsTabelleberschrift"/>
                <w:rFonts w:asciiTheme="minorHAnsi" w:hAnsiTheme="minorHAnsi"/>
                <w:b w:val="0"/>
                <w:bCs w:val="0"/>
                <w:u w:val="none"/>
              </w:rPr>
              <w:t>over the payment account location</w:t>
            </w:r>
            <w:r w:rsidR="009B5D8B">
              <w:rPr>
                <w:rStyle w:val="InstructionsTabelleberschrift"/>
                <w:rFonts w:asciiTheme="minorHAnsi" w:hAnsiTheme="minorHAnsi"/>
                <w:b w:val="0"/>
                <w:bCs w:val="0"/>
                <w:u w:val="none"/>
              </w:rPr>
              <w:t xml:space="preserve"> where possible. </w:t>
            </w:r>
          </w:p>
        </w:tc>
      </w:tr>
      <w:tr w:rsidR="00AD22E8" w:rsidRPr="009B282E" w14:paraId="2FD838AD" w14:textId="77777777" w:rsidTr="5A726F5A">
        <w:tc>
          <w:tcPr>
            <w:tcW w:w="1673" w:type="dxa"/>
            <w:tcBorders>
              <w:top w:val="single" w:sz="4" w:space="0" w:color="auto"/>
              <w:left w:val="single" w:sz="4" w:space="0" w:color="auto"/>
              <w:bottom w:val="single" w:sz="4" w:space="0" w:color="auto"/>
              <w:right w:val="single" w:sz="4" w:space="0" w:color="auto"/>
            </w:tcBorders>
          </w:tcPr>
          <w:p w14:paraId="6371A1FA" w14:textId="40458483" w:rsidR="5A726F5A" w:rsidRPr="000D213F" w:rsidRDefault="5A726F5A" w:rsidP="5A726F5A">
            <w:pPr>
              <w:spacing w:before="0" w:after="0"/>
              <w:rPr>
                <w:rFonts w:asciiTheme="minorHAnsi" w:eastAsia="Calibri" w:hAnsiTheme="minorHAnsi" w:cs="Calibri"/>
                <w:color w:val="000000" w:themeColor="text1"/>
                <w:sz w:val="20"/>
              </w:rPr>
            </w:pPr>
            <w:r w:rsidRPr="000D213F">
              <w:rPr>
                <w:rFonts w:asciiTheme="minorHAnsi" w:eastAsia="Calibri" w:hAnsiTheme="minorHAnsi" w:cs="Calibri"/>
                <w:color w:val="000000" w:themeColor="text1"/>
                <w:sz w:val="20"/>
              </w:rPr>
              <w:t>C0100</w:t>
            </w:r>
          </w:p>
        </w:tc>
        <w:tc>
          <w:tcPr>
            <w:tcW w:w="7616" w:type="dxa"/>
            <w:tcBorders>
              <w:top w:val="single" w:sz="4" w:space="0" w:color="auto"/>
              <w:left w:val="single" w:sz="4" w:space="0" w:color="auto"/>
              <w:bottom w:val="single" w:sz="4" w:space="0" w:color="auto"/>
              <w:right w:val="single" w:sz="4" w:space="0" w:color="auto"/>
            </w:tcBorders>
            <w:vAlign w:val="center"/>
          </w:tcPr>
          <w:p w14:paraId="43C9D094" w14:textId="1F1DDC75" w:rsidR="00491899" w:rsidRDefault="00491899" w:rsidP="00AD22E8">
            <w:pPr>
              <w:pStyle w:val="InstructionsText2"/>
              <w:rPr>
                <w:rFonts w:asciiTheme="minorHAnsi" w:hAnsiTheme="minorHAnsi"/>
                <w:sz w:val="20"/>
                <w:szCs w:val="20"/>
                <w:lang w:val="en-IE"/>
              </w:rPr>
            </w:pPr>
            <w:r w:rsidRPr="00FC0BC2">
              <w:rPr>
                <w:rFonts w:ascii="Aptos" w:hAnsi="Aptos"/>
                <w:b/>
                <w:sz w:val="20"/>
                <w:szCs w:val="20"/>
                <w:u w:val="single"/>
                <w:lang w:val="en-IE"/>
              </w:rPr>
              <w:t xml:space="preserve">Unspecified Consumer Loans - </w:t>
            </w:r>
            <w:r w:rsidR="00307EF4">
              <w:rPr>
                <w:rFonts w:ascii="Aptos" w:hAnsi="Aptos"/>
                <w:b/>
                <w:sz w:val="20"/>
                <w:szCs w:val="20"/>
                <w:u w:val="single"/>
                <w:lang w:val="en-IE"/>
              </w:rPr>
              <w:t>Number</w:t>
            </w:r>
          </w:p>
          <w:p w14:paraId="7D2F2F95" w14:textId="77777777" w:rsidR="00E6315B" w:rsidRDefault="00307EF4" w:rsidP="00CD7E6A">
            <w:pPr>
              <w:pStyle w:val="InstructionsText2"/>
              <w:rPr>
                <w:rFonts w:asciiTheme="minorHAnsi" w:hAnsiTheme="minorHAnsi"/>
                <w:sz w:val="20"/>
                <w:lang w:val="en-US"/>
              </w:rPr>
            </w:pPr>
            <w:r w:rsidRPr="0068543D">
              <w:rPr>
                <w:rFonts w:asciiTheme="minorHAnsi" w:hAnsiTheme="minorHAnsi"/>
                <w:sz w:val="20"/>
                <w:lang w:val="en-US"/>
              </w:rPr>
              <w:t>Total number of c</w:t>
            </w:r>
            <w:r w:rsidR="00491899" w:rsidRPr="0068543D">
              <w:rPr>
                <w:rFonts w:asciiTheme="minorHAnsi" w:hAnsiTheme="minorHAnsi"/>
                <w:sz w:val="20"/>
                <w:lang w:val="en-US"/>
              </w:rPr>
              <w:t xml:space="preserve">onsumer credits and similar credit lines that are granted to customers </w:t>
            </w:r>
            <w:r w:rsidR="006541E0" w:rsidRPr="0068543D">
              <w:rPr>
                <w:rFonts w:asciiTheme="minorHAnsi" w:hAnsiTheme="minorHAnsi"/>
                <w:sz w:val="20"/>
                <w:lang w:val="en-US"/>
              </w:rPr>
              <w:t xml:space="preserve">during the reference year </w:t>
            </w:r>
            <w:r w:rsidR="00491899" w:rsidRPr="0068543D">
              <w:rPr>
                <w:rFonts w:asciiTheme="minorHAnsi" w:hAnsiTheme="minorHAnsi"/>
                <w:sz w:val="20"/>
                <w:lang w:val="en-US"/>
              </w:rPr>
              <w:t>without specifying a purpose for the credit</w:t>
            </w:r>
            <w:r w:rsidR="007C4013">
              <w:rPr>
                <w:rFonts w:asciiTheme="minorHAnsi" w:hAnsiTheme="minorHAnsi"/>
                <w:sz w:val="20"/>
                <w:lang w:val="en-US"/>
              </w:rPr>
              <w:t xml:space="preserve"> (</w:t>
            </w:r>
            <w:r w:rsidR="007C4013" w:rsidRPr="007C4013">
              <w:rPr>
                <w:rFonts w:asciiTheme="minorHAnsi" w:hAnsiTheme="minorHAnsi"/>
                <w:sz w:val="20"/>
                <w:lang w:val="en-US"/>
              </w:rPr>
              <w:t>w</w:t>
            </w:r>
            <w:r w:rsidR="007C4013" w:rsidRPr="00386AF1">
              <w:rPr>
                <w:rFonts w:asciiTheme="minorHAnsi" w:hAnsiTheme="minorHAnsi"/>
                <w:sz w:val="20"/>
                <w:lang w:val="en-US"/>
              </w:rPr>
              <w:t>ithout a defined purpose at origination)</w:t>
            </w:r>
            <w:r w:rsidR="00491899" w:rsidRPr="007C4013">
              <w:rPr>
                <w:rFonts w:asciiTheme="minorHAnsi" w:hAnsiTheme="minorHAnsi"/>
                <w:sz w:val="20"/>
                <w:lang w:val="en-US"/>
              </w:rPr>
              <w:t xml:space="preserve">. </w:t>
            </w:r>
            <w:r w:rsidR="00491899" w:rsidRPr="0068543D">
              <w:rPr>
                <w:rFonts w:asciiTheme="minorHAnsi" w:hAnsiTheme="minorHAnsi"/>
                <w:sz w:val="20"/>
                <w:lang w:val="en-US"/>
              </w:rPr>
              <w:t>The customers are free to decide how</w:t>
            </w:r>
            <w:r w:rsidR="00563FBC">
              <w:rPr>
                <w:rFonts w:asciiTheme="minorHAnsi" w:hAnsiTheme="minorHAnsi"/>
                <w:sz w:val="20"/>
                <w:lang w:val="en-US"/>
              </w:rPr>
              <w:t xml:space="preserve"> (and when)</w:t>
            </w:r>
            <w:r w:rsidR="00491899" w:rsidRPr="0068543D">
              <w:rPr>
                <w:rFonts w:asciiTheme="minorHAnsi" w:hAnsiTheme="minorHAnsi"/>
                <w:sz w:val="20"/>
                <w:lang w:val="en-US"/>
              </w:rPr>
              <w:t xml:space="preserve"> they want to use the funds borrowed from the lender.</w:t>
            </w:r>
          </w:p>
          <w:p w14:paraId="6779344C" w14:textId="54F1F8E9" w:rsidR="0058079A" w:rsidRPr="002667BA" w:rsidRDefault="002667BA" w:rsidP="00CD7E6A">
            <w:pPr>
              <w:pStyle w:val="InstructionsText2"/>
              <w:rPr>
                <w:rStyle w:val="InstructionsTabelleberschrift"/>
                <w:rFonts w:asciiTheme="minorHAnsi" w:hAnsiTheme="minorHAnsi"/>
                <w:b w:val="0"/>
                <w:bCs w:val="0"/>
                <w:u w:val="none"/>
              </w:rPr>
            </w:pPr>
            <w:r w:rsidRPr="002667BA">
              <w:rPr>
                <w:rFonts w:asciiTheme="minorHAnsi" w:hAnsiTheme="minorHAnsi"/>
                <w:sz w:val="20"/>
                <w:lang w:val="en-US"/>
              </w:rPr>
              <w:t>L</w:t>
            </w:r>
            <w:r w:rsidR="0058079A" w:rsidRPr="002667BA">
              <w:rPr>
                <w:rFonts w:asciiTheme="minorHAnsi" w:hAnsiTheme="minorHAnsi"/>
                <w:sz w:val="20"/>
                <w:lang w:val="en-US"/>
              </w:rPr>
              <w:t>oans </w:t>
            </w:r>
            <w:r w:rsidR="0058079A" w:rsidRPr="00386AF1">
              <w:rPr>
                <w:rFonts w:asciiTheme="minorHAnsi" w:hAnsiTheme="minorHAnsi"/>
                <w:sz w:val="20"/>
                <w:lang w:val="en-US"/>
              </w:rPr>
              <w:t>initially linked to a purpose</w:t>
            </w:r>
            <w:r w:rsidR="0058079A" w:rsidRPr="002667BA">
              <w:rPr>
                <w:rFonts w:asciiTheme="minorHAnsi" w:hAnsiTheme="minorHAnsi"/>
                <w:sz w:val="20"/>
                <w:lang w:val="en-US"/>
              </w:rPr>
              <w:t xml:space="preserve"> but later used flexibly </w:t>
            </w:r>
            <w:r w:rsidR="009D53E9">
              <w:rPr>
                <w:rFonts w:asciiTheme="minorHAnsi" w:hAnsiTheme="minorHAnsi"/>
                <w:sz w:val="20"/>
                <w:lang w:val="en-US"/>
              </w:rPr>
              <w:t>and loans related to m</w:t>
            </w:r>
            <w:r w:rsidR="009D53E9" w:rsidRPr="009D53E9">
              <w:rPr>
                <w:rFonts w:asciiTheme="minorHAnsi" w:hAnsiTheme="minorHAnsi"/>
                <w:sz w:val="20"/>
                <w:lang w:val="en-US"/>
              </w:rPr>
              <w:t>ortgages, auto loans, point-of-sale financing, corporate loans</w:t>
            </w:r>
            <w:r w:rsidR="00BE11CD">
              <w:rPr>
                <w:rFonts w:asciiTheme="minorHAnsi" w:hAnsiTheme="minorHAnsi"/>
                <w:sz w:val="20"/>
                <w:lang w:val="en-US"/>
              </w:rPr>
              <w:t>, acquired loan portfolios</w:t>
            </w:r>
            <w:r w:rsidR="009D53E9">
              <w:rPr>
                <w:rFonts w:asciiTheme="minorHAnsi" w:hAnsiTheme="minorHAnsi"/>
                <w:sz w:val="20"/>
                <w:lang w:val="en-US"/>
              </w:rPr>
              <w:t xml:space="preserve"> </w:t>
            </w:r>
            <w:r w:rsidR="00A51A83">
              <w:rPr>
                <w:rFonts w:asciiTheme="minorHAnsi" w:hAnsiTheme="minorHAnsi"/>
                <w:sz w:val="20"/>
                <w:lang w:val="en-US"/>
              </w:rPr>
              <w:t xml:space="preserve">etc. </w:t>
            </w:r>
            <w:r w:rsidR="009D53E9">
              <w:rPr>
                <w:rFonts w:asciiTheme="minorHAnsi" w:hAnsiTheme="minorHAnsi"/>
                <w:sz w:val="20"/>
                <w:lang w:val="en-US"/>
              </w:rPr>
              <w:t>should be excluded</w:t>
            </w:r>
            <w:r w:rsidR="0058079A" w:rsidRPr="002667BA">
              <w:rPr>
                <w:rFonts w:asciiTheme="minorHAnsi" w:hAnsiTheme="minorHAnsi"/>
                <w:sz w:val="20"/>
                <w:lang w:val="en-US"/>
              </w:rPr>
              <w:t>.</w:t>
            </w:r>
            <w:r w:rsidR="006032DC">
              <w:rPr>
                <w:rFonts w:asciiTheme="minorHAnsi" w:hAnsiTheme="minorHAnsi"/>
                <w:sz w:val="20"/>
                <w:lang w:val="en-US"/>
              </w:rPr>
              <w:t xml:space="preserve"> </w:t>
            </w:r>
          </w:p>
        </w:tc>
      </w:tr>
      <w:tr w:rsidR="005E211E" w:rsidRPr="009B282E" w14:paraId="23456BE0" w14:textId="77777777" w:rsidTr="5A726F5A">
        <w:tc>
          <w:tcPr>
            <w:tcW w:w="1673" w:type="dxa"/>
            <w:tcBorders>
              <w:top w:val="single" w:sz="4" w:space="0" w:color="auto"/>
              <w:left w:val="single" w:sz="4" w:space="0" w:color="auto"/>
              <w:bottom w:val="single" w:sz="4" w:space="0" w:color="auto"/>
              <w:right w:val="single" w:sz="4" w:space="0" w:color="auto"/>
            </w:tcBorders>
          </w:tcPr>
          <w:p w14:paraId="45E54CBA" w14:textId="27CDB009" w:rsidR="5A726F5A" w:rsidRPr="000D213F" w:rsidRDefault="5A726F5A" w:rsidP="5A726F5A">
            <w:pPr>
              <w:spacing w:before="0" w:after="0"/>
              <w:rPr>
                <w:rFonts w:asciiTheme="minorHAnsi" w:eastAsia="Calibri" w:hAnsiTheme="minorHAnsi" w:cs="Calibri"/>
                <w:color w:val="000000" w:themeColor="text1"/>
                <w:sz w:val="20"/>
              </w:rPr>
            </w:pPr>
            <w:r w:rsidRPr="000D213F">
              <w:rPr>
                <w:rFonts w:asciiTheme="minorHAnsi" w:eastAsia="Calibri" w:hAnsiTheme="minorHAnsi" w:cs="Calibri"/>
                <w:color w:val="000000" w:themeColor="text1"/>
                <w:sz w:val="20"/>
              </w:rPr>
              <w:t>C0110</w:t>
            </w:r>
          </w:p>
        </w:tc>
        <w:tc>
          <w:tcPr>
            <w:tcW w:w="7616" w:type="dxa"/>
            <w:tcBorders>
              <w:top w:val="single" w:sz="8" w:space="0" w:color="auto"/>
              <w:left w:val="single" w:sz="4" w:space="0" w:color="auto"/>
              <w:bottom w:val="single" w:sz="4" w:space="0" w:color="auto"/>
              <w:right w:val="single" w:sz="4" w:space="0" w:color="auto"/>
            </w:tcBorders>
            <w:vAlign w:val="center"/>
          </w:tcPr>
          <w:p w14:paraId="0696F182" w14:textId="11402DF7" w:rsidR="00491899" w:rsidRDefault="005F6063" w:rsidP="00734FE4">
            <w:pPr>
              <w:pStyle w:val="InstructionsText2"/>
              <w:rPr>
                <w:rFonts w:asciiTheme="minorHAnsi" w:hAnsiTheme="minorHAnsi"/>
                <w:sz w:val="20"/>
                <w:lang w:val="en-IE"/>
              </w:rPr>
            </w:pPr>
            <w:r>
              <w:rPr>
                <w:rFonts w:ascii="Aptos" w:hAnsi="Aptos"/>
                <w:b/>
                <w:sz w:val="20"/>
                <w:u w:val="single"/>
                <w:lang w:val="en-IE"/>
              </w:rPr>
              <w:t>F</w:t>
            </w:r>
            <w:r w:rsidR="00491899" w:rsidRPr="00B96AD8">
              <w:rPr>
                <w:rFonts w:ascii="Aptos" w:hAnsi="Aptos"/>
                <w:b/>
                <w:sz w:val="20"/>
                <w:u w:val="single"/>
                <w:lang w:val="en-IE"/>
              </w:rPr>
              <w:t xml:space="preserve">actoring Contracts Granted - </w:t>
            </w:r>
            <w:r>
              <w:rPr>
                <w:rFonts w:ascii="Aptos" w:hAnsi="Aptos"/>
                <w:b/>
                <w:sz w:val="20"/>
                <w:u w:val="single"/>
                <w:lang w:val="en-IE"/>
              </w:rPr>
              <w:t>Number</w:t>
            </w:r>
          </w:p>
          <w:p w14:paraId="3D8E7963" w14:textId="60CCD1D9" w:rsidR="00491899" w:rsidRDefault="008413F1" w:rsidP="00734FE4">
            <w:pPr>
              <w:pStyle w:val="InstructionsText2"/>
              <w:rPr>
                <w:rFonts w:asciiTheme="minorHAnsi" w:hAnsiTheme="minorHAnsi"/>
                <w:sz w:val="20"/>
                <w:szCs w:val="20"/>
                <w:lang w:val="en-IE"/>
              </w:rPr>
            </w:pPr>
            <w:r w:rsidRPr="007C2ECD">
              <w:rPr>
                <w:rFonts w:asciiTheme="minorHAnsi" w:hAnsiTheme="minorHAnsi"/>
                <w:sz w:val="20"/>
                <w:szCs w:val="20"/>
                <w:lang w:val="en-IE"/>
              </w:rPr>
              <w:t>F</w:t>
            </w:r>
            <w:r w:rsidR="00491899" w:rsidRPr="007C2ECD">
              <w:rPr>
                <w:rFonts w:asciiTheme="minorHAnsi" w:hAnsiTheme="minorHAnsi"/>
                <w:sz w:val="20"/>
                <w:szCs w:val="20"/>
                <w:lang w:val="en-IE"/>
              </w:rPr>
              <w:t>or the purpose of this data collection, factoring should be understood as a credit activity consisting of the financing of commercial transactions through the purchase of trade receivables, with or without recourse during the reference year.</w:t>
            </w:r>
            <w:r w:rsidR="00511FCB">
              <w:rPr>
                <w:rFonts w:asciiTheme="minorHAnsi" w:hAnsiTheme="minorHAnsi"/>
                <w:sz w:val="20"/>
                <w:szCs w:val="20"/>
                <w:lang w:val="en-IE"/>
              </w:rPr>
              <w:t xml:space="preserve"> </w:t>
            </w:r>
            <w:r w:rsidR="00181039">
              <w:rPr>
                <w:rFonts w:asciiTheme="minorHAnsi" w:hAnsiTheme="minorHAnsi"/>
                <w:sz w:val="20"/>
                <w:szCs w:val="20"/>
                <w:lang w:val="en-IE"/>
              </w:rPr>
              <w:t xml:space="preserve">This includes </w:t>
            </w:r>
            <w:r w:rsidR="00FC5A10">
              <w:rPr>
                <w:rFonts w:asciiTheme="minorHAnsi" w:hAnsiTheme="minorHAnsi"/>
                <w:sz w:val="20"/>
                <w:szCs w:val="20"/>
                <w:lang w:val="en-IE"/>
              </w:rPr>
              <w:t>payables finance</w:t>
            </w:r>
            <w:r w:rsidR="009D7E98">
              <w:rPr>
                <w:rFonts w:asciiTheme="minorHAnsi" w:hAnsiTheme="minorHAnsi"/>
                <w:sz w:val="20"/>
                <w:szCs w:val="20"/>
                <w:lang w:val="en-IE"/>
              </w:rPr>
              <w:t xml:space="preserve"> and</w:t>
            </w:r>
            <w:r w:rsidR="00FC5A10">
              <w:rPr>
                <w:rFonts w:asciiTheme="minorHAnsi" w:hAnsiTheme="minorHAnsi"/>
                <w:sz w:val="20"/>
                <w:szCs w:val="20"/>
                <w:lang w:val="en-IE"/>
              </w:rPr>
              <w:t xml:space="preserve"> invoice discounting</w:t>
            </w:r>
            <w:r w:rsidR="009D7E98">
              <w:rPr>
                <w:rFonts w:asciiTheme="minorHAnsi" w:hAnsiTheme="minorHAnsi"/>
                <w:sz w:val="20"/>
                <w:szCs w:val="20"/>
                <w:lang w:val="en-IE"/>
              </w:rPr>
              <w:t xml:space="preserve">. </w:t>
            </w:r>
          </w:p>
          <w:p w14:paraId="2A751860" w14:textId="734E9A5A" w:rsidR="00290916" w:rsidRDefault="00290916" w:rsidP="00734FE4">
            <w:pPr>
              <w:pStyle w:val="InstructionsText2"/>
              <w:rPr>
                <w:rFonts w:asciiTheme="minorHAnsi" w:hAnsiTheme="minorHAnsi"/>
                <w:sz w:val="20"/>
                <w:szCs w:val="20"/>
                <w:lang w:val="en-IE"/>
              </w:rPr>
            </w:pPr>
            <w:r w:rsidRPr="00290916">
              <w:rPr>
                <w:rFonts w:asciiTheme="minorHAnsi" w:hAnsiTheme="minorHAnsi"/>
                <w:sz w:val="20"/>
                <w:szCs w:val="20"/>
                <w:lang w:val="en-US"/>
              </w:rPr>
              <w:t>Securitisation, leasing, forfaiting, stock financing (unless explicitly part of factoring operations)</w:t>
            </w:r>
            <w:r w:rsidR="00EF6AC3">
              <w:rPr>
                <w:rFonts w:asciiTheme="minorHAnsi" w:hAnsiTheme="minorHAnsi"/>
                <w:sz w:val="20"/>
                <w:szCs w:val="20"/>
                <w:lang w:val="en-US"/>
              </w:rPr>
              <w:t xml:space="preserve"> </w:t>
            </w:r>
            <w:r w:rsidR="009271EA">
              <w:rPr>
                <w:rFonts w:asciiTheme="minorHAnsi" w:hAnsiTheme="minorHAnsi"/>
                <w:sz w:val="20"/>
                <w:szCs w:val="20"/>
                <w:lang w:val="en-US"/>
              </w:rPr>
              <w:t xml:space="preserve">and </w:t>
            </w:r>
            <w:r w:rsidR="009271EA" w:rsidRPr="009271EA">
              <w:rPr>
                <w:rFonts w:asciiTheme="minorHAnsi" w:hAnsiTheme="minorHAnsi"/>
                <w:sz w:val="20"/>
                <w:szCs w:val="20"/>
                <w:lang w:val="en-US"/>
              </w:rPr>
              <w:t>i</w:t>
            </w:r>
            <w:r w:rsidR="009271EA" w:rsidRPr="00386AF1">
              <w:rPr>
                <w:rFonts w:asciiTheme="minorHAnsi" w:hAnsiTheme="minorHAnsi"/>
                <w:sz w:val="20"/>
                <w:szCs w:val="20"/>
                <w:lang w:val="en-US"/>
              </w:rPr>
              <w:t>ntermediated/brokered factoring</w:t>
            </w:r>
            <w:r w:rsidR="00782710">
              <w:rPr>
                <w:rFonts w:asciiTheme="minorHAnsi" w:hAnsiTheme="minorHAnsi"/>
                <w:sz w:val="20"/>
                <w:szCs w:val="20"/>
                <w:lang w:val="en-US"/>
              </w:rPr>
              <w:t xml:space="preserve"> are excluded</w:t>
            </w:r>
            <w:r w:rsidRPr="00290916">
              <w:rPr>
                <w:rFonts w:asciiTheme="minorHAnsi" w:hAnsiTheme="minorHAnsi"/>
                <w:sz w:val="20"/>
                <w:szCs w:val="20"/>
                <w:lang w:val="en-US"/>
              </w:rPr>
              <w:t>.</w:t>
            </w:r>
          </w:p>
          <w:p w14:paraId="19A9D462" w14:textId="7BAFD17C" w:rsidR="00A36B46" w:rsidRPr="00A36B46" w:rsidRDefault="00D3765E" w:rsidP="00927430">
            <w:pPr>
              <w:pStyle w:val="InstructionsText2"/>
              <w:rPr>
                <w:rStyle w:val="InstructionsTabelleberschrift"/>
                <w:rFonts w:asciiTheme="minorHAnsi" w:hAnsiTheme="minorHAnsi"/>
                <w:b w:val="0"/>
                <w:bCs w:val="0"/>
                <w:u w:val="none"/>
              </w:rPr>
            </w:pPr>
            <w:r w:rsidRPr="00386AF1">
              <w:rPr>
                <w:rStyle w:val="InstructionsTabelleberschrift"/>
                <w:rFonts w:asciiTheme="minorHAnsi" w:hAnsiTheme="minorHAnsi"/>
                <w:b w:val="0"/>
                <w:bCs w:val="0"/>
                <w:u w:val="none"/>
              </w:rPr>
              <w:t>Indicate the total number of factoring contracts granted</w:t>
            </w:r>
            <w:r w:rsidRPr="007C2ECD">
              <w:rPr>
                <w:rStyle w:val="InstructionsTabelleberschrift"/>
                <w:rFonts w:asciiTheme="minorHAnsi" w:hAnsiTheme="minorHAnsi"/>
                <w:b w:val="0"/>
                <w:bCs w:val="0"/>
              </w:rPr>
              <w:t xml:space="preserve"> </w:t>
            </w:r>
            <w:r w:rsidRPr="007C2ECD">
              <w:rPr>
                <w:rFonts w:asciiTheme="minorHAnsi" w:hAnsiTheme="minorHAnsi"/>
                <w:sz w:val="20"/>
                <w:lang w:val="en-IE"/>
              </w:rPr>
              <w:t>during the reference year</w:t>
            </w:r>
            <w:r w:rsidR="00013416">
              <w:rPr>
                <w:rFonts w:asciiTheme="minorHAnsi" w:hAnsiTheme="minorHAnsi"/>
                <w:sz w:val="20"/>
                <w:lang w:val="en-IE"/>
              </w:rPr>
              <w:t xml:space="preserve"> (</w:t>
            </w:r>
            <w:r w:rsidR="00013416" w:rsidRPr="00013416">
              <w:rPr>
                <w:rFonts w:asciiTheme="minorHAnsi" w:hAnsiTheme="minorHAnsi"/>
                <w:sz w:val="20"/>
                <w:lang w:val="en-US"/>
              </w:rPr>
              <w:t>e.g., count each legally distinct contract, regardless of client)</w:t>
            </w:r>
            <w:r w:rsidR="00927430" w:rsidRPr="007C2ECD">
              <w:rPr>
                <w:rFonts w:asciiTheme="minorHAnsi" w:hAnsiTheme="minorHAnsi"/>
                <w:sz w:val="20"/>
                <w:lang w:val="en-IE"/>
              </w:rPr>
              <w:t>.</w:t>
            </w:r>
            <w:r w:rsidR="00BC5926">
              <w:rPr>
                <w:rFonts w:asciiTheme="minorHAnsi" w:hAnsiTheme="minorHAnsi"/>
                <w:sz w:val="20"/>
                <w:lang w:val="en-IE"/>
              </w:rPr>
              <w:t xml:space="preserve"> Master agreements with </w:t>
            </w:r>
            <w:r w:rsidR="009342A2">
              <w:rPr>
                <w:rFonts w:asciiTheme="minorHAnsi" w:hAnsiTheme="minorHAnsi"/>
                <w:sz w:val="20"/>
                <w:lang w:val="en-IE"/>
              </w:rPr>
              <w:t xml:space="preserve">multiple assignments </w:t>
            </w:r>
            <w:r w:rsidR="00BC5926">
              <w:rPr>
                <w:rFonts w:asciiTheme="minorHAnsi" w:hAnsiTheme="minorHAnsi"/>
                <w:sz w:val="20"/>
                <w:lang w:val="en-IE"/>
              </w:rPr>
              <w:t xml:space="preserve">should be counted once. </w:t>
            </w:r>
            <w:r w:rsidR="006F56C5" w:rsidRPr="006F56C5">
              <w:rPr>
                <w:rFonts w:asciiTheme="minorHAnsi" w:hAnsiTheme="minorHAnsi"/>
                <w:sz w:val="20"/>
                <w:lang w:val="en-IE"/>
              </w:rPr>
              <w:t>Count only the contracts, even if one contract covers multiple legal entities</w:t>
            </w:r>
            <w:r w:rsidR="006F56C5">
              <w:rPr>
                <w:rFonts w:asciiTheme="minorHAnsi" w:hAnsiTheme="minorHAnsi"/>
                <w:sz w:val="20"/>
                <w:lang w:val="en-IE"/>
              </w:rPr>
              <w:t xml:space="preserve">. </w:t>
            </w:r>
          </w:p>
        </w:tc>
      </w:tr>
      <w:tr w:rsidR="005E211E" w:rsidRPr="009B282E" w14:paraId="0DC102CE" w14:textId="77777777" w:rsidTr="5A726F5A">
        <w:tc>
          <w:tcPr>
            <w:tcW w:w="1673" w:type="dxa"/>
            <w:tcBorders>
              <w:top w:val="single" w:sz="4" w:space="0" w:color="auto"/>
              <w:left w:val="single" w:sz="4" w:space="0" w:color="auto"/>
              <w:bottom w:val="single" w:sz="4" w:space="0" w:color="auto"/>
              <w:right w:val="single" w:sz="4" w:space="0" w:color="auto"/>
            </w:tcBorders>
          </w:tcPr>
          <w:p w14:paraId="20A9C563" w14:textId="1CB2E47B" w:rsidR="5A726F5A" w:rsidRPr="000D213F" w:rsidRDefault="5A726F5A" w:rsidP="5A726F5A">
            <w:pPr>
              <w:spacing w:before="0" w:after="0"/>
              <w:rPr>
                <w:rFonts w:asciiTheme="minorHAnsi" w:eastAsia="Calibri" w:hAnsiTheme="minorHAnsi" w:cs="Calibri"/>
                <w:color w:val="000000" w:themeColor="text1"/>
                <w:sz w:val="20"/>
              </w:rPr>
            </w:pPr>
            <w:r w:rsidRPr="000D213F">
              <w:rPr>
                <w:rFonts w:asciiTheme="minorHAnsi" w:eastAsia="Calibri" w:hAnsiTheme="minorHAnsi" w:cs="Calibri"/>
                <w:color w:val="000000" w:themeColor="text1"/>
                <w:sz w:val="20"/>
              </w:rPr>
              <w:t>C0120</w:t>
            </w:r>
          </w:p>
        </w:tc>
        <w:tc>
          <w:tcPr>
            <w:tcW w:w="7616" w:type="dxa"/>
            <w:tcBorders>
              <w:top w:val="nil"/>
              <w:left w:val="single" w:sz="4" w:space="0" w:color="auto"/>
              <w:bottom w:val="single" w:sz="4" w:space="0" w:color="auto"/>
              <w:right w:val="single" w:sz="4" w:space="0" w:color="auto"/>
            </w:tcBorders>
            <w:vAlign w:val="center"/>
          </w:tcPr>
          <w:p w14:paraId="59C57742" w14:textId="77777777" w:rsidR="00491899" w:rsidRDefault="00491899" w:rsidP="00734FE4">
            <w:pPr>
              <w:pStyle w:val="InstructionsText2"/>
              <w:rPr>
                <w:rFonts w:asciiTheme="minorHAnsi" w:hAnsiTheme="minorHAnsi"/>
                <w:sz w:val="20"/>
                <w:szCs w:val="20"/>
                <w:lang w:val="en-IE"/>
              </w:rPr>
            </w:pPr>
            <w:r w:rsidRPr="00B70637">
              <w:rPr>
                <w:rFonts w:ascii="Aptos" w:hAnsi="Aptos"/>
                <w:b/>
                <w:sz w:val="20"/>
                <w:szCs w:val="20"/>
                <w:u w:val="single"/>
                <w:lang w:val="en-IE"/>
              </w:rPr>
              <w:t>Factoring Contracts Granted - Value</w:t>
            </w:r>
          </w:p>
          <w:p w14:paraId="28AA40EB" w14:textId="77777777" w:rsidR="00A36B46" w:rsidRDefault="00491899" w:rsidP="0009639C">
            <w:pPr>
              <w:pStyle w:val="InstructionsText2"/>
              <w:rPr>
                <w:rFonts w:asciiTheme="minorHAnsi" w:hAnsiTheme="minorHAnsi"/>
                <w:sz w:val="20"/>
                <w:lang w:val="en-IE"/>
              </w:rPr>
            </w:pPr>
            <w:r w:rsidRPr="00B70637">
              <w:rPr>
                <w:rFonts w:asciiTheme="minorHAnsi" w:hAnsiTheme="minorHAnsi"/>
                <w:sz w:val="20"/>
                <w:lang w:val="en-IE"/>
              </w:rPr>
              <w:t>Indicate Factoring Contracts Granted - Value during the reference year.</w:t>
            </w:r>
          </w:p>
          <w:p w14:paraId="6DE88EF3" w14:textId="6CA74688" w:rsidR="00D23653" w:rsidRPr="00A36B46" w:rsidRDefault="001E5750" w:rsidP="0009639C">
            <w:pPr>
              <w:pStyle w:val="InstructionsText2"/>
              <w:rPr>
                <w:rStyle w:val="InstructionsTabelleberschrift"/>
                <w:rFonts w:asciiTheme="minorHAnsi" w:hAnsiTheme="minorHAnsi"/>
                <w:b w:val="0"/>
                <w:bCs w:val="0"/>
                <w:u w:val="none"/>
              </w:rPr>
            </w:pPr>
            <w:r>
              <w:rPr>
                <w:rStyle w:val="InstructionsTabelleberschrift"/>
                <w:rFonts w:asciiTheme="minorHAnsi" w:hAnsiTheme="minorHAnsi"/>
                <w:b w:val="0"/>
                <w:bCs w:val="0"/>
                <w:u w:val="none"/>
                <w:lang w:val="en-IE"/>
              </w:rPr>
              <w:t>T</w:t>
            </w:r>
            <w:r w:rsidR="001E22C9">
              <w:rPr>
                <w:rStyle w:val="InstructionsTabelleberschrift"/>
                <w:rFonts w:asciiTheme="minorHAnsi" w:hAnsiTheme="minorHAnsi"/>
                <w:b w:val="0"/>
                <w:bCs w:val="0"/>
                <w:u w:val="none"/>
                <w:lang w:val="en-IE"/>
              </w:rPr>
              <w:t>he value inclu</w:t>
            </w:r>
            <w:r w:rsidR="009E260F">
              <w:rPr>
                <w:rStyle w:val="InstructionsTabelleberschrift"/>
                <w:rFonts w:asciiTheme="minorHAnsi" w:hAnsiTheme="minorHAnsi"/>
                <w:b w:val="0"/>
                <w:bCs w:val="0"/>
                <w:u w:val="none"/>
                <w:lang w:val="en-IE"/>
              </w:rPr>
              <w:t xml:space="preserve">des </w:t>
            </w:r>
            <w:r w:rsidR="00D35914">
              <w:rPr>
                <w:rStyle w:val="InstructionsTabelleberschrift"/>
                <w:rFonts w:asciiTheme="minorHAnsi" w:hAnsiTheme="minorHAnsi"/>
                <w:b w:val="0"/>
                <w:bCs w:val="0"/>
                <w:u w:val="none"/>
                <w:lang w:val="en-IE"/>
              </w:rPr>
              <w:t>the nominal receivables</w:t>
            </w:r>
            <w:r w:rsidR="00CF5A80">
              <w:rPr>
                <w:rStyle w:val="InstructionsTabelleberschrift"/>
                <w:rFonts w:asciiTheme="minorHAnsi" w:hAnsiTheme="minorHAnsi"/>
                <w:b w:val="0"/>
                <w:bCs w:val="0"/>
                <w:u w:val="none"/>
                <w:lang w:val="en-IE"/>
              </w:rPr>
              <w:t xml:space="preserve"> (or payables in case </w:t>
            </w:r>
            <w:r w:rsidR="00795F93">
              <w:rPr>
                <w:rStyle w:val="InstructionsTabelleberschrift"/>
                <w:rFonts w:asciiTheme="minorHAnsi" w:hAnsiTheme="minorHAnsi"/>
                <w:b w:val="0"/>
                <w:bCs w:val="0"/>
                <w:u w:val="none"/>
                <w:lang w:val="en-IE"/>
              </w:rPr>
              <w:t>of reverse factoring)</w:t>
            </w:r>
            <w:r w:rsidR="00D23653">
              <w:rPr>
                <w:rStyle w:val="InstructionsTabelleberschrift"/>
                <w:rFonts w:asciiTheme="minorHAnsi" w:hAnsiTheme="minorHAnsi"/>
                <w:b w:val="0"/>
                <w:bCs w:val="0"/>
                <w:u w:val="none"/>
                <w:lang w:val="en-IE"/>
              </w:rPr>
              <w:t xml:space="preserve">. </w:t>
            </w:r>
          </w:p>
        </w:tc>
      </w:tr>
      <w:tr w:rsidR="005E211E" w:rsidRPr="009B282E" w14:paraId="35A183B7" w14:textId="77777777" w:rsidTr="5A726F5A">
        <w:tc>
          <w:tcPr>
            <w:tcW w:w="1673" w:type="dxa"/>
            <w:tcBorders>
              <w:top w:val="single" w:sz="4" w:space="0" w:color="auto"/>
              <w:left w:val="single" w:sz="4" w:space="0" w:color="auto"/>
              <w:bottom w:val="single" w:sz="4" w:space="0" w:color="auto"/>
              <w:right w:val="single" w:sz="4" w:space="0" w:color="auto"/>
            </w:tcBorders>
          </w:tcPr>
          <w:p w14:paraId="1D01C243" w14:textId="71F3E043" w:rsidR="5A726F5A" w:rsidRPr="000D213F" w:rsidRDefault="5A726F5A" w:rsidP="5A726F5A">
            <w:pPr>
              <w:spacing w:before="0" w:after="0"/>
              <w:rPr>
                <w:rFonts w:asciiTheme="minorHAnsi" w:eastAsia="Calibri" w:hAnsiTheme="minorHAnsi" w:cs="Calibri"/>
                <w:color w:val="000000" w:themeColor="text1"/>
                <w:sz w:val="20"/>
              </w:rPr>
            </w:pPr>
            <w:r w:rsidRPr="000D213F">
              <w:rPr>
                <w:rFonts w:asciiTheme="minorHAnsi" w:eastAsia="Calibri" w:hAnsiTheme="minorHAnsi" w:cs="Calibri"/>
                <w:color w:val="000000" w:themeColor="text1"/>
                <w:sz w:val="20"/>
              </w:rPr>
              <w:t>C0130</w:t>
            </w:r>
          </w:p>
        </w:tc>
        <w:tc>
          <w:tcPr>
            <w:tcW w:w="7616" w:type="dxa"/>
            <w:tcBorders>
              <w:top w:val="nil"/>
              <w:left w:val="single" w:sz="4" w:space="0" w:color="auto"/>
              <w:bottom w:val="single" w:sz="8" w:space="0" w:color="auto"/>
              <w:right w:val="single" w:sz="4" w:space="0" w:color="auto"/>
            </w:tcBorders>
            <w:vAlign w:val="center"/>
          </w:tcPr>
          <w:p w14:paraId="262B4C7B" w14:textId="621D98CC" w:rsidR="00491899" w:rsidRDefault="0050081E" w:rsidP="00734FE4">
            <w:pPr>
              <w:pStyle w:val="InstructionsText2"/>
              <w:rPr>
                <w:rFonts w:asciiTheme="minorHAnsi" w:hAnsiTheme="minorHAnsi"/>
                <w:sz w:val="20"/>
                <w:szCs w:val="20"/>
                <w:lang w:val="en-IE"/>
              </w:rPr>
            </w:pPr>
            <w:r>
              <w:rPr>
                <w:rStyle w:val="InstructionsTabelleberschrift"/>
                <w:rFonts w:asciiTheme="minorHAnsi" w:hAnsiTheme="minorHAnsi"/>
              </w:rPr>
              <w:t xml:space="preserve"> </w:t>
            </w:r>
            <w:r w:rsidR="00491899" w:rsidRPr="00835E99">
              <w:rPr>
                <w:rFonts w:ascii="Aptos" w:hAnsi="Aptos"/>
                <w:b/>
                <w:sz w:val="20"/>
                <w:szCs w:val="20"/>
                <w:u w:val="single"/>
                <w:lang w:val="en-IE"/>
              </w:rPr>
              <w:t>Factoring Contracts to Non-EEA Obligors - Value</w:t>
            </w:r>
          </w:p>
          <w:p w14:paraId="2B09E4F6" w14:textId="4EF67209" w:rsidR="00A36B46" w:rsidRPr="00A36B46" w:rsidRDefault="00491899" w:rsidP="00F4450E">
            <w:pPr>
              <w:pStyle w:val="InstructionsText2"/>
              <w:rPr>
                <w:rStyle w:val="InstructionsTabelleberschrift"/>
                <w:rFonts w:asciiTheme="minorHAnsi" w:hAnsiTheme="minorHAnsi"/>
                <w:b w:val="0"/>
                <w:bCs w:val="0"/>
                <w:u w:val="none"/>
              </w:rPr>
            </w:pPr>
            <w:r w:rsidRPr="00835E99">
              <w:rPr>
                <w:rFonts w:asciiTheme="minorHAnsi" w:hAnsiTheme="minorHAnsi"/>
                <w:sz w:val="20"/>
                <w:lang w:val="en-IE"/>
              </w:rPr>
              <w:t>Indicate Factoring Contracts to Non-EEA Obligors - Value during the reference year.</w:t>
            </w:r>
          </w:p>
        </w:tc>
      </w:tr>
    </w:tbl>
    <w:p w14:paraId="5E6F16B4" w14:textId="5D0455AA" w:rsidR="00255D1E" w:rsidRPr="009B282E" w:rsidRDefault="2B78C2BB" w:rsidP="00CB14A2">
      <w:pPr>
        <w:pStyle w:val="Heading3"/>
        <w:rPr>
          <w:lang w:val="en-GB"/>
        </w:rPr>
      </w:pPr>
      <w:bookmarkStart w:id="124" w:name="_Toc223018900"/>
      <w:bookmarkStart w:id="125" w:name="_Toc223021698"/>
      <w:bookmarkStart w:id="126" w:name="_Toc223086547"/>
      <w:bookmarkStart w:id="127" w:name="_Toc223086641"/>
      <w:bookmarkStart w:id="128" w:name="_Toc223086735"/>
      <w:bookmarkStart w:id="129" w:name="_Toc223086829"/>
      <w:bookmarkStart w:id="130" w:name="_Toc221355972"/>
      <w:bookmarkStart w:id="131" w:name="_Toc223104838"/>
      <w:bookmarkEnd w:id="124"/>
      <w:bookmarkEnd w:id="125"/>
      <w:bookmarkEnd w:id="126"/>
      <w:bookmarkEnd w:id="127"/>
      <w:bookmarkEnd w:id="128"/>
      <w:bookmarkEnd w:id="129"/>
      <w:r w:rsidRPr="009B282E">
        <w:rPr>
          <w:lang w:val="en-GB"/>
        </w:rPr>
        <w:t xml:space="preserve">AML.03.05 </w:t>
      </w:r>
      <w:r w:rsidR="009A4591">
        <w:rPr>
          <w:lang w:val="en-GB"/>
        </w:rPr>
        <w:t xml:space="preserve">Life </w:t>
      </w:r>
      <w:r w:rsidR="00C74985">
        <w:rPr>
          <w:lang w:val="en-GB"/>
        </w:rPr>
        <w:t>I</w:t>
      </w:r>
      <w:r w:rsidR="009A4591">
        <w:rPr>
          <w:lang w:val="en-GB"/>
        </w:rPr>
        <w:t xml:space="preserve">nsurance </w:t>
      </w:r>
      <w:r w:rsidR="00C74985">
        <w:rPr>
          <w:lang w:val="en-GB"/>
        </w:rPr>
        <w:t>C</w:t>
      </w:r>
      <w:r w:rsidR="009A4591">
        <w:rPr>
          <w:lang w:val="en-GB"/>
        </w:rPr>
        <w:t>ontracts</w:t>
      </w:r>
      <w:bookmarkEnd w:id="130"/>
      <w:bookmarkEnd w:id="131"/>
    </w:p>
    <w:p w14:paraId="422155C0" w14:textId="77777777" w:rsidR="006B6D53" w:rsidRPr="00A017EB" w:rsidRDefault="006B6D53" w:rsidP="006B6D53">
      <w:pPr>
        <w:rPr>
          <w:rFonts w:asciiTheme="minorHAnsi" w:hAnsiTheme="minorHAnsi"/>
          <w:b/>
          <w:bCs/>
          <w:iCs/>
        </w:rPr>
      </w:pPr>
      <w:r w:rsidRPr="00A017EB">
        <w:rPr>
          <w:rFonts w:asciiTheme="minorHAnsi" w:hAnsiTheme="minorHAnsi"/>
          <w:b/>
          <w:bCs/>
          <w:iCs/>
        </w:rPr>
        <w:t>Template Remarks</w:t>
      </w:r>
    </w:p>
    <w:p w14:paraId="22AC62D9" w14:textId="57BE950B" w:rsidR="006B6D53" w:rsidRDefault="006B6D53" w:rsidP="006B6D53">
      <w:pPr>
        <w:jc w:val="both"/>
        <w:rPr>
          <w:rFonts w:asciiTheme="minorHAnsi" w:hAnsiTheme="minorHAnsi"/>
          <w:bCs/>
          <w:iCs/>
        </w:rPr>
      </w:pPr>
      <w:r w:rsidRPr="00A017EB">
        <w:rPr>
          <w:rFonts w:asciiTheme="minorHAnsi" w:hAnsiTheme="minorHAnsi"/>
          <w:lang w:val="en-GB"/>
        </w:rPr>
        <w:t xml:space="preserve">Fill out this template if you </w:t>
      </w:r>
      <w:r w:rsidRPr="00A017EB">
        <w:rPr>
          <w:rFonts w:asciiTheme="minorHAnsi" w:hAnsiTheme="minorHAnsi"/>
        </w:rPr>
        <w:t xml:space="preserve">offer some of these services and/or products, normally this template is applicable for </w:t>
      </w:r>
      <w:r>
        <w:rPr>
          <w:rFonts w:asciiTheme="minorHAnsi" w:hAnsiTheme="minorHAnsi"/>
        </w:rPr>
        <w:t>LI</w:t>
      </w:r>
      <w:r w:rsidRPr="00A017EB">
        <w:rPr>
          <w:rFonts w:asciiTheme="minorHAnsi" w:hAnsiTheme="minorHAnsi"/>
        </w:rPr>
        <w:t>.</w:t>
      </w:r>
      <w:r w:rsidR="00AA146B">
        <w:rPr>
          <w:rFonts w:asciiTheme="minorHAnsi" w:hAnsiTheme="minorHAnsi"/>
        </w:rPr>
        <w:t xml:space="preserve"> If any of the fields are not applicable (e.g. no brokers are involved, you don’t have data visibility) </w:t>
      </w:r>
      <w:r w:rsidR="00EA21A2" w:rsidRPr="001E4168">
        <w:rPr>
          <w:rFonts w:asciiTheme="minorHAnsi" w:hAnsiTheme="minorHAnsi"/>
        </w:rPr>
        <w:t>report as 0.</w:t>
      </w:r>
    </w:p>
    <w:p w14:paraId="1E3A90D7" w14:textId="0A8F3B41" w:rsidR="004915A4" w:rsidRPr="006C0658" w:rsidRDefault="004915A4" w:rsidP="004915A4">
      <w:pPr>
        <w:rPr>
          <w:rFonts w:asciiTheme="minorHAnsi" w:hAnsiTheme="minorHAnsi"/>
          <w:lang w:val="en-GB"/>
        </w:rPr>
      </w:pPr>
      <w:r w:rsidRPr="00C51F57">
        <w:rPr>
          <w:rFonts w:asciiTheme="minorHAnsi" w:hAnsiTheme="minorHAnsi"/>
          <w:lang w:val="en-GB"/>
        </w:rPr>
        <w:t>Life insurance activities and operations are defined by Article 2(3) of Directive 2009/138/EC.</w:t>
      </w:r>
    </w:p>
    <w:tbl>
      <w:tblPr>
        <w:tblW w:w="92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3"/>
        <w:gridCol w:w="7616"/>
      </w:tblGrid>
      <w:tr w:rsidR="005E211E" w:rsidRPr="009B282E" w14:paraId="47038D97" w14:textId="77777777" w:rsidTr="0E170448">
        <w:tc>
          <w:tcPr>
            <w:tcW w:w="16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045BB8" w14:textId="77777777" w:rsidR="008328FA" w:rsidRPr="009275BC" w:rsidRDefault="008328FA" w:rsidP="00F32516">
            <w:pPr>
              <w:pStyle w:val="InstructionsText"/>
              <w:rPr>
                <w:rStyle w:val="InstructionsTabelleText"/>
                <w:rFonts w:asciiTheme="minorHAnsi" w:hAnsiTheme="minorHAnsi"/>
                <w:bCs w:val="0"/>
                <w:lang w:eastAsia="en-US"/>
              </w:rPr>
            </w:pPr>
            <w:r w:rsidRPr="009275BC">
              <w:rPr>
                <w:rStyle w:val="InstructionsTabelleText"/>
                <w:rFonts w:asciiTheme="minorHAnsi" w:hAnsiTheme="minorHAnsi"/>
              </w:rPr>
              <w:t>Column code</w:t>
            </w:r>
          </w:p>
        </w:tc>
        <w:tc>
          <w:tcPr>
            <w:tcW w:w="76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3F5DF0" w14:textId="77777777" w:rsidR="008328FA" w:rsidRPr="009275BC" w:rsidRDefault="008328FA" w:rsidP="00F32516">
            <w:pPr>
              <w:pStyle w:val="InstructionsText"/>
              <w:rPr>
                <w:rStyle w:val="InstructionsTabelleText"/>
                <w:rFonts w:asciiTheme="minorHAnsi" w:hAnsiTheme="minorHAnsi"/>
                <w:bCs w:val="0"/>
                <w:lang w:eastAsia="en-US"/>
              </w:rPr>
            </w:pPr>
            <w:r w:rsidRPr="009275BC">
              <w:rPr>
                <w:rStyle w:val="InstructionsTabelleText"/>
                <w:rFonts w:asciiTheme="minorHAnsi" w:hAnsiTheme="minorHAnsi"/>
              </w:rPr>
              <w:t>Legal references and instructions</w:t>
            </w:r>
          </w:p>
        </w:tc>
      </w:tr>
      <w:tr w:rsidR="005E211E" w:rsidRPr="009B282E" w14:paraId="2DDDB427" w14:textId="77777777" w:rsidTr="0E170448">
        <w:tc>
          <w:tcPr>
            <w:tcW w:w="1673" w:type="dxa"/>
            <w:tcBorders>
              <w:top w:val="single" w:sz="4" w:space="0" w:color="auto"/>
              <w:left w:val="single" w:sz="4" w:space="0" w:color="auto"/>
              <w:bottom w:val="single" w:sz="4" w:space="0" w:color="auto"/>
              <w:right w:val="single" w:sz="4" w:space="0" w:color="auto"/>
            </w:tcBorders>
          </w:tcPr>
          <w:p w14:paraId="0CDD1668" w14:textId="2A634E27" w:rsidR="75D0FE61" w:rsidRPr="004245A7" w:rsidRDefault="75D0FE61" w:rsidP="75D0FE61">
            <w:pPr>
              <w:spacing w:before="0" w:after="0"/>
              <w:rPr>
                <w:rFonts w:asciiTheme="minorHAnsi" w:eastAsia="Calibri" w:hAnsiTheme="minorHAnsi" w:cs="Calibri"/>
                <w:bCs/>
                <w:color w:val="000000" w:themeColor="text1"/>
                <w:sz w:val="20"/>
              </w:rPr>
            </w:pPr>
            <w:r w:rsidRPr="004245A7">
              <w:rPr>
                <w:rFonts w:asciiTheme="minorHAnsi" w:eastAsia="Calibri" w:hAnsiTheme="minorHAnsi" w:cs="Calibri"/>
                <w:bCs/>
                <w:color w:val="000000" w:themeColor="text1"/>
                <w:sz w:val="20"/>
              </w:rPr>
              <w:t>C0010</w:t>
            </w:r>
          </w:p>
        </w:tc>
        <w:tc>
          <w:tcPr>
            <w:tcW w:w="7616" w:type="dxa"/>
            <w:tcBorders>
              <w:top w:val="single" w:sz="8" w:space="0" w:color="auto"/>
              <w:left w:val="single" w:sz="4" w:space="0" w:color="auto"/>
              <w:bottom w:val="single" w:sz="4" w:space="0" w:color="auto"/>
              <w:right w:val="single" w:sz="4" w:space="0" w:color="auto"/>
            </w:tcBorders>
            <w:vAlign w:val="center"/>
          </w:tcPr>
          <w:p w14:paraId="724A16D2" w14:textId="77777777" w:rsidR="00491899" w:rsidRDefault="00491899" w:rsidP="00C379DF">
            <w:pPr>
              <w:pStyle w:val="InstructionsText2"/>
              <w:rPr>
                <w:rFonts w:asciiTheme="minorHAnsi" w:hAnsiTheme="minorHAnsi"/>
                <w:sz w:val="20"/>
                <w:szCs w:val="20"/>
                <w:lang w:val="en-IE"/>
              </w:rPr>
            </w:pPr>
            <w:r w:rsidRPr="00DF6560">
              <w:rPr>
                <w:rFonts w:ascii="Aptos" w:hAnsi="Aptos"/>
                <w:b/>
                <w:sz w:val="20"/>
                <w:szCs w:val="20"/>
                <w:u w:val="single"/>
                <w:lang w:val="en-IE"/>
              </w:rPr>
              <w:t>Gross Written Premiums - Value</w:t>
            </w:r>
          </w:p>
          <w:p w14:paraId="65DFA32B" w14:textId="57C1C504" w:rsidR="00491899" w:rsidRDefault="00491899" w:rsidP="003A79C1">
            <w:pPr>
              <w:pStyle w:val="InstructionsText2"/>
              <w:rPr>
                <w:rFonts w:asciiTheme="minorHAnsi" w:hAnsiTheme="minorHAnsi"/>
                <w:sz w:val="20"/>
                <w:lang w:val="en-US"/>
              </w:rPr>
            </w:pPr>
            <w:r>
              <w:rPr>
                <w:rFonts w:asciiTheme="minorHAnsi" w:hAnsiTheme="minorHAnsi"/>
                <w:sz w:val="20"/>
                <w:lang w:val="en-US"/>
              </w:rPr>
              <w:t xml:space="preserve">In accordance with Article 35 of Directive 91/674/EEC, gross premiums written shall comprise all amounts due during the </w:t>
            </w:r>
            <w:r w:rsidR="00FF0234">
              <w:rPr>
                <w:rFonts w:asciiTheme="minorHAnsi" w:hAnsiTheme="minorHAnsi"/>
                <w:sz w:val="20"/>
                <w:lang w:val="en-US"/>
              </w:rPr>
              <w:t xml:space="preserve">reference </w:t>
            </w:r>
            <w:r>
              <w:rPr>
                <w:rFonts w:asciiTheme="minorHAnsi" w:hAnsiTheme="minorHAnsi"/>
                <w:sz w:val="20"/>
                <w:lang w:val="en-US"/>
              </w:rPr>
              <w:t xml:space="preserve">year in respect of insurance contracts regardless of the fact that such amounts may relate in whole or in part to a later financial year. </w:t>
            </w:r>
          </w:p>
          <w:p w14:paraId="07470B78" w14:textId="284086EA" w:rsidR="00491899" w:rsidRDefault="00491899" w:rsidP="003A79C1">
            <w:pPr>
              <w:pStyle w:val="InstructionsText2"/>
              <w:rPr>
                <w:rFonts w:asciiTheme="minorHAnsi" w:hAnsiTheme="minorHAnsi"/>
                <w:sz w:val="20"/>
                <w:lang w:val="en-US"/>
              </w:rPr>
            </w:pPr>
            <w:r>
              <w:rPr>
                <w:rFonts w:asciiTheme="minorHAnsi" w:hAnsiTheme="minorHAnsi"/>
                <w:sz w:val="20"/>
                <w:lang w:val="en-US"/>
              </w:rPr>
              <w:t xml:space="preserve">It includes both direct and reinsurance business. </w:t>
            </w:r>
          </w:p>
          <w:p w14:paraId="4CEFFD85" w14:textId="486F655D" w:rsidR="009975B1" w:rsidRPr="006C0658" w:rsidRDefault="00491899" w:rsidP="00240E72">
            <w:pPr>
              <w:pStyle w:val="InstructionsText2"/>
              <w:rPr>
                <w:rStyle w:val="InstructionsTabelleberschrift"/>
                <w:rFonts w:asciiTheme="minorHAnsi" w:hAnsiTheme="minorHAnsi"/>
                <w:b w:val="0"/>
                <w:bCs w:val="0"/>
                <w:u w:val="none"/>
              </w:rPr>
            </w:pPr>
            <w:r>
              <w:rPr>
                <w:rFonts w:asciiTheme="minorHAnsi" w:hAnsiTheme="minorHAnsi"/>
                <w:sz w:val="20"/>
                <w:lang w:val="en-US"/>
              </w:rPr>
              <w:t>For L</w:t>
            </w:r>
            <w:r w:rsidR="004A0E99">
              <w:rPr>
                <w:rFonts w:asciiTheme="minorHAnsi" w:hAnsiTheme="minorHAnsi"/>
                <w:sz w:val="20"/>
                <w:lang w:val="en-US"/>
              </w:rPr>
              <w:t>ife Insurance Intermediaries</w:t>
            </w:r>
            <w:r>
              <w:rPr>
                <w:rFonts w:asciiTheme="minorHAnsi" w:hAnsiTheme="minorHAnsi"/>
                <w:sz w:val="20"/>
                <w:lang w:val="en-US"/>
              </w:rPr>
              <w:t>: the portion of gross premiums written by the life insurance undertaking during the reference year that the relevant life insurance intermediary has distributed.</w:t>
            </w:r>
          </w:p>
        </w:tc>
      </w:tr>
      <w:tr w:rsidR="005E211E" w:rsidRPr="009B282E" w14:paraId="55CD797E" w14:textId="77777777" w:rsidTr="0E170448">
        <w:tc>
          <w:tcPr>
            <w:tcW w:w="1673" w:type="dxa"/>
            <w:tcBorders>
              <w:top w:val="single" w:sz="4" w:space="0" w:color="auto"/>
              <w:left w:val="single" w:sz="4" w:space="0" w:color="auto"/>
              <w:bottom w:val="single" w:sz="4" w:space="0" w:color="auto"/>
              <w:right w:val="single" w:sz="4" w:space="0" w:color="auto"/>
            </w:tcBorders>
          </w:tcPr>
          <w:p w14:paraId="33A8E20D" w14:textId="75C0B757" w:rsidR="75D0FE61" w:rsidRPr="004245A7" w:rsidRDefault="75D0FE61" w:rsidP="75D0FE61">
            <w:pPr>
              <w:spacing w:before="0" w:after="0"/>
              <w:rPr>
                <w:rFonts w:asciiTheme="minorHAnsi" w:eastAsia="Calibri" w:hAnsiTheme="minorHAnsi" w:cs="Calibri"/>
                <w:bCs/>
                <w:color w:val="000000" w:themeColor="text1"/>
                <w:sz w:val="20"/>
              </w:rPr>
            </w:pPr>
            <w:r w:rsidRPr="004245A7">
              <w:rPr>
                <w:rFonts w:asciiTheme="minorHAnsi" w:eastAsia="Calibri" w:hAnsiTheme="minorHAnsi" w:cs="Calibri"/>
                <w:bCs/>
                <w:color w:val="000000" w:themeColor="text1"/>
                <w:sz w:val="20"/>
              </w:rPr>
              <w:t>C0020</w:t>
            </w:r>
          </w:p>
        </w:tc>
        <w:tc>
          <w:tcPr>
            <w:tcW w:w="7616" w:type="dxa"/>
            <w:tcBorders>
              <w:top w:val="nil"/>
              <w:left w:val="single" w:sz="4" w:space="0" w:color="auto"/>
              <w:bottom w:val="single" w:sz="4" w:space="0" w:color="auto"/>
              <w:right w:val="single" w:sz="4" w:space="0" w:color="auto"/>
            </w:tcBorders>
            <w:vAlign w:val="center"/>
          </w:tcPr>
          <w:p w14:paraId="21858632" w14:textId="77777777" w:rsidR="00491899" w:rsidRDefault="00491899" w:rsidP="00C379DF">
            <w:pPr>
              <w:pStyle w:val="InstructionsText2"/>
              <w:rPr>
                <w:rFonts w:asciiTheme="minorHAnsi" w:hAnsiTheme="minorHAnsi"/>
                <w:sz w:val="20"/>
                <w:szCs w:val="20"/>
                <w:lang w:val="en-US"/>
              </w:rPr>
            </w:pPr>
            <w:r w:rsidRPr="007A120B">
              <w:rPr>
                <w:rFonts w:ascii="Aptos" w:hAnsi="Aptos"/>
                <w:b/>
                <w:sz w:val="20"/>
                <w:szCs w:val="20"/>
                <w:u w:val="single"/>
                <w:lang w:val="en-US"/>
              </w:rPr>
              <w:t>Surrender Value of Insurance Contracts</w:t>
            </w:r>
          </w:p>
          <w:p w14:paraId="3487B8E8" w14:textId="7AA18558" w:rsidR="00A36806" w:rsidRPr="00ED3C6A" w:rsidRDefault="00A36806" w:rsidP="00C379DF">
            <w:pPr>
              <w:pStyle w:val="InstructionsText2"/>
              <w:rPr>
                <w:rStyle w:val="InstructionsTabelleberschrift"/>
                <w:rFonts w:asciiTheme="minorHAnsi" w:hAnsiTheme="minorHAnsi"/>
                <w:b w:val="0"/>
                <w:bCs w:val="0"/>
                <w:u w:val="none"/>
              </w:rPr>
            </w:pPr>
            <w:r w:rsidRPr="467A3946">
              <w:rPr>
                <w:rFonts w:asciiTheme="minorHAnsi" w:hAnsiTheme="minorHAnsi"/>
                <w:sz w:val="20"/>
                <w:szCs w:val="20"/>
                <w:lang w:val="en-US"/>
              </w:rPr>
              <w:t xml:space="preserve">The total amount of surrender value as mentioned in Article 185 (3)(f) of Directive 2009/138/EC, </w:t>
            </w:r>
            <w:r w:rsidRPr="00D61722">
              <w:rPr>
                <w:rFonts w:asciiTheme="minorHAnsi" w:hAnsiTheme="minorHAnsi"/>
                <w:bCs/>
                <w:sz w:val="20"/>
                <w:szCs w:val="20"/>
                <w:lang w:val="en-US"/>
              </w:rPr>
              <w:t>paid during the re</w:t>
            </w:r>
            <w:r w:rsidR="00FB72A6" w:rsidRPr="00D61722">
              <w:rPr>
                <w:rFonts w:asciiTheme="minorHAnsi" w:hAnsiTheme="minorHAnsi"/>
                <w:bCs/>
                <w:sz w:val="20"/>
                <w:szCs w:val="20"/>
                <w:lang w:val="en-US"/>
              </w:rPr>
              <w:t>ference</w:t>
            </w:r>
            <w:r w:rsidRPr="00D61722">
              <w:rPr>
                <w:rFonts w:asciiTheme="minorHAnsi" w:hAnsiTheme="minorHAnsi"/>
                <w:bCs/>
                <w:sz w:val="20"/>
                <w:szCs w:val="20"/>
                <w:lang w:val="en-US"/>
              </w:rPr>
              <w:t xml:space="preserve"> year</w:t>
            </w:r>
            <w:r w:rsidRPr="006A17DF">
              <w:rPr>
                <w:rFonts w:asciiTheme="minorHAnsi" w:hAnsiTheme="minorHAnsi"/>
                <w:bCs/>
                <w:sz w:val="20"/>
                <w:szCs w:val="20"/>
                <w:lang w:val="en-US"/>
              </w:rPr>
              <w:t>.</w:t>
            </w:r>
            <w:r w:rsidRPr="467A3946">
              <w:rPr>
                <w:rFonts w:asciiTheme="minorHAnsi" w:hAnsiTheme="minorHAnsi"/>
                <w:sz w:val="20"/>
                <w:szCs w:val="20"/>
                <w:lang w:val="en-US"/>
              </w:rPr>
              <w:t xml:space="preserve"> The surrender value should reflect the amount, defined contractually, paid to the policyholder in case of early termination of the contract (i.e. before it becomes payable by maturity or occurrence of the insured event, such as death), net of charges and policy loans. It includes surrender values guaranteed and not guaranteed.</w:t>
            </w:r>
          </w:p>
        </w:tc>
      </w:tr>
      <w:tr w:rsidR="005E211E" w:rsidRPr="009B282E" w14:paraId="6B6FDB54" w14:textId="77777777" w:rsidTr="0E170448">
        <w:tc>
          <w:tcPr>
            <w:tcW w:w="1673" w:type="dxa"/>
            <w:tcBorders>
              <w:top w:val="single" w:sz="4" w:space="0" w:color="auto"/>
              <w:left w:val="single" w:sz="4" w:space="0" w:color="auto"/>
              <w:bottom w:val="single" w:sz="4" w:space="0" w:color="auto"/>
              <w:right w:val="single" w:sz="4" w:space="0" w:color="auto"/>
            </w:tcBorders>
          </w:tcPr>
          <w:p w14:paraId="250998C9" w14:textId="3C91C3DA" w:rsidR="75D0FE61" w:rsidRPr="004245A7" w:rsidRDefault="75D0FE61" w:rsidP="75D0FE61">
            <w:pPr>
              <w:spacing w:before="0" w:after="0"/>
              <w:rPr>
                <w:rFonts w:asciiTheme="minorHAnsi" w:eastAsia="Calibri" w:hAnsiTheme="minorHAnsi" w:cs="Calibri"/>
                <w:bCs/>
                <w:color w:val="000000" w:themeColor="text1"/>
                <w:sz w:val="20"/>
              </w:rPr>
            </w:pPr>
            <w:r w:rsidRPr="004245A7">
              <w:rPr>
                <w:rFonts w:asciiTheme="minorHAnsi" w:eastAsia="Calibri" w:hAnsiTheme="minorHAnsi" w:cs="Calibri"/>
                <w:bCs/>
                <w:color w:val="000000" w:themeColor="text1"/>
                <w:sz w:val="20"/>
              </w:rPr>
              <w:t>C0030</w:t>
            </w:r>
          </w:p>
        </w:tc>
        <w:tc>
          <w:tcPr>
            <w:tcW w:w="7616" w:type="dxa"/>
            <w:tcBorders>
              <w:top w:val="nil"/>
              <w:left w:val="single" w:sz="4" w:space="0" w:color="auto"/>
              <w:bottom w:val="single" w:sz="4" w:space="0" w:color="auto"/>
              <w:right w:val="single" w:sz="4" w:space="0" w:color="auto"/>
            </w:tcBorders>
            <w:vAlign w:val="center"/>
          </w:tcPr>
          <w:p w14:paraId="504BEAD6" w14:textId="41AA2633" w:rsidR="00491899" w:rsidRDefault="00491899" w:rsidP="00C379DF">
            <w:pPr>
              <w:pStyle w:val="InstructionsText2"/>
              <w:rPr>
                <w:rFonts w:asciiTheme="minorHAnsi" w:hAnsiTheme="minorHAnsi"/>
                <w:sz w:val="20"/>
                <w:szCs w:val="20"/>
                <w:lang w:val="en-IE"/>
              </w:rPr>
            </w:pPr>
            <w:r w:rsidRPr="00D61722">
              <w:rPr>
                <w:rFonts w:ascii="Aptos" w:hAnsi="Aptos"/>
                <w:b/>
                <w:sz w:val="20"/>
                <w:szCs w:val="20"/>
                <w:u w:val="single"/>
                <w:lang w:val="en-IE"/>
              </w:rPr>
              <w:t>Premiums Paid to Broker (%)</w:t>
            </w:r>
          </w:p>
          <w:p w14:paraId="02DCCB4C" w14:textId="001E1062" w:rsidR="000D213F" w:rsidRPr="006F706A" w:rsidRDefault="00491899" w:rsidP="00B442C3">
            <w:pPr>
              <w:pStyle w:val="InstructionsText2"/>
              <w:rPr>
                <w:rStyle w:val="InstructionsTabelleberschrift"/>
                <w:rFonts w:asciiTheme="minorHAnsi" w:hAnsiTheme="minorHAnsi"/>
                <w:bCs w:val="0"/>
                <w:u w:val="none"/>
              </w:rPr>
            </w:pPr>
            <w:r w:rsidRPr="006F706A">
              <w:rPr>
                <w:rFonts w:asciiTheme="minorHAnsi" w:hAnsiTheme="minorHAnsi"/>
                <w:sz w:val="20"/>
                <w:szCs w:val="20"/>
                <w:lang w:val="en-IE"/>
              </w:rPr>
              <w:t xml:space="preserve">Indicate </w:t>
            </w:r>
            <w:r w:rsidR="002E19D4" w:rsidRPr="006F706A">
              <w:rPr>
                <w:rFonts w:asciiTheme="minorHAnsi" w:hAnsiTheme="minorHAnsi"/>
                <w:sz w:val="20"/>
                <w:szCs w:val="20"/>
                <w:lang w:val="en-IE"/>
              </w:rPr>
              <w:t xml:space="preserve">the </w:t>
            </w:r>
            <w:r w:rsidR="00B442C3" w:rsidRPr="006F706A">
              <w:rPr>
                <w:rFonts w:asciiTheme="minorHAnsi" w:hAnsiTheme="minorHAnsi"/>
                <w:sz w:val="20"/>
                <w:szCs w:val="20"/>
                <w:lang w:val="en-IE"/>
              </w:rPr>
              <w:t>p</w:t>
            </w:r>
            <w:r w:rsidR="00506169">
              <w:rPr>
                <w:rFonts w:asciiTheme="minorHAnsi" w:hAnsiTheme="minorHAnsi"/>
                <w:sz w:val="20"/>
                <w:szCs w:val="20"/>
                <w:lang w:val="en-IE"/>
              </w:rPr>
              <w:t xml:space="preserve">ercentage of all gross written premium </w:t>
            </w:r>
            <w:r w:rsidR="00CD74B1">
              <w:rPr>
                <w:rFonts w:asciiTheme="minorHAnsi" w:hAnsiTheme="minorHAnsi"/>
                <w:sz w:val="20"/>
                <w:szCs w:val="20"/>
                <w:lang w:val="en-IE"/>
              </w:rPr>
              <w:t xml:space="preserve">collected by </w:t>
            </w:r>
            <w:r w:rsidR="00B713EF">
              <w:rPr>
                <w:rFonts w:asciiTheme="minorHAnsi" w:hAnsiTheme="minorHAnsi"/>
                <w:sz w:val="20"/>
                <w:szCs w:val="20"/>
                <w:lang w:val="en-IE"/>
              </w:rPr>
              <w:t xml:space="preserve">brokers </w:t>
            </w:r>
            <w:r w:rsidR="00616AC2">
              <w:rPr>
                <w:rFonts w:asciiTheme="minorHAnsi" w:hAnsiTheme="minorHAnsi"/>
                <w:sz w:val="20"/>
                <w:szCs w:val="20"/>
                <w:lang w:val="en-IE"/>
              </w:rPr>
              <w:t>from policy holders</w:t>
            </w:r>
            <w:r w:rsidR="00FF7C4F">
              <w:rPr>
                <w:rFonts w:asciiTheme="minorHAnsi" w:hAnsiTheme="minorHAnsi"/>
                <w:sz w:val="20"/>
                <w:szCs w:val="20"/>
                <w:lang w:val="en-IE"/>
              </w:rPr>
              <w:t xml:space="preserve"> </w:t>
            </w:r>
            <w:r w:rsidR="00B713EF">
              <w:rPr>
                <w:rFonts w:asciiTheme="minorHAnsi" w:hAnsiTheme="minorHAnsi"/>
                <w:sz w:val="20"/>
                <w:szCs w:val="20"/>
                <w:lang w:val="en-IE"/>
              </w:rPr>
              <w:t>during the reference year (on behalf of insurer) as a share of total GWP.</w:t>
            </w:r>
            <w:r w:rsidR="00506169">
              <w:rPr>
                <w:rFonts w:asciiTheme="minorHAnsi" w:hAnsiTheme="minorHAnsi"/>
                <w:sz w:val="20"/>
                <w:szCs w:val="20"/>
                <w:lang w:val="en-IE"/>
              </w:rPr>
              <w:t xml:space="preserve"> </w:t>
            </w:r>
            <w:r w:rsidR="00771618" w:rsidRPr="00771618">
              <w:rPr>
                <w:rFonts w:asciiTheme="minorHAnsi" w:hAnsiTheme="minorHAnsi"/>
                <w:sz w:val="20"/>
                <w:szCs w:val="20"/>
                <w:lang w:val="en-US"/>
              </w:rPr>
              <w:t>Exclude commissions/fees paid by the insurer to brokers.</w:t>
            </w:r>
          </w:p>
        </w:tc>
      </w:tr>
      <w:tr w:rsidR="005E211E" w:rsidRPr="009B282E" w14:paraId="3512E064" w14:textId="77777777" w:rsidTr="0E170448">
        <w:tc>
          <w:tcPr>
            <w:tcW w:w="1673" w:type="dxa"/>
            <w:tcBorders>
              <w:top w:val="single" w:sz="4" w:space="0" w:color="auto"/>
              <w:left w:val="single" w:sz="4" w:space="0" w:color="auto"/>
              <w:bottom w:val="single" w:sz="4" w:space="0" w:color="auto"/>
              <w:right w:val="single" w:sz="4" w:space="0" w:color="auto"/>
            </w:tcBorders>
          </w:tcPr>
          <w:p w14:paraId="142B2192" w14:textId="37D78914" w:rsidR="75D0FE61" w:rsidRPr="004245A7" w:rsidRDefault="75D0FE61" w:rsidP="0087779F">
            <w:pPr>
              <w:spacing w:before="0" w:after="0"/>
              <w:rPr>
                <w:rFonts w:asciiTheme="minorHAnsi" w:eastAsia="Calibri" w:hAnsiTheme="minorHAnsi" w:cs="Calibri"/>
                <w:bCs/>
                <w:color w:val="000000" w:themeColor="text1"/>
                <w:sz w:val="20"/>
              </w:rPr>
            </w:pPr>
            <w:r w:rsidRPr="004245A7">
              <w:rPr>
                <w:rFonts w:asciiTheme="minorHAnsi" w:eastAsia="Calibri" w:hAnsiTheme="minorHAnsi" w:cs="Calibri"/>
                <w:bCs/>
                <w:color w:val="000000" w:themeColor="text1"/>
                <w:sz w:val="20"/>
              </w:rPr>
              <w:t>C0040</w:t>
            </w:r>
          </w:p>
        </w:tc>
        <w:tc>
          <w:tcPr>
            <w:tcW w:w="7616" w:type="dxa"/>
            <w:tcBorders>
              <w:top w:val="nil"/>
              <w:left w:val="single" w:sz="4" w:space="0" w:color="auto"/>
              <w:bottom w:val="single" w:sz="8" w:space="0" w:color="auto"/>
              <w:right w:val="single" w:sz="4" w:space="0" w:color="auto"/>
            </w:tcBorders>
            <w:vAlign w:val="center"/>
          </w:tcPr>
          <w:p w14:paraId="0649EE40" w14:textId="3535D1A0" w:rsidR="00491899" w:rsidRDefault="00491899" w:rsidP="00FB72A6">
            <w:pPr>
              <w:pStyle w:val="InstructionsText2"/>
              <w:rPr>
                <w:rFonts w:asciiTheme="minorHAnsi" w:hAnsiTheme="minorHAnsi"/>
                <w:sz w:val="20"/>
                <w:lang w:val="en-US"/>
              </w:rPr>
            </w:pPr>
            <w:r w:rsidRPr="00011DE0">
              <w:rPr>
                <w:rFonts w:ascii="Aptos" w:hAnsi="Aptos"/>
                <w:b/>
                <w:sz w:val="20"/>
                <w:u w:val="single"/>
                <w:lang w:val="en-US"/>
              </w:rPr>
              <w:t xml:space="preserve">Non-low Risk Insurance Contracts - </w:t>
            </w:r>
            <w:r w:rsidR="00B442C3">
              <w:rPr>
                <w:rFonts w:ascii="Aptos" w:hAnsi="Aptos"/>
                <w:b/>
                <w:sz w:val="20"/>
                <w:u w:val="single"/>
                <w:lang w:val="en-US"/>
              </w:rPr>
              <w:t>Number</w:t>
            </w:r>
          </w:p>
          <w:p w14:paraId="4AA093DD" w14:textId="3FE2A3A3" w:rsidR="00C13D45" w:rsidRDefault="00491899" w:rsidP="00513324">
            <w:pPr>
              <w:pStyle w:val="InstructionsText2"/>
              <w:rPr>
                <w:rFonts w:asciiTheme="minorHAnsi" w:hAnsiTheme="minorHAnsi"/>
                <w:sz w:val="20"/>
                <w:lang w:val="en-US"/>
              </w:rPr>
            </w:pPr>
            <w:r>
              <w:rPr>
                <w:rFonts w:asciiTheme="minorHAnsi" w:hAnsiTheme="minorHAnsi"/>
                <w:sz w:val="20"/>
                <w:lang w:val="en-US"/>
              </w:rPr>
              <w:t xml:space="preserve">Life insurance contracts or products outstanding as of end of the reference year that </w:t>
            </w:r>
            <w:r w:rsidR="00F26A0C">
              <w:rPr>
                <w:rFonts w:asciiTheme="minorHAnsi" w:hAnsiTheme="minorHAnsi"/>
                <w:sz w:val="20"/>
                <w:lang w:val="en-US"/>
              </w:rPr>
              <w:t xml:space="preserve">do not </w:t>
            </w:r>
            <w:r>
              <w:rPr>
                <w:rFonts w:asciiTheme="minorHAnsi" w:hAnsiTheme="minorHAnsi"/>
                <w:sz w:val="20"/>
                <w:lang w:val="en-US"/>
              </w:rPr>
              <w:t>meet any of the following conditions</w:t>
            </w:r>
            <w:r w:rsidR="00F26A0C">
              <w:rPr>
                <w:rFonts w:asciiTheme="minorHAnsi" w:hAnsiTheme="minorHAnsi"/>
                <w:sz w:val="20"/>
                <w:lang w:val="en-US"/>
              </w:rPr>
              <w:t xml:space="preserve"> (these are not cumulative)</w:t>
            </w:r>
            <w:r>
              <w:rPr>
                <w:rFonts w:asciiTheme="minorHAnsi" w:hAnsiTheme="minorHAnsi"/>
                <w:sz w:val="20"/>
                <w:lang w:val="en-US"/>
              </w:rPr>
              <w:t>: (i) they cannot be redeemed, (ii) contracts merely covering death or certain disabilities or attacks on the physical integrity of the person (which often require medical evidence), which do not include an element of savings or investment, (iii) the annual premium is not above EUR 1</w:t>
            </w:r>
            <w:r w:rsidR="009A6999">
              <w:rPr>
                <w:rFonts w:asciiTheme="minorHAnsi" w:hAnsiTheme="minorHAnsi"/>
                <w:sz w:val="20"/>
                <w:lang w:val="en-US"/>
              </w:rPr>
              <w:t>.</w:t>
            </w:r>
            <w:r>
              <w:rPr>
                <w:rFonts w:asciiTheme="minorHAnsi" w:hAnsiTheme="minorHAnsi"/>
                <w:sz w:val="20"/>
                <w:lang w:val="en-US"/>
              </w:rPr>
              <w:t>000 or the unique premium is not above EUR 2</w:t>
            </w:r>
            <w:r w:rsidR="009A6999">
              <w:rPr>
                <w:rFonts w:asciiTheme="minorHAnsi" w:hAnsiTheme="minorHAnsi"/>
                <w:sz w:val="20"/>
                <w:lang w:val="en-US"/>
              </w:rPr>
              <w:t>.</w:t>
            </w:r>
            <w:r>
              <w:rPr>
                <w:rFonts w:asciiTheme="minorHAnsi" w:hAnsiTheme="minorHAnsi"/>
                <w:sz w:val="20"/>
                <w:lang w:val="en-US"/>
              </w:rPr>
              <w:t>500, (iv) contracts whose premiums remain below or equal to applicable tax-deductible ceiling.</w:t>
            </w:r>
            <w:r w:rsidR="00674AAF">
              <w:rPr>
                <w:rFonts w:asciiTheme="minorHAnsi" w:hAnsiTheme="minorHAnsi"/>
                <w:sz w:val="20"/>
                <w:lang w:val="en-US"/>
              </w:rPr>
              <w:t xml:space="preserve">risk </w:t>
            </w:r>
          </w:p>
          <w:p w14:paraId="115CED93" w14:textId="0B5587DC" w:rsidR="00C13D45" w:rsidRPr="00D838B1" w:rsidRDefault="007B3FB7" w:rsidP="00513324">
            <w:pPr>
              <w:pStyle w:val="InstructionsText2"/>
              <w:rPr>
                <w:rStyle w:val="InstructionsTabelleberschrift"/>
                <w:rFonts w:asciiTheme="minorHAnsi" w:hAnsiTheme="minorHAnsi"/>
                <w:b w:val="0"/>
                <w:bCs w:val="0"/>
                <w:u w:val="none"/>
              </w:rPr>
            </w:pPr>
            <w:r>
              <w:rPr>
                <w:rFonts w:asciiTheme="minorHAnsi" w:hAnsiTheme="minorHAnsi"/>
                <w:sz w:val="20"/>
                <w:lang w:val="en-US"/>
              </w:rPr>
              <w:t>In case of b</w:t>
            </w:r>
            <w:r w:rsidR="00F26A0C">
              <w:rPr>
                <w:rFonts w:asciiTheme="minorHAnsi" w:hAnsiTheme="minorHAnsi"/>
                <w:sz w:val="20"/>
                <w:lang w:val="en-US"/>
              </w:rPr>
              <w:t>undled products</w:t>
            </w:r>
            <w:r w:rsidR="00AB2B92">
              <w:rPr>
                <w:rFonts w:asciiTheme="minorHAnsi" w:hAnsiTheme="minorHAnsi"/>
                <w:sz w:val="20"/>
                <w:lang w:val="en-US"/>
              </w:rPr>
              <w:t>:</w:t>
            </w:r>
            <w:r w:rsidR="00C77ED9">
              <w:rPr>
                <w:rFonts w:asciiTheme="minorHAnsi" w:hAnsiTheme="minorHAnsi"/>
                <w:sz w:val="20"/>
                <w:lang w:val="en-US"/>
              </w:rPr>
              <w:t xml:space="preserve"> </w:t>
            </w:r>
            <w:r w:rsidR="00460D74">
              <w:rPr>
                <w:rFonts w:asciiTheme="minorHAnsi" w:hAnsiTheme="minorHAnsi"/>
                <w:sz w:val="20"/>
                <w:lang w:val="en-US"/>
              </w:rPr>
              <w:t>when seve</w:t>
            </w:r>
            <w:r w:rsidR="00C77ED9">
              <w:rPr>
                <w:rFonts w:asciiTheme="minorHAnsi" w:hAnsiTheme="minorHAnsi"/>
                <w:sz w:val="20"/>
                <w:lang w:val="en-US"/>
              </w:rPr>
              <w:t xml:space="preserve">ral elements of the bundle </w:t>
            </w:r>
            <w:r w:rsidR="00926AB6">
              <w:rPr>
                <w:rFonts w:asciiTheme="minorHAnsi" w:hAnsiTheme="minorHAnsi"/>
                <w:sz w:val="20"/>
                <w:lang w:val="en-US"/>
              </w:rPr>
              <w:t xml:space="preserve">do </w:t>
            </w:r>
            <w:r w:rsidR="00AB2B92">
              <w:rPr>
                <w:rFonts w:asciiTheme="minorHAnsi" w:hAnsiTheme="minorHAnsi"/>
                <w:sz w:val="20"/>
                <w:lang w:val="en-US"/>
              </w:rPr>
              <w:t>not meet the above criteria</w:t>
            </w:r>
            <w:r w:rsidR="00C77ED9">
              <w:rPr>
                <w:rFonts w:asciiTheme="minorHAnsi" w:hAnsiTheme="minorHAnsi"/>
                <w:sz w:val="20"/>
                <w:lang w:val="en-US"/>
              </w:rPr>
              <w:t xml:space="preserve">, they </w:t>
            </w:r>
            <w:r w:rsidR="00047FA1">
              <w:rPr>
                <w:rFonts w:asciiTheme="minorHAnsi" w:hAnsiTheme="minorHAnsi"/>
                <w:sz w:val="20"/>
                <w:lang w:val="en-US"/>
              </w:rPr>
              <w:t>shall</w:t>
            </w:r>
            <w:r w:rsidR="00C77ED9">
              <w:rPr>
                <w:rFonts w:asciiTheme="minorHAnsi" w:hAnsiTheme="minorHAnsi"/>
                <w:sz w:val="20"/>
                <w:lang w:val="en-US"/>
              </w:rPr>
              <w:t xml:space="preserve"> be reported separately.</w:t>
            </w:r>
          </w:p>
        </w:tc>
      </w:tr>
    </w:tbl>
    <w:p w14:paraId="19736E00" w14:textId="5D549334" w:rsidR="00977144" w:rsidRPr="009B282E" w:rsidRDefault="11C263DF" w:rsidP="00CB14A2">
      <w:pPr>
        <w:pStyle w:val="Heading3"/>
        <w:rPr>
          <w:lang w:val="en-GB"/>
        </w:rPr>
      </w:pPr>
      <w:bookmarkStart w:id="132" w:name="_Toc223086549"/>
      <w:bookmarkStart w:id="133" w:name="_Toc223086643"/>
      <w:bookmarkStart w:id="134" w:name="_Toc223086737"/>
      <w:bookmarkStart w:id="135" w:name="_Toc223086831"/>
      <w:bookmarkStart w:id="136" w:name="_Toc221355973"/>
      <w:bookmarkStart w:id="137" w:name="_Toc223104839"/>
      <w:bookmarkEnd w:id="132"/>
      <w:bookmarkEnd w:id="133"/>
      <w:bookmarkEnd w:id="134"/>
      <w:bookmarkEnd w:id="135"/>
      <w:r w:rsidRPr="009B282E">
        <w:rPr>
          <w:lang w:val="en-GB"/>
        </w:rPr>
        <w:t xml:space="preserve">AML.03.06 </w:t>
      </w:r>
      <w:r w:rsidR="00C74985">
        <w:rPr>
          <w:lang w:val="en-GB"/>
        </w:rPr>
        <w:t>C</w:t>
      </w:r>
      <w:r w:rsidR="009A4591">
        <w:rPr>
          <w:lang w:val="en-GB"/>
        </w:rPr>
        <w:t>urrency</w:t>
      </w:r>
      <w:r w:rsidRPr="009B282E">
        <w:rPr>
          <w:lang w:val="en-GB"/>
        </w:rPr>
        <w:t xml:space="preserve"> </w:t>
      </w:r>
      <w:r w:rsidR="00C74985">
        <w:rPr>
          <w:lang w:val="en-GB"/>
        </w:rPr>
        <w:t>E</w:t>
      </w:r>
      <w:r w:rsidR="009A4591">
        <w:rPr>
          <w:lang w:val="en-GB"/>
        </w:rPr>
        <w:t xml:space="preserve">xchange </w:t>
      </w:r>
      <w:r w:rsidRPr="009B282E">
        <w:rPr>
          <w:lang w:val="en-GB"/>
        </w:rPr>
        <w:t>(</w:t>
      </w:r>
      <w:r w:rsidR="00C74985">
        <w:rPr>
          <w:lang w:val="en-GB"/>
        </w:rPr>
        <w:t xml:space="preserve">Involving </w:t>
      </w:r>
      <w:r w:rsidR="009A4591">
        <w:rPr>
          <w:lang w:val="en-GB"/>
        </w:rPr>
        <w:t>cash</w:t>
      </w:r>
      <w:r w:rsidR="0038367C" w:rsidRPr="009B282E">
        <w:rPr>
          <w:lang w:val="en-GB"/>
        </w:rPr>
        <w:t>)</w:t>
      </w:r>
      <w:bookmarkEnd w:id="136"/>
      <w:bookmarkEnd w:id="137"/>
    </w:p>
    <w:p w14:paraId="116662A4" w14:textId="77777777" w:rsidR="006B6D53" w:rsidRPr="00A017EB" w:rsidRDefault="006B6D53" w:rsidP="006B6D53">
      <w:pPr>
        <w:rPr>
          <w:rFonts w:asciiTheme="minorHAnsi" w:hAnsiTheme="minorHAnsi"/>
          <w:b/>
          <w:bCs/>
          <w:iCs/>
        </w:rPr>
      </w:pPr>
      <w:bookmarkStart w:id="138" w:name="_Hlk222854501"/>
      <w:r w:rsidRPr="00A017EB">
        <w:rPr>
          <w:rFonts w:asciiTheme="minorHAnsi" w:hAnsiTheme="minorHAnsi"/>
          <w:b/>
          <w:bCs/>
          <w:iCs/>
        </w:rPr>
        <w:t>Template Remarks</w:t>
      </w:r>
    </w:p>
    <w:p w14:paraId="11926839" w14:textId="35E95F7A" w:rsidR="006B6D53" w:rsidRDefault="006B6D53" w:rsidP="006B6D53">
      <w:pPr>
        <w:jc w:val="both"/>
        <w:rPr>
          <w:rFonts w:asciiTheme="minorHAnsi" w:hAnsiTheme="minorHAnsi"/>
          <w:bCs/>
          <w:iCs/>
        </w:rPr>
      </w:pPr>
      <w:r w:rsidRPr="00A017EB">
        <w:rPr>
          <w:rFonts w:asciiTheme="minorHAnsi" w:hAnsiTheme="minorHAnsi"/>
          <w:lang w:val="en-GB"/>
        </w:rPr>
        <w:t xml:space="preserve">Fill out this template if you </w:t>
      </w:r>
      <w:r w:rsidRPr="00A017EB">
        <w:rPr>
          <w:rFonts w:asciiTheme="minorHAnsi" w:hAnsiTheme="minorHAnsi"/>
        </w:rPr>
        <w:t xml:space="preserve">offer some of these services and/or products, normally this template is applicable for </w:t>
      </w:r>
      <w:r w:rsidRPr="003B7B62">
        <w:rPr>
          <w:rFonts w:asciiTheme="minorHAnsi" w:hAnsiTheme="minorHAnsi"/>
          <w:bCs/>
          <w:iCs/>
        </w:rPr>
        <w:t>CI, EMI</w:t>
      </w:r>
      <w:r>
        <w:rPr>
          <w:rFonts w:asciiTheme="minorHAnsi" w:hAnsiTheme="minorHAnsi"/>
          <w:bCs/>
          <w:iCs/>
        </w:rPr>
        <w:t xml:space="preserve">, </w:t>
      </w:r>
      <w:r w:rsidRPr="003B7B62">
        <w:rPr>
          <w:rFonts w:asciiTheme="minorHAnsi" w:hAnsiTheme="minorHAnsi"/>
          <w:bCs/>
          <w:iCs/>
        </w:rPr>
        <w:t>PI</w:t>
      </w:r>
      <w:r>
        <w:rPr>
          <w:rFonts w:asciiTheme="minorHAnsi" w:hAnsiTheme="minorHAnsi"/>
          <w:bCs/>
          <w:iCs/>
        </w:rPr>
        <w:t xml:space="preserve"> and BC</w:t>
      </w:r>
      <w:r w:rsidRPr="00A017EB">
        <w:rPr>
          <w:rFonts w:asciiTheme="minorHAnsi" w:hAnsiTheme="minorHAnsi"/>
        </w:rPr>
        <w:t>.</w:t>
      </w:r>
    </w:p>
    <w:bookmarkEnd w:id="138"/>
    <w:p w14:paraId="0C02EC30" w14:textId="5AF6FDF6" w:rsidR="0055704F" w:rsidRDefault="00410F8F" w:rsidP="00135B9D">
      <w:pPr>
        <w:jc w:val="both"/>
        <w:rPr>
          <w:rFonts w:asciiTheme="minorHAnsi" w:hAnsiTheme="minorHAnsi"/>
          <w:lang w:val="en-GB"/>
        </w:rPr>
      </w:pPr>
      <w:r w:rsidRPr="00D838B1">
        <w:rPr>
          <w:rFonts w:asciiTheme="minorHAnsi" w:hAnsiTheme="minorHAnsi"/>
          <w:lang w:val="en-GB"/>
        </w:rPr>
        <w:t>Currency transactions are t</w:t>
      </w:r>
      <w:r w:rsidR="0055704F" w:rsidRPr="00D838B1">
        <w:rPr>
          <w:rFonts w:asciiTheme="minorHAnsi" w:hAnsiTheme="minorHAnsi"/>
          <w:lang w:val="en-GB"/>
        </w:rPr>
        <w:t>ransaction</w:t>
      </w:r>
      <w:r w:rsidRPr="00D838B1">
        <w:rPr>
          <w:rFonts w:asciiTheme="minorHAnsi" w:hAnsiTheme="minorHAnsi"/>
          <w:lang w:val="en-GB"/>
        </w:rPr>
        <w:t>s</w:t>
      </w:r>
      <w:r w:rsidR="0055704F" w:rsidRPr="00D838B1">
        <w:rPr>
          <w:rFonts w:asciiTheme="minorHAnsi" w:hAnsiTheme="minorHAnsi"/>
          <w:lang w:val="en-GB"/>
        </w:rPr>
        <w:t xml:space="preserve"> where funds are converted from one currency into another and at least one side of the transaction is in physical cash (cash-to-cash, cash-to-account or account-to-cash). Both standalone cash currency exchanges (e.g. walk-in business) and transactions where a cash currency-exchange component is embedded in a broader operation, provided that this component is explicitly recorded as a currency exchange transaction, should be considered.</w:t>
      </w:r>
    </w:p>
    <w:p w14:paraId="6D969AF0" w14:textId="54DAB9F6" w:rsidR="53BCA9F9" w:rsidRDefault="22376557" w:rsidP="00135B9D">
      <w:pPr>
        <w:jc w:val="both"/>
        <w:rPr>
          <w:rFonts w:asciiTheme="minorHAnsi" w:eastAsiaTheme="minorEastAsia" w:hAnsiTheme="minorHAnsi" w:cstheme="minorBidi"/>
        </w:rPr>
      </w:pPr>
      <w:r w:rsidRPr="25346CB7">
        <w:rPr>
          <w:rFonts w:asciiTheme="minorHAnsi" w:eastAsiaTheme="minorEastAsia" w:hAnsiTheme="minorHAnsi" w:cstheme="minorBidi"/>
          <w:szCs w:val="22"/>
        </w:rPr>
        <w:t>For the purpose of this data collection, with regard to currency exchange transactions</w:t>
      </w:r>
      <w:r w:rsidR="5D6FACF9" w:rsidRPr="25346CB7">
        <w:rPr>
          <w:rFonts w:asciiTheme="minorHAnsi" w:eastAsiaTheme="minorEastAsia" w:hAnsiTheme="minorHAnsi" w:cstheme="minorBidi"/>
          <w:szCs w:val="22"/>
        </w:rPr>
        <w:t>,</w:t>
      </w:r>
      <w:r w:rsidRPr="25346CB7">
        <w:rPr>
          <w:rFonts w:asciiTheme="minorHAnsi" w:eastAsiaTheme="minorEastAsia" w:hAnsiTheme="minorHAnsi" w:cstheme="minorBidi"/>
          <w:szCs w:val="22"/>
        </w:rPr>
        <w:t xml:space="preserve"> obliged entities should consider the domestic currency as the base currency and the foreign currency as the quoted currency.</w:t>
      </w:r>
      <w:r w:rsidR="008368A1">
        <w:rPr>
          <w:rFonts w:asciiTheme="minorHAnsi" w:eastAsiaTheme="minorEastAsia" w:hAnsiTheme="minorHAnsi" w:cstheme="minorBidi"/>
          <w:szCs w:val="22"/>
        </w:rPr>
        <w:t xml:space="preserve"> </w:t>
      </w:r>
      <w:r w:rsidR="00341D5E" w:rsidRPr="00341D5E">
        <w:rPr>
          <w:rFonts w:asciiTheme="minorHAnsi" w:eastAsiaTheme="minorEastAsia" w:hAnsiTheme="minorHAnsi" w:cstheme="minorBidi"/>
          <w:szCs w:val="22"/>
        </w:rPr>
        <w:t>The domestic currency is the legal tender in the jurisdiction where the transaction occurs.</w:t>
      </w:r>
    </w:p>
    <w:p w14:paraId="44088DBC" w14:textId="08DFB480" w:rsidR="53BCA9F9" w:rsidRDefault="22376557" w:rsidP="00135B9D">
      <w:pPr>
        <w:tabs>
          <w:tab w:val="left" w:pos="7087"/>
        </w:tabs>
        <w:jc w:val="both"/>
        <w:rPr>
          <w:rFonts w:asciiTheme="minorHAnsi" w:eastAsiaTheme="minorEastAsia" w:hAnsiTheme="minorHAnsi" w:cstheme="minorBidi"/>
          <w:szCs w:val="22"/>
        </w:rPr>
      </w:pPr>
      <w:r w:rsidRPr="25346CB7">
        <w:rPr>
          <w:rFonts w:asciiTheme="minorHAnsi" w:eastAsiaTheme="minorEastAsia" w:hAnsiTheme="minorHAnsi" w:cstheme="minorBidi"/>
          <w:szCs w:val="22"/>
        </w:rPr>
        <w:t>Consistently with the approach above:</w:t>
      </w:r>
    </w:p>
    <w:p w14:paraId="56FAB666" w14:textId="44292DF6" w:rsidR="53BCA9F9" w:rsidRDefault="22376557" w:rsidP="00135B9D">
      <w:pPr>
        <w:pStyle w:val="ListParagraph"/>
        <w:numPr>
          <w:ilvl w:val="0"/>
          <w:numId w:val="86"/>
        </w:numPr>
        <w:spacing w:before="0" w:after="0"/>
        <w:jc w:val="both"/>
        <w:rPr>
          <w:rFonts w:asciiTheme="minorHAnsi" w:eastAsiaTheme="minorEastAsia" w:hAnsiTheme="minorHAnsi" w:cstheme="minorBidi"/>
          <w:szCs w:val="22"/>
        </w:rPr>
      </w:pPr>
      <w:r w:rsidRPr="25346CB7">
        <w:rPr>
          <w:rFonts w:asciiTheme="minorHAnsi" w:eastAsiaTheme="minorEastAsia" w:hAnsiTheme="minorHAnsi" w:cstheme="minorBidi"/>
          <w:szCs w:val="22"/>
        </w:rPr>
        <w:t>“buy” should refer to transactions in which the base currency is received, and the quoted currency is used (sold) to pay for the exchange;</w:t>
      </w:r>
    </w:p>
    <w:p w14:paraId="6C957734" w14:textId="636CFC98" w:rsidR="53BCA9F9" w:rsidRDefault="22376557" w:rsidP="00135B9D">
      <w:pPr>
        <w:pStyle w:val="ListParagraph"/>
        <w:numPr>
          <w:ilvl w:val="0"/>
          <w:numId w:val="86"/>
        </w:numPr>
        <w:spacing w:before="0" w:after="0"/>
        <w:jc w:val="both"/>
        <w:rPr>
          <w:rFonts w:asciiTheme="minorHAnsi" w:hAnsiTheme="minorHAnsi"/>
          <w:lang w:val="en-GB"/>
        </w:rPr>
      </w:pPr>
      <w:r w:rsidRPr="25346CB7">
        <w:rPr>
          <w:rFonts w:asciiTheme="minorHAnsi" w:eastAsiaTheme="minorEastAsia" w:hAnsiTheme="minorHAnsi" w:cstheme="minorBidi"/>
          <w:szCs w:val="22"/>
        </w:rPr>
        <w:t>“sell” should refer to transactions in which the base currency is sold, and the quoted currency is received</w:t>
      </w:r>
      <w:r w:rsidRPr="25346CB7">
        <w:rPr>
          <w:rFonts w:eastAsia="Aptos Light" w:cs="Aptos Light"/>
          <w:szCs w:val="22"/>
        </w:rPr>
        <w:t>.</w:t>
      </w:r>
    </w:p>
    <w:p w14:paraId="3F6B9BEC" w14:textId="7C1A4A95" w:rsidR="33AFC4A1" w:rsidRDefault="33AFC4A1" w:rsidP="00135B9D">
      <w:pPr>
        <w:jc w:val="both"/>
        <w:rPr>
          <w:rFonts w:asciiTheme="minorHAnsi" w:hAnsiTheme="minorHAnsi"/>
          <w:lang w:val="en-GB"/>
        </w:rPr>
      </w:pPr>
      <w:r w:rsidRPr="25346CB7">
        <w:rPr>
          <w:rFonts w:asciiTheme="minorHAnsi" w:hAnsiTheme="minorHAnsi"/>
          <w:lang w:val="en-GB"/>
        </w:rPr>
        <w:t xml:space="preserve">For </w:t>
      </w:r>
      <w:r w:rsidR="00586159">
        <w:rPr>
          <w:rFonts w:asciiTheme="minorHAnsi" w:hAnsiTheme="minorHAnsi"/>
          <w:lang w:val="en-GB"/>
        </w:rPr>
        <w:t>foreign exchange</w:t>
      </w:r>
      <w:r w:rsidRPr="25346CB7">
        <w:rPr>
          <w:rFonts w:asciiTheme="minorHAnsi" w:hAnsiTheme="minorHAnsi"/>
          <w:lang w:val="en-GB"/>
        </w:rPr>
        <w:t xml:space="preserve"> transactions not involving the euro, the transaction amounts still need to be </w:t>
      </w:r>
      <w:r w:rsidR="008B0B52">
        <w:rPr>
          <w:rFonts w:asciiTheme="minorHAnsi" w:hAnsiTheme="minorHAnsi"/>
          <w:lang w:val="en-GB"/>
        </w:rPr>
        <w:t>converted</w:t>
      </w:r>
      <w:r w:rsidRPr="25346CB7">
        <w:rPr>
          <w:rFonts w:asciiTheme="minorHAnsi" w:hAnsiTheme="minorHAnsi"/>
          <w:lang w:val="en-GB"/>
        </w:rPr>
        <w:t xml:space="preserve"> in euro for the purpose of the volume-based data points in this section. The conversion into euro should follow the general approach applied across </w:t>
      </w:r>
      <w:r w:rsidR="008B0B52">
        <w:rPr>
          <w:rFonts w:asciiTheme="minorHAnsi" w:hAnsiTheme="minorHAnsi"/>
          <w:lang w:val="en-GB"/>
        </w:rPr>
        <w:t>this data collection</w:t>
      </w:r>
      <w:r w:rsidRPr="25346CB7">
        <w:rPr>
          <w:rFonts w:asciiTheme="minorHAnsi" w:hAnsiTheme="minorHAnsi"/>
          <w:lang w:val="en-GB"/>
        </w:rPr>
        <w:t xml:space="preserve">, </w:t>
      </w:r>
      <w:r w:rsidR="008B0B52">
        <w:rPr>
          <w:rFonts w:asciiTheme="minorHAnsi" w:hAnsiTheme="minorHAnsi"/>
          <w:lang w:val="en-GB"/>
        </w:rPr>
        <w:t xml:space="preserve">i.e., by </w:t>
      </w:r>
      <w:r w:rsidRPr="25346CB7">
        <w:rPr>
          <w:rFonts w:asciiTheme="minorHAnsi" w:hAnsiTheme="minorHAnsi"/>
          <w:lang w:val="en-GB"/>
        </w:rPr>
        <w:t>using the year-end exchange rate.</w:t>
      </w:r>
      <w:r w:rsidR="0058673E">
        <w:rPr>
          <w:rFonts w:asciiTheme="minorHAnsi" w:hAnsiTheme="minorHAnsi"/>
          <w:lang w:val="en-GB"/>
        </w:rPr>
        <w:t xml:space="preserve"> In case this approach </w:t>
      </w:r>
      <w:r w:rsidR="00144E98">
        <w:rPr>
          <w:rFonts w:asciiTheme="minorHAnsi" w:hAnsiTheme="minorHAnsi"/>
          <w:lang w:val="en-GB"/>
        </w:rPr>
        <w:t xml:space="preserve">results </w:t>
      </w:r>
      <w:r w:rsidR="001E2128" w:rsidRPr="001E2128">
        <w:rPr>
          <w:rFonts w:asciiTheme="minorHAnsi" w:hAnsiTheme="minorHAnsi"/>
          <w:lang w:val="en-GB"/>
        </w:rPr>
        <w:t>as</w:t>
      </w:r>
      <w:r w:rsidR="00144E98">
        <w:rPr>
          <w:rFonts w:asciiTheme="minorHAnsi" w:hAnsiTheme="minorHAnsi"/>
          <w:lang w:val="en-GB"/>
        </w:rPr>
        <w:t xml:space="preserve"> being overly burdensome for obliged entities</w:t>
      </w:r>
      <w:r w:rsidR="001E2128">
        <w:rPr>
          <w:rFonts w:asciiTheme="minorHAnsi" w:hAnsiTheme="minorHAnsi"/>
          <w:lang w:val="en-GB"/>
        </w:rPr>
        <w:t xml:space="preserve"> - </w:t>
      </w:r>
      <w:r w:rsidR="001E2128" w:rsidRPr="001E2128">
        <w:rPr>
          <w:rFonts w:asciiTheme="minorHAnsi" w:hAnsiTheme="minorHAnsi"/>
          <w:lang w:val="en-GB"/>
        </w:rPr>
        <w:t>because</w:t>
      </w:r>
      <w:r w:rsidR="00144E98">
        <w:rPr>
          <w:rFonts w:asciiTheme="minorHAnsi" w:hAnsiTheme="minorHAnsi"/>
          <w:lang w:val="en-GB"/>
        </w:rPr>
        <w:t xml:space="preserve"> they </w:t>
      </w:r>
      <w:r w:rsidR="00CA66F5">
        <w:rPr>
          <w:rFonts w:asciiTheme="minorHAnsi" w:hAnsiTheme="minorHAnsi"/>
          <w:lang w:val="en-GB"/>
        </w:rPr>
        <w:t>immediately convert</w:t>
      </w:r>
      <w:r w:rsidR="00A513E8">
        <w:rPr>
          <w:rFonts w:asciiTheme="minorHAnsi" w:hAnsiTheme="minorHAnsi"/>
          <w:lang w:val="en-GB"/>
        </w:rPr>
        <w:t xml:space="preserve"> these transactions </w:t>
      </w:r>
      <w:r w:rsidR="00CA66F5">
        <w:rPr>
          <w:rFonts w:asciiTheme="minorHAnsi" w:hAnsiTheme="minorHAnsi"/>
          <w:lang w:val="en-GB"/>
        </w:rPr>
        <w:t>into euro</w:t>
      </w:r>
      <w:r w:rsidR="001E2128" w:rsidRPr="001E2128">
        <w:rPr>
          <w:rFonts w:asciiTheme="minorHAnsi" w:hAnsiTheme="minorHAnsi"/>
          <w:lang w:val="en-GB"/>
        </w:rPr>
        <w:t>, for example</w:t>
      </w:r>
      <w:r w:rsidR="004B7974">
        <w:rPr>
          <w:rFonts w:asciiTheme="minorHAnsi" w:hAnsiTheme="minorHAnsi"/>
          <w:lang w:val="en-GB"/>
        </w:rPr>
        <w:t xml:space="preserve"> for internal reporting purposes</w:t>
      </w:r>
      <w:r w:rsidR="00F76F0C">
        <w:rPr>
          <w:rFonts w:asciiTheme="minorHAnsi" w:hAnsiTheme="minorHAnsi"/>
          <w:lang w:val="en-GB"/>
        </w:rPr>
        <w:t xml:space="preserve"> or</w:t>
      </w:r>
      <w:r w:rsidR="004B7974">
        <w:rPr>
          <w:rFonts w:asciiTheme="minorHAnsi" w:hAnsiTheme="minorHAnsi"/>
          <w:lang w:val="en-GB"/>
        </w:rPr>
        <w:t xml:space="preserve"> foreign exchange transaction</w:t>
      </w:r>
      <w:r w:rsidR="00D034D9">
        <w:rPr>
          <w:rFonts w:asciiTheme="minorHAnsi" w:hAnsiTheme="minorHAnsi"/>
          <w:lang w:val="en-GB"/>
        </w:rPr>
        <w:t>s</w:t>
      </w:r>
      <w:r w:rsidR="004B7974">
        <w:rPr>
          <w:rFonts w:asciiTheme="minorHAnsi" w:hAnsiTheme="minorHAnsi"/>
          <w:lang w:val="en-GB"/>
        </w:rPr>
        <w:t xml:space="preserve"> involving currencies </w:t>
      </w:r>
      <w:r w:rsidR="001E2128" w:rsidRPr="001E2128">
        <w:rPr>
          <w:rFonts w:asciiTheme="minorHAnsi" w:hAnsiTheme="minorHAnsi"/>
          <w:lang w:val="en-GB"/>
        </w:rPr>
        <w:t>other than the</w:t>
      </w:r>
      <w:r w:rsidR="004B7974">
        <w:rPr>
          <w:rFonts w:asciiTheme="minorHAnsi" w:hAnsiTheme="minorHAnsi"/>
          <w:lang w:val="en-GB"/>
        </w:rPr>
        <w:t xml:space="preserve"> euro</w:t>
      </w:r>
      <w:r w:rsidR="00605E7E">
        <w:rPr>
          <w:rFonts w:asciiTheme="minorHAnsi" w:hAnsiTheme="minorHAnsi"/>
          <w:lang w:val="en-GB"/>
        </w:rPr>
        <w:t xml:space="preserve"> by using the </w:t>
      </w:r>
      <w:r w:rsidR="004D7F74">
        <w:rPr>
          <w:rFonts w:asciiTheme="minorHAnsi" w:hAnsiTheme="minorHAnsi"/>
          <w:lang w:val="en-GB"/>
        </w:rPr>
        <w:t xml:space="preserve">spot </w:t>
      </w:r>
      <w:r w:rsidR="00B333D9">
        <w:rPr>
          <w:rFonts w:asciiTheme="minorHAnsi" w:hAnsiTheme="minorHAnsi"/>
          <w:lang w:val="en-GB"/>
        </w:rPr>
        <w:t xml:space="preserve">euro </w:t>
      </w:r>
      <w:r w:rsidR="00F02573">
        <w:rPr>
          <w:rFonts w:asciiTheme="minorHAnsi" w:hAnsiTheme="minorHAnsi"/>
          <w:lang w:val="en-GB"/>
        </w:rPr>
        <w:t xml:space="preserve">conversion factor </w:t>
      </w:r>
      <w:r w:rsidR="004D7F74">
        <w:rPr>
          <w:rFonts w:asciiTheme="minorHAnsi" w:hAnsiTheme="minorHAnsi"/>
          <w:lang w:val="en-GB"/>
        </w:rPr>
        <w:t xml:space="preserve">applicable </w:t>
      </w:r>
      <w:r w:rsidR="001E2128" w:rsidRPr="001E2128">
        <w:rPr>
          <w:rFonts w:asciiTheme="minorHAnsi" w:hAnsiTheme="minorHAnsi"/>
          <w:lang w:val="en-GB"/>
        </w:rPr>
        <w:t>on</w:t>
      </w:r>
      <w:r w:rsidR="004D7F74">
        <w:rPr>
          <w:rFonts w:asciiTheme="minorHAnsi" w:hAnsiTheme="minorHAnsi"/>
          <w:lang w:val="en-GB"/>
        </w:rPr>
        <w:t xml:space="preserve"> the date of the transaction</w:t>
      </w:r>
      <w:r w:rsidR="001E2128">
        <w:rPr>
          <w:rFonts w:asciiTheme="minorHAnsi" w:hAnsiTheme="minorHAnsi"/>
          <w:lang w:val="en-GB"/>
        </w:rPr>
        <w:t xml:space="preserve"> -</w:t>
      </w:r>
      <w:r w:rsidR="004961D1">
        <w:rPr>
          <w:rFonts w:asciiTheme="minorHAnsi" w:hAnsiTheme="minorHAnsi"/>
          <w:lang w:val="en-GB"/>
        </w:rPr>
        <w:t xml:space="preserve"> </w:t>
      </w:r>
      <w:r w:rsidR="00605E7E">
        <w:rPr>
          <w:rFonts w:asciiTheme="minorHAnsi" w:hAnsiTheme="minorHAnsi"/>
          <w:lang w:val="en-GB"/>
        </w:rPr>
        <w:t xml:space="preserve">these obliged entities </w:t>
      </w:r>
      <w:r w:rsidR="001E2128" w:rsidRPr="001E2128">
        <w:rPr>
          <w:rFonts w:asciiTheme="minorHAnsi" w:hAnsiTheme="minorHAnsi"/>
          <w:lang w:val="en-GB"/>
        </w:rPr>
        <w:t>may</w:t>
      </w:r>
      <w:r w:rsidR="00605E7E">
        <w:rPr>
          <w:rFonts w:asciiTheme="minorHAnsi" w:hAnsiTheme="minorHAnsi"/>
          <w:lang w:val="en-GB"/>
        </w:rPr>
        <w:t xml:space="preserve"> use th</w:t>
      </w:r>
      <w:r w:rsidR="004D7F74">
        <w:rPr>
          <w:rFonts w:asciiTheme="minorHAnsi" w:hAnsiTheme="minorHAnsi"/>
          <w:lang w:val="en-GB"/>
        </w:rPr>
        <w:t>at</w:t>
      </w:r>
      <w:r w:rsidR="00605E7E">
        <w:rPr>
          <w:rFonts w:asciiTheme="minorHAnsi" w:hAnsiTheme="minorHAnsi"/>
          <w:lang w:val="en-GB"/>
        </w:rPr>
        <w:t xml:space="preserve"> </w:t>
      </w:r>
      <w:r w:rsidR="001E2128" w:rsidRPr="001E2128">
        <w:rPr>
          <w:rFonts w:asciiTheme="minorHAnsi" w:hAnsiTheme="minorHAnsi"/>
          <w:lang w:val="en-GB"/>
        </w:rPr>
        <w:t xml:space="preserve">same </w:t>
      </w:r>
      <w:r w:rsidR="004D7F74">
        <w:rPr>
          <w:rFonts w:asciiTheme="minorHAnsi" w:hAnsiTheme="minorHAnsi"/>
          <w:lang w:val="en-GB"/>
        </w:rPr>
        <w:t xml:space="preserve">spot </w:t>
      </w:r>
      <w:r w:rsidR="00605E7E">
        <w:rPr>
          <w:rFonts w:asciiTheme="minorHAnsi" w:hAnsiTheme="minorHAnsi"/>
          <w:lang w:val="en-GB"/>
        </w:rPr>
        <w:t xml:space="preserve">conversion rate </w:t>
      </w:r>
      <w:r w:rsidR="004D7F74">
        <w:rPr>
          <w:rFonts w:asciiTheme="minorHAnsi" w:hAnsiTheme="minorHAnsi"/>
          <w:lang w:val="en-GB"/>
        </w:rPr>
        <w:t>also for the purpose of this data collection.</w:t>
      </w:r>
    </w:p>
    <w:tbl>
      <w:tblPr>
        <w:tblW w:w="92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3"/>
        <w:gridCol w:w="7616"/>
      </w:tblGrid>
      <w:tr w:rsidR="005E211E" w:rsidRPr="009B282E" w14:paraId="5CCD5494" w14:textId="77777777" w:rsidTr="2AD8AB6E">
        <w:tc>
          <w:tcPr>
            <w:tcW w:w="16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B012E6" w14:textId="77777777" w:rsidR="0097506C" w:rsidRPr="009275BC" w:rsidRDefault="0097506C" w:rsidP="00F32516">
            <w:pPr>
              <w:pStyle w:val="InstructionsText"/>
              <w:rPr>
                <w:rStyle w:val="InstructionsTabelleText"/>
                <w:rFonts w:asciiTheme="minorHAnsi" w:hAnsiTheme="minorHAnsi"/>
                <w:bCs w:val="0"/>
                <w:lang w:eastAsia="en-US"/>
              </w:rPr>
            </w:pPr>
            <w:r w:rsidRPr="009275BC">
              <w:rPr>
                <w:rStyle w:val="InstructionsTabelleText"/>
                <w:rFonts w:asciiTheme="minorHAnsi" w:hAnsiTheme="minorHAnsi"/>
              </w:rPr>
              <w:t>Column code</w:t>
            </w:r>
          </w:p>
        </w:tc>
        <w:tc>
          <w:tcPr>
            <w:tcW w:w="76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D1AC57" w14:textId="77777777" w:rsidR="0097506C" w:rsidRPr="009275BC" w:rsidRDefault="0097506C" w:rsidP="00F32516">
            <w:pPr>
              <w:pStyle w:val="InstructionsText"/>
              <w:rPr>
                <w:rStyle w:val="InstructionsTabelleText"/>
                <w:rFonts w:asciiTheme="minorHAnsi" w:hAnsiTheme="minorHAnsi"/>
                <w:bCs w:val="0"/>
                <w:lang w:eastAsia="en-US"/>
              </w:rPr>
            </w:pPr>
            <w:r w:rsidRPr="009275BC">
              <w:rPr>
                <w:rStyle w:val="InstructionsTabelleText"/>
                <w:rFonts w:asciiTheme="minorHAnsi" w:hAnsiTheme="minorHAnsi"/>
              </w:rPr>
              <w:t>Legal references and instructions</w:t>
            </w:r>
          </w:p>
        </w:tc>
      </w:tr>
      <w:tr w:rsidR="005E211E" w:rsidRPr="009B282E" w14:paraId="3D7DBB6D" w14:textId="77777777" w:rsidTr="00254967">
        <w:tc>
          <w:tcPr>
            <w:tcW w:w="1673" w:type="dxa"/>
            <w:tcBorders>
              <w:top w:val="single" w:sz="4" w:space="0" w:color="auto"/>
              <w:left w:val="single" w:sz="4" w:space="0" w:color="auto"/>
              <w:bottom w:val="single" w:sz="4" w:space="0" w:color="auto"/>
              <w:right w:val="single" w:sz="4" w:space="0" w:color="auto"/>
            </w:tcBorders>
            <w:vAlign w:val="center"/>
          </w:tcPr>
          <w:p w14:paraId="445B8AF9" w14:textId="51DB924C" w:rsidR="2AD8AB6E" w:rsidRPr="00841214" w:rsidRDefault="2AD8AB6E" w:rsidP="00841214">
            <w:pPr>
              <w:spacing w:before="0" w:after="0"/>
              <w:rPr>
                <w:rFonts w:asciiTheme="minorHAnsi" w:hAnsiTheme="minorHAnsi"/>
                <w:bCs/>
                <w:sz w:val="20"/>
              </w:rPr>
            </w:pPr>
            <w:r w:rsidRPr="00841214">
              <w:rPr>
                <w:rFonts w:asciiTheme="minorHAnsi" w:eastAsia="Calibri" w:hAnsiTheme="minorHAnsi" w:cs="Calibri"/>
                <w:bCs/>
                <w:color w:val="000000" w:themeColor="text1"/>
                <w:sz w:val="20"/>
              </w:rPr>
              <w:t>C0010</w:t>
            </w:r>
          </w:p>
        </w:tc>
        <w:tc>
          <w:tcPr>
            <w:tcW w:w="7616" w:type="dxa"/>
            <w:tcBorders>
              <w:top w:val="single" w:sz="8" w:space="0" w:color="auto"/>
              <w:left w:val="nil"/>
              <w:bottom w:val="single" w:sz="4" w:space="0" w:color="auto"/>
              <w:right w:val="single" w:sz="4" w:space="0" w:color="auto"/>
            </w:tcBorders>
            <w:vAlign w:val="center"/>
          </w:tcPr>
          <w:p w14:paraId="779115F1" w14:textId="0D71B5BF" w:rsidR="00491899" w:rsidRDefault="00491899" w:rsidP="002446F4">
            <w:pPr>
              <w:pStyle w:val="InstructionsText2"/>
              <w:rPr>
                <w:rFonts w:asciiTheme="minorHAnsi" w:hAnsiTheme="minorHAnsi"/>
                <w:sz w:val="20"/>
                <w:szCs w:val="20"/>
                <w:lang w:val="en-IE"/>
              </w:rPr>
            </w:pPr>
            <w:r w:rsidRPr="00011DE0">
              <w:rPr>
                <w:rFonts w:ascii="Aptos" w:hAnsi="Aptos"/>
                <w:b/>
                <w:sz w:val="20"/>
                <w:szCs w:val="20"/>
                <w:u w:val="single"/>
                <w:lang w:val="en-IE"/>
              </w:rPr>
              <w:t>Currency Exchange - Sell (</w:t>
            </w:r>
            <w:r w:rsidR="00D12DF7">
              <w:rPr>
                <w:rFonts w:ascii="Aptos" w:hAnsi="Aptos"/>
                <w:b/>
                <w:sz w:val="20"/>
                <w:szCs w:val="20"/>
                <w:u w:val="single"/>
                <w:lang w:val="en-IE"/>
              </w:rPr>
              <w:t>Number</w:t>
            </w:r>
            <w:r w:rsidRPr="000B37C5">
              <w:rPr>
                <w:rFonts w:ascii="Aptos" w:hAnsi="Aptos"/>
                <w:b/>
                <w:sz w:val="20"/>
                <w:szCs w:val="20"/>
                <w:u w:val="single"/>
                <w:lang w:val="en-IE"/>
              </w:rPr>
              <w:t>)</w:t>
            </w:r>
          </w:p>
          <w:p w14:paraId="4CB7AD3C" w14:textId="68BDD25A" w:rsidR="00752D2A" w:rsidRPr="00752D2A" w:rsidRDefault="00491899" w:rsidP="00FD2E97">
            <w:pPr>
              <w:pStyle w:val="InstructionsText2"/>
              <w:rPr>
                <w:rStyle w:val="InstructionsTabelleberschrift"/>
                <w:rFonts w:asciiTheme="minorHAnsi" w:hAnsiTheme="minorHAnsi"/>
                <w:b w:val="0"/>
                <w:bCs w:val="0"/>
                <w:u w:val="none"/>
              </w:rPr>
            </w:pPr>
            <w:r w:rsidRPr="000B37C5">
              <w:rPr>
                <w:rFonts w:asciiTheme="minorHAnsi" w:hAnsiTheme="minorHAnsi"/>
                <w:sz w:val="20"/>
                <w:lang w:val="en-IE"/>
              </w:rPr>
              <w:t xml:space="preserve">Indicate </w:t>
            </w:r>
            <w:r w:rsidR="00774C2D" w:rsidRPr="000B37C5">
              <w:rPr>
                <w:rFonts w:asciiTheme="minorHAnsi" w:hAnsiTheme="minorHAnsi"/>
                <w:sz w:val="20"/>
                <w:lang w:val="en-IE"/>
              </w:rPr>
              <w:t>t</w:t>
            </w:r>
            <w:r w:rsidR="00774C2D" w:rsidRPr="000B37C5">
              <w:rPr>
                <w:rFonts w:asciiTheme="minorHAnsi" w:hAnsiTheme="minorHAnsi"/>
                <w:sz w:val="20"/>
                <w:szCs w:val="20"/>
                <w:lang w:val="en-IE"/>
              </w:rPr>
              <w:t xml:space="preserve">he number of </w:t>
            </w:r>
            <w:r w:rsidRPr="000B37C5">
              <w:rPr>
                <w:rFonts w:asciiTheme="minorHAnsi" w:hAnsiTheme="minorHAnsi"/>
                <w:sz w:val="20"/>
                <w:lang w:val="en-IE"/>
              </w:rPr>
              <w:t xml:space="preserve">Currency Exchange </w:t>
            </w:r>
            <w:r w:rsidR="00014F26" w:rsidRPr="000B37C5">
              <w:rPr>
                <w:rFonts w:asciiTheme="minorHAnsi" w:hAnsiTheme="minorHAnsi"/>
                <w:sz w:val="20"/>
                <w:lang w:val="en-IE"/>
              </w:rPr>
              <w:t>tra</w:t>
            </w:r>
            <w:r w:rsidR="005559AC" w:rsidRPr="000B37C5">
              <w:rPr>
                <w:rFonts w:asciiTheme="minorHAnsi" w:hAnsiTheme="minorHAnsi"/>
                <w:sz w:val="20"/>
                <w:lang w:val="en-IE"/>
              </w:rPr>
              <w:t xml:space="preserve">nsactions </w:t>
            </w:r>
            <w:r w:rsidR="0033253A">
              <w:rPr>
                <w:rFonts w:asciiTheme="minorHAnsi" w:hAnsiTheme="minorHAnsi"/>
                <w:sz w:val="20"/>
                <w:lang w:val="en-IE"/>
              </w:rPr>
              <w:t>carried ou</w:t>
            </w:r>
            <w:r w:rsidR="00E95BAA">
              <w:rPr>
                <w:rFonts w:asciiTheme="minorHAnsi" w:hAnsiTheme="minorHAnsi"/>
                <w:sz w:val="20"/>
                <w:lang w:val="en-IE"/>
              </w:rPr>
              <w:t xml:space="preserve">t </w:t>
            </w:r>
            <w:r w:rsidR="0033253A">
              <w:rPr>
                <w:rFonts w:asciiTheme="minorHAnsi" w:hAnsiTheme="minorHAnsi"/>
                <w:sz w:val="20"/>
                <w:lang w:val="en-IE"/>
              </w:rPr>
              <w:t xml:space="preserve">- </w:t>
            </w:r>
            <w:r w:rsidRPr="000B37C5">
              <w:rPr>
                <w:rFonts w:asciiTheme="minorHAnsi" w:hAnsiTheme="minorHAnsi"/>
                <w:sz w:val="20"/>
                <w:lang w:val="en-IE"/>
              </w:rPr>
              <w:t>Sell</w:t>
            </w:r>
            <w:r w:rsidR="00E10921" w:rsidRPr="000B37C5">
              <w:rPr>
                <w:rFonts w:asciiTheme="minorHAnsi" w:hAnsiTheme="minorHAnsi"/>
                <w:sz w:val="20"/>
                <w:lang w:val="en-IE"/>
              </w:rPr>
              <w:t xml:space="preserve"> - </w:t>
            </w:r>
            <w:r w:rsidRPr="000B37C5">
              <w:rPr>
                <w:rFonts w:asciiTheme="minorHAnsi" w:hAnsiTheme="minorHAnsi"/>
                <w:sz w:val="20"/>
                <w:lang w:val="en-IE"/>
              </w:rPr>
              <w:t>during the reference year.</w:t>
            </w:r>
          </w:p>
        </w:tc>
      </w:tr>
      <w:tr w:rsidR="005E211E" w:rsidRPr="009B282E" w14:paraId="50E723FB" w14:textId="77777777" w:rsidTr="00254967">
        <w:tc>
          <w:tcPr>
            <w:tcW w:w="1673" w:type="dxa"/>
            <w:tcBorders>
              <w:top w:val="single" w:sz="4" w:space="0" w:color="auto"/>
              <w:left w:val="single" w:sz="4" w:space="0" w:color="auto"/>
              <w:bottom w:val="single" w:sz="4" w:space="0" w:color="auto"/>
              <w:right w:val="single" w:sz="4" w:space="0" w:color="auto"/>
            </w:tcBorders>
            <w:vAlign w:val="center"/>
          </w:tcPr>
          <w:p w14:paraId="054122ED" w14:textId="68357D60" w:rsidR="2AD8AB6E" w:rsidRPr="00841214" w:rsidRDefault="2AD8AB6E" w:rsidP="00841214">
            <w:pPr>
              <w:spacing w:before="0" w:after="0"/>
              <w:rPr>
                <w:rFonts w:asciiTheme="minorHAnsi" w:hAnsiTheme="minorHAnsi"/>
                <w:bCs/>
                <w:sz w:val="20"/>
              </w:rPr>
            </w:pPr>
            <w:r w:rsidRPr="00841214">
              <w:rPr>
                <w:rFonts w:asciiTheme="minorHAnsi" w:eastAsia="Calibri" w:hAnsiTheme="minorHAnsi" w:cs="Calibri"/>
                <w:bCs/>
                <w:color w:val="000000" w:themeColor="text1"/>
                <w:sz w:val="20"/>
              </w:rPr>
              <w:t>C0020</w:t>
            </w:r>
          </w:p>
        </w:tc>
        <w:tc>
          <w:tcPr>
            <w:tcW w:w="7616" w:type="dxa"/>
            <w:tcBorders>
              <w:top w:val="nil"/>
              <w:left w:val="nil"/>
              <w:bottom w:val="nil"/>
              <w:right w:val="single" w:sz="4" w:space="0" w:color="auto"/>
            </w:tcBorders>
            <w:vAlign w:val="center"/>
          </w:tcPr>
          <w:p w14:paraId="096AA25C" w14:textId="075E6EDB" w:rsidR="00491899" w:rsidRDefault="00491899" w:rsidP="002446F4">
            <w:pPr>
              <w:pStyle w:val="InstructionsText2"/>
              <w:rPr>
                <w:rFonts w:asciiTheme="minorHAnsi" w:hAnsiTheme="minorHAnsi"/>
                <w:sz w:val="20"/>
                <w:szCs w:val="20"/>
                <w:lang w:val="en-IE"/>
              </w:rPr>
            </w:pPr>
            <w:r w:rsidRPr="001657B4">
              <w:rPr>
                <w:rFonts w:ascii="Aptos" w:hAnsi="Aptos"/>
                <w:b/>
                <w:sz w:val="20"/>
                <w:szCs w:val="20"/>
                <w:u w:val="single"/>
                <w:lang w:val="en-IE"/>
              </w:rPr>
              <w:t>Currency Exchange - Buy (</w:t>
            </w:r>
            <w:r w:rsidR="00E10921">
              <w:rPr>
                <w:rFonts w:ascii="Aptos" w:hAnsi="Aptos"/>
                <w:b/>
                <w:sz w:val="20"/>
                <w:szCs w:val="20"/>
                <w:u w:val="single"/>
                <w:lang w:val="en-IE"/>
              </w:rPr>
              <w:t>Number</w:t>
            </w:r>
            <w:r w:rsidRPr="00514518">
              <w:rPr>
                <w:rFonts w:ascii="Aptos" w:hAnsi="Aptos"/>
                <w:b/>
                <w:sz w:val="20"/>
                <w:szCs w:val="20"/>
                <w:u w:val="single"/>
                <w:lang w:val="en-IE"/>
              </w:rPr>
              <w:t>)</w:t>
            </w:r>
          </w:p>
          <w:p w14:paraId="6925241C" w14:textId="0BB8F17E" w:rsidR="00752D2A" w:rsidRPr="00752D2A" w:rsidRDefault="00491899" w:rsidP="00FD2E97">
            <w:pPr>
              <w:pStyle w:val="InstructionsText2"/>
              <w:rPr>
                <w:rStyle w:val="InstructionsTabelleberschrift"/>
                <w:rFonts w:asciiTheme="minorHAnsi" w:hAnsiTheme="minorHAnsi"/>
                <w:b w:val="0"/>
                <w:bCs w:val="0"/>
                <w:u w:val="none"/>
              </w:rPr>
            </w:pPr>
            <w:r w:rsidRPr="00514518">
              <w:rPr>
                <w:rFonts w:asciiTheme="minorHAnsi" w:hAnsiTheme="minorHAnsi"/>
                <w:sz w:val="20"/>
                <w:lang w:val="en-IE"/>
              </w:rPr>
              <w:t xml:space="preserve">Indicate </w:t>
            </w:r>
            <w:r w:rsidR="00EA09AE" w:rsidRPr="00514518">
              <w:rPr>
                <w:rFonts w:asciiTheme="minorHAnsi" w:hAnsiTheme="minorHAnsi"/>
                <w:sz w:val="20"/>
                <w:lang w:val="en-IE"/>
              </w:rPr>
              <w:t>t</w:t>
            </w:r>
            <w:r w:rsidR="00EA09AE" w:rsidRPr="00514518">
              <w:rPr>
                <w:rFonts w:asciiTheme="minorHAnsi" w:hAnsiTheme="minorHAnsi"/>
                <w:sz w:val="20"/>
                <w:szCs w:val="20"/>
                <w:lang w:val="en-IE"/>
              </w:rPr>
              <w:t xml:space="preserve">he number of </w:t>
            </w:r>
            <w:r w:rsidR="00EA09AE" w:rsidRPr="00514518">
              <w:rPr>
                <w:rFonts w:asciiTheme="minorHAnsi" w:hAnsiTheme="minorHAnsi"/>
                <w:sz w:val="20"/>
                <w:lang w:val="en-IE"/>
              </w:rPr>
              <w:t xml:space="preserve">Currency Exchange transactions </w:t>
            </w:r>
            <w:r w:rsidR="006B3BCC">
              <w:rPr>
                <w:rFonts w:asciiTheme="minorHAnsi" w:hAnsiTheme="minorHAnsi"/>
                <w:sz w:val="20"/>
                <w:lang w:val="en-IE"/>
              </w:rPr>
              <w:t xml:space="preserve">carried out </w:t>
            </w:r>
            <w:r w:rsidRPr="00514518">
              <w:rPr>
                <w:rFonts w:asciiTheme="minorHAnsi" w:hAnsiTheme="minorHAnsi"/>
                <w:sz w:val="20"/>
                <w:lang w:val="en-IE"/>
              </w:rPr>
              <w:t xml:space="preserve">- Buy </w:t>
            </w:r>
            <w:r w:rsidR="009D711F" w:rsidRPr="00514518">
              <w:rPr>
                <w:rFonts w:asciiTheme="minorHAnsi" w:hAnsiTheme="minorHAnsi"/>
                <w:sz w:val="20"/>
                <w:lang w:val="en-IE"/>
              </w:rPr>
              <w:t xml:space="preserve">- </w:t>
            </w:r>
            <w:r w:rsidRPr="00514518">
              <w:rPr>
                <w:rFonts w:asciiTheme="minorHAnsi" w:hAnsiTheme="minorHAnsi"/>
                <w:sz w:val="20"/>
                <w:lang w:val="en-IE"/>
              </w:rPr>
              <w:t>during the reference year.</w:t>
            </w:r>
          </w:p>
        </w:tc>
      </w:tr>
      <w:tr w:rsidR="005E211E" w:rsidRPr="009B282E" w14:paraId="30F8CE68" w14:textId="77777777" w:rsidTr="00254967">
        <w:tc>
          <w:tcPr>
            <w:tcW w:w="1673" w:type="dxa"/>
            <w:tcBorders>
              <w:top w:val="single" w:sz="4" w:space="0" w:color="auto"/>
              <w:left w:val="single" w:sz="4" w:space="0" w:color="auto"/>
              <w:bottom w:val="single" w:sz="4" w:space="0" w:color="auto"/>
              <w:right w:val="single" w:sz="4" w:space="0" w:color="auto"/>
            </w:tcBorders>
            <w:vAlign w:val="center"/>
          </w:tcPr>
          <w:p w14:paraId="7BEF35C0" w14:textId="165CD3EA" w:rsidR="2AD8AB6E" w:rsidRPr="00841214" w:rsidRDefault="2AD8AB6E" w:rsidP="00841214">
            <w:pPr>
              <w:spacing w:before="0" w:after="0"/>
              <w:rPr>
                <w:rFonts w:asciiTheme="minorHAnsi" w:eastAsia="Calibri" w:hAnsiTheme="minorHAnsi" w:cs="Calibri"/>
                <w:bCs/>
                <w:color w:val="000000" w:themeColor="text1"/>
                <w:sz w:val="20"/>
              </w:rPr>
            </w:pPr>
            <w:r w:rsidRPr="00841214">
              <w:rPr>
                <w:rFonts w:asciiTheme="minorHAnsi" w:eastAsia="Calibri" w:hAnsiTheme="minorHAnsi" w:cs="Calibri"/>
                <w:bCs/>
                <w:color w:val="000000" w:themeColor="text1"/>
                <w:sz w:val="20"/>
              </w:rPr>
              <w:t>C0030</w:t>
            </w:r>
          </w:p>
        </w:tc>
        <w:tc>
          <w:tcPr>
            <w:tcW w:w="7616" w:type="dxa"/>
            <w:tcBorders>
              <w:top w:val="single" w:sz="4" w:space="0" w:color="auto"/>
              <w:left w:val="nil"/>
              <w:bottom w:val="nil"/>
              <w:right w:val="single" w:sz="4" w:space="0" w:color="auto"/>
            </w:tcBorders>
            <w:vAlign w:val="center"/>
          </w:tcPr>
          <w:p w14:paraId="00EA2C97" w14:textId="6B6ADE26" w:rsidR="00491899" w:rsidRDefault="00491899" w:rsidP="002446F4">
            <w:pPr>
              <w:pStyle w:val="InstructionsText2"/>
              <w:rPr>
                <w:rFonts w:asciiTheme="minorHAnsi" w:hAnsiTheme="minorHAnsi"/>
                <w:sz w:val="20"/>
                <w:szCs w:val="20"/>
                <w:lang w:val="en-IE"/>
              </w:rPr>
            </w:pPr>
            <w:r w:rsidRPr="001657B4">
              <w:rPr>
                <w:rFonts w:ascii="Aptos" w:hAnsi="Aptos"/>
                <w:b/>
                <w:sz w:val="20"/>
                <w:szCs w:val="20"/>
                <w:u w:val="single"/>
                <w:lang w:val="en-IE"/>
              </w:rPr>
              <w:t>Currency Exchange - Sell &gt; EUR 1000 (</w:t>
            </w:r>
            <w:r w:rsidR="009C0902">
              <w:rPr>
                <w:rFonts w:ascii="Aptos" w:hAnsi="Aptos"/>
                <w:b/>
                <w:sz w:val="20"/>
                <w:szCs w:val="20"/>
                <w:u w:val="single"/>
                <w:lang w:val="en-IE"/>
              </w:rPr>
              <w:t>Number</w:t>
            </w:r>
            <w:r w:rsidRPr="003C59A8">
              <w:rPr>
                <w:rFonts w:ascii="Aptos" w:hAnsi="Aptos"/>
                <w:b/>
                <w:sz w:val="20"/>
                <w:szCs w:val="20"/>
                <w:u w:val="single"/>
                <w:lang w:val="en-IE"/>
              </w:rPr>
              <w:t>)</w:t>
            </w:r>
          </w:p>
          <w:p w14:paraId="43BFD26F" w14:textId="4023DD7B" w:rsidR="00752D2A" w:rsidRPr="00752D2A" w:rsidRDefault="00491899" w:rsidP="00FD2E97">
            <w:pPr>
              <w:pStyle w:val="InstructionsText2"/>
              <w:rPr>
                <w:rStyle w:val="InstructionsTabelleberschrift"/>
                <w:rFonts w:asciiTheme="minorHAnsi" w:hAnsiTheme="minorHAnsi"/>
                <w:b w:val="0"/>
                <w:bCs w:val="0"/>
                <w:u w:val="none"/>
              </w:rPr>
            </w:pPr>
            <w:r w:rsidRPr="003C59A8">
              <w:rPr>
                <w:rFonts w:asciiTheme="minorHAnsi" w:hAnsiTheme="minorHAnsi"/>
                <w:sz w:val="20"/>
                <w:lang w:val="en-IE"/>
              </w:rPr>
              <w:t>Indicate</w:t>
            </w:r>
            <w:r w:rsidR="004E76CC" w:rsidRPr="003C59A8">
              <w:rPr>
                <w:rFonts w:asciiTheme="minorHAnsi" w:hAnsiTheme="minorHAnsi"/>
                <w:sz w:val="20"/>
                <w:lang w:val="en-IE"/>
              </w:rPr>
              <w:t xml:space="preserve"> the n</w:t>
            </w:r>
            <w:r w:rsidR="004E76CC" w:rsidRPr="003C59A8">
              <w:rPr>
                <w:rStyle w:val="InstructionsTabelleberschrift"/>
                <w:rFonts w:asciiTheme="minorHAnsi" w:hAnsiTheme="minorHAnsi"/>
                <w:b w:val="0"/>
                <w:bCs w:val="0"/>
                <w:u w:val="none"/>
              </w:rPr>
              <w:t>umber of currency exchange transactions carried out</w:t>
            </w:r>
            <w:r w:rsidR="00E95BAA">
              <w:rPr>
                <w:rStyle w:val="InstructionsTabelleberschrift"/>
                <w:rFonts w:asciiTheme="minorHAnsi" w:hAnsiTheme="minorHAnsi"/>
                <w:b w:val="0"/>
                <w:bCs w:val="0"/>
                <w:u w:val="none"/>
              </w:rPr>
              <w:t xml:space="preserve"> - sell</w:t>
            </w:r>
            <w:r w:rsidR="004E76CC" w:rsidRPr="003C59A8">
              <w:rPr>
                <w:rStyle w:val="InstructionsTabelleberschrift"/>
                <w:rFonts w:asciiTheme="minorHAnsi" w:hAnsiTheme="minorHAnsi"/>
                <w:b w:val="0"/>
                <w:bCs w:val="0"/>
                <w:u w:val="none"/>
              </w:rPr>
              <w:t xml:space="preserve"> </w:t>
            </w:r>
            <w:r w:rsidR="00E95BAA">
              <w:rPr>
                <w:rStyle w:val="InstructionsTabelleberschrift"/>
                <w:rFonts w:asciiTheme="minorHAnsi" w:hAnsiTheme="minorHAnsi"/>
                <w:b w:val="0"/>
                <w:bCs w:val="0"/>
                <w:u w:val="none"/>
              </w:rPr>
              <w:t xml:space="preserve">- </w:t>
            </w:r>
            <w:r w:rsidR="004E76CC" w:rsidRPr="003C59A8">
              <w:rPr>
                <w:rStyle w:val="InstructionsTabelleberschrift"/>
                <w:rFonts w:asciiTheme="minorHAnsi" w:hAnsiTheme="minorHAnsi"/>
                <w:b w:val="0"/>
                <w:bCs w:val="0"/>
                <w:u w:val="none"/>
              </w:rPr>
              <w:t xml:space="preserve">where the transaction is above </w:t>
            </w:r>
            <w:r w:rsidR="00BE50FB">
              <w:rPr>
                <w:rStyle w:val="InstructionsTabelleberschrift"/>
                <w:rFonts w:asciiTheme="minorHAnsi" w:hAnsiTheme="minorHAnsi"/>
                <w:b w:val="0"/>
                <w:bCs w:val="0"/>
                <w:u w:val="none"/>
              </w:rPr>
              <w:t>EUR</w:t>
            </w:r>
            <w:r w:rsidR="004E76CC" w:rsidRPr="003C59A8">
              <w:rPr>
                <w:rStyle w:val="InstructionsTabelleberschrift"/>
                <w:rFonts w:asciiTheme="minorHAnsi" w:hAnsiTheme="minorHAnsi"/>
                <w:b w:val="0"/>
                <w:bCs w:val="0"/>
                <w:u w:val="none"/>
              </w:rPr>
              <w:t xml:space="preserve"> 1</w:t>
            </w:r>
            <w:r w:rsidR="00BE50FB">
              <w:rPr>
                <w:rStyle w:val="InstructionsTabelleberschrift"/>
                <w:rFonts w:asciiTheme="minorHAnsi" w:hAnsiTheme="minorHAnsi"/>
                <w:b w:val="0"/>
                <w:bCs w:val="0"/>
                <w:u w:val="none"/>
              </w:rPr>
              <w:t>.</w:t>
            </w:r>
            <w:r w:rsidR="004E76CC" w:rsidRPr="003C59A8">
              <w:rPr>
                <w:rStyle w:val="InstructionsTabelleberschrift"/>
                <w:rFonts w:asciiTheme="minorHAnsi" w:hAnsiTheme="minorHAnsi"/>
                <w:b w:val="0"/>
                <w:bCs w:val="0"/>
                <w:u w:val="none"/>
              </w:rPr>
              <w:t xml:space="preserve">000 </w:t>
            </w:r>
            <w:r w:rsidR="00E95BAA">
              <w:rPr>
                <w:rStyle w:val="InstructionsTabelleberschrift"/>
                <w:rFonts w:asciiTheme="minorHAnsi" w:hAnsiTheme="minorHAnsi"/>
                <w:b w:val="0"/>
                <w:bCs w:val="0"/>
                <w:u w:val="none"/>
              </w:rPr>
              <w:t>during the reference year</w:t>
            </w:r>
            <w:r w:rsidR="00DC1771">
              <w:rPr>
                <w:rStyle w:val="InstructionsTabelleberschrift"/>
                <w:rFonts w:asciiTheme="minorHAnsi" w:hAnsiTheme="minorHAnsi"/>
                <w:b w:val="0"/>
                <w:bCs w:val="0"/>
                <w:u w:val="none"/>
              </w:rPr>
              <w:t>.</w:t>
            </w:r>
          </w:p>
        </w:tc>
      </w:tr>
      <w:tr w:rsidR="005E211E" w:rsidRPr="009B282E" w14:paraId="5D4260B9" w14:textId="77777777" w:rsidTr="00254967">
        <w:tc>
          <w:tcPr>
            <w:tcW w:w="1673" w:type="dxa"/>
            <w:tcBorders>
              <w:top w:val="single" w:sz="4" w:space="0" w:color="auto"/>
              <w:left w:val="single" w:sz="4" w:space="0" w:color="auto"/>
              <w:bottom w:val="single" w:sz="4" w:space="0" w:color="auto"/>
              <w:right w:val="single" w:sz="4" w:space="0" w:color="auto"/>
            </w:tcBorders>
            <w:vAlign w:val="center"/>
          </w:tcPr>
          <w:p w14:paraId="62910C36" w14:textId="049DF51C" w:rsidR="2AD8AB6E" w:rsidRPr="00841214" w:rsidRDefault="2AD8AB6E" w:rsidP="00841214">
            <w:pPr>
              <w:spacing w:before="0" w:after="0"/>
              <w:rPr>
                <w:rFonts w:asciiTheme="minorHAnsi" w:hAnsiTheme="minorHAnsi"/>
                <w:bCs/>
                <w:sz w:val="20"/>
              </w:rPr>
            </w:pPr>
            <w:r w:rsidRPr="00841214">
              <w:rPr>
                <w:rFonts w:asciiTheme="minorHAnsi" w:eastAsia="Calibri" w:hAnsiTheme="minorHAnsi" w:cs="Calibri"/>
                <w:bCs/>
                <w:color w:val="000000" w:themeColor="text1"/>
                <w:sz w:val="20"/>
              </w:rPr>
              <w:t>C0040</w:t>
            </w:r>
          </w:p>
        </w:tc>
        <w:tc>
          <w:tcPr>
            <w:tcW w:w="7616" w:type="dxa"/>
            <w:tcBorders>
              <w:top w:val="single" w:sz="4" w:space="0" w:color="auto"/>
              <w:left w:val="nil"/>
              <w:bottom w:val="nil"/>
              <w:right w:val="single" w:sz="4" w:space="0" w:color="auto"/>
            </w:tcBorders>
            <w:vAlign w:val="center"/>
          </w:tcPr>
          <w:p w14:paraId="462BCC62" w14:textId="783305DE" w:rsidR="00491899" w:rsidRDefault="00491899" w:rsidP="002446F4">
            <w:pPr>
              <w:pStyle w:val="InstructionsText2"/>
              <w:rPr>
                <w:rFonts w:asciiTheme="minorHAnsi" w:hAnsiTheme="minorHAnsi"/>
                <w:sz w:val="20"/>
                <w:szCs w:val="20"/>
                <w:lang w:val="en-IE"/>
              </w:rPr>
            </w:pPr>
            <w:r w:rsidRPr="001657B4">
              <w:rPr>
                <w:rFonts w:ascii="Aptos" w:hAnsi="Aptos"/>
                <w:b/>
                <w:sz w:val="20"/>
                <w:szCs w:val="20"/>
                <w:u w:val="single"/>
                <w:lang w:val="en-IE"/>
              </w:rPr>
              <w:t>Currency Exchange - Buy &gt; EUR 1000 (</w:t>
            </w:r>
            <w:r w:rsidR="00C04382">
              <w:rPr>
                <w:rFonts w:ascii="Aptos" w:hAnsi="Aptos"/>
                <w:b/>
                <w:sz w:val="20"/>
                <w:szCs w:val="20"/>
                <w:u w:val="single"/>
                <w:lang w:val="en-IE"/>
              </w:rPr>
              <w:t>Number</w:t>
            </w:r>
            <w:r w:rsidRPr="00FD049F">
              <w:rPr>
                <w:rFonts w:ascii="Aptos" w:hAnsi="Aptos"/>
                <w:b/>
                <w:sz w:val="20"/>
                <w:szCs w:val="20"/>
                <w:u w:val="single"/>
                <w:lang w:val="en-IE"/>
              </w:rPr>
              <w:t>)</w:t>
            </w:r>
          </w:p>
          <w:p w14:paraId="010CA5D4" w14:textId="5E59FF97" w:rsidR="00752D2A" w:rsidRPr="00752D2A" w:rsidRDefault="00491899" w:rsidP="00FD2E97">
            <w:pPr>
              <w:pStyle w:val="InstructionsText2"/>
              <w:rPr>
                <w:rStyle w:val="InstructionsTabelleberschrift"/>
                <w:rFonts w:asciiTheme="minorHAnsi" w:hAnsiTheme="minorHAnsi"/>
                <w:b w:val="0"/>
                <w:bCs w:val="0"/>
                <w:u w:val="none"/>
              </w:rPr>
            </w:pPr>
            <w:r w:rsidRPr="001657B4">
              <w:rPr>
                <w:rFonts w:asciiTheme="minorHAnsi" w:hAnsiTheme="minorHAnsi"/>
                <w:sz w:val="20"/>
                <w:lang w:val="en-IE"/>
              </w:rPr>
              <w:t xml:space="preserve">Indicate </w:t>
            </w:r>
            <w:r w:rsidR="00C04382" w:rsidRPr="001657B4">
              <w:rPr>
                <w:rFonts w:asciiTheme="minorHAnsi" w:hAnsiTheme="minorHAnsi"/>
                <w:sz w:val="20"/>
                <w:lang w:val="en-IE"/>
              </w:rPr>
              <w:t>the number of currency exchange transactions carried out</w:t>
            </w:r>
            <w:r w:rsidR="00137880" w:rsidRPr="00CB7167">
              <w:rPr>
                <w:rFonts w:asciiTheme="minorHAnsi" w:hAnsiTheme="minorHAnsi"/>
                <w:sz w:val="20"/>
                <w:szCs w:val="20"/>
                <w:lang w:val="en-IE"/>
              </w:rPr>
              <w:t xml:space="preserve"> </w:t>
            </w:r>
            <w:r w:rsidR="006B3BCC">
              <w:rPr>
                <w:rFonts w:asciiTheme="minorHAnsi" w:hAnsiTheme="minorHAnsi"/>
                <w:sz w:val="20"/>
                <w:szCs w:val="20"/>
                <w:lang w:val="en-IE"/>
              </w:rPr>
              <w:t>– Buy - d</w:t>
            </w:r>
            <w:r w:rsidR="00137880" w:rsidRPr="00CB7167">
              <w:rPr>
                <w:rFonts w:asciiTheme="minorHAnsi" w:hAnsiTheme="minorHAnsi"/>
                <w:sz w:val="20"/>
                <w:szCs w:val="20"/>
                <w:lang w:val="en-IE"/>
              </w:rPr>
              <w:t>uring the reference year</w:t>
            </w:r>
            <w:r w:rsidR="00C04382" w:rsidRPr="001657B4">
              <w:rPr>
                <w:rFonts w:asciiTheme="minorHAnsi" w:hAnsiTheme="minorHAnsi"/>
                <w:sz w:val="20"/>
                <w:lang w:val="en-IE"/>
              </w:rPr>
              <w:t xml:space="preserve">, where the transaction is above </w:t>
            </w:r>
            <w:r w:rsidR="00BE50FB">
              <w:rPr>
                <w:rFonts w:asciiTheme="minorHAnsi" w:hAnsiTheme="minorHAnsi"/>
                <w:sz w:val="20"/>
                <w:lang w:val="en-IE"/>
              </w:rPr>
              <w:t xml:space="preserve">EUR </w:t>
            </w:r>
            <w:r w:rsidR="00C04382" w:rsidRPr="001657B4">
              <w:rPr>
                <w:rFonts w:asciiTheme="minorHAnsi" w:hAnsiTheme="minorHAnsi"/>
                <w:sz w:val="20"/>
                <w:lang w:val="en-IE"/>
              </w:rPr>
              <w:t>1</w:t>
            </w:r>
            <w:r w:rsidR="00BE50FB">
              <w:rPr>
                <w:rFonts w:asciiTheme="minorHAnsi" w:hAnsiTheme="minorHAnsi"/>
                <w:sz w:val="20"/>
                <w:lang w:val="en-IE"/>
              </w:rPr>
              <w:t>.</w:t>
            </w:r>
            <w:r w:rsidR="00C04382" w:rsidRPr="001657B4">
              <w:rPr>
                <w:rFonts w:asciiTheme="minorHAnsi" w:hAnsiTheme="minorHAnsi"/>
                <w:sz w:val="20"/>
                <w:lang w:val="en-IE"/>
              </w:rPr>
              <w:t>000</w:t>
            </w:r>
            <w:r w:rsidRPr="001657B4">
              <w:rPr>
                <w:rFonts w:asciiTheme="minorHAnsi" w:hAnsiTheme="minorHAnsi"/>
                <w:sz w:val="20"/>
                <w:lang w:val="en-IE"/>
              </w:rPr>
              <w:t>.</w:t>
            </w:r>
          </w:p>
        </w:tc>
      </w:tr>
      <w:tr w:rsidR="005E211E" w:rsidRPr="009B282E" w14:paraId="6594DF8C" w14:textId="77777777" w:rsidTr="00254967">
        <w:tc>
          <w:tcPr>
            <w:tcW w:w="1673" w:type="dxa"/>
            <w:tcBorders>
              <w:top w:val="single" w:sz="4" w:space="0" w:color="auto"/>
              <w:left w:val="single" w:sz="4" w:space="0" w:color="auto"/>
              <w:bottom w:val="single" w:sz="4" w:space="0" w:color="auto"/>
              <w:right w:val="single" w:sz="4" w:space="0" w:color="auto"/>
            </w:tcBorders>
            <w:vAlign w:val="center"/>
          </w:tcPr>
          <w:p w14:paraId="7489210A" w14:textId="4C2A2D0E" w:rsidR="2AD8AB6E" w:rsidRPr="00841214" w:rsidRDefault="2AD8AB6E" w:rsidP="00841214">
            <w:pPr>
              <w:spacing w:before="0" w:after="0"/>
              <w:rPr>
                <w:rFonts w:asciiTheme="minorHAnsi" w:hAnsiTheme="minorHAnsi"/>
                <w:bCs/>
                <w:sz w:val="20"/>
              </w:rPr>
            </w:pPr>
            <w:r w:rsidRPr="00841214">
              <w:rPr>
                <w:rFonts w:asciiTheme="minorHAnsi" w:eastAsia="Calibri" w:hAnsiTheme="minorHAnsi" w:cs="Calibri"/>
                <w:bCs/>
                <w:color w:val="000000" w:themeColor="text1"/>
                <w:sz w:val="20"/>
              </w:rPr>
              <w:t>C0050</w:t>
            </w:r>
          </w:p>
        </w:tc>
        <w:tc>
          <w:tcPr>
            <w:tcW w:w="7616" w:type="dxa"/>
            <w:tcBorders>
              <w:top w:val="single" w:sz="4" w:space="0" w:color="auto"/>
              <w:left w:val="nil"/>
              <w:bottom w:val="nil"/>
              <w:right w:val="single" w:sz="4" w:space="0" w:color="auto"/>
            </w:tcBorders>
            <w:vAlign w:val="center"/>
          </w:tcPr>
          <w:p w14:paraId="6CEEF063" w14:textId="77777777" w:rsidR="00491899" w:rsidRDefault="00491899" w:rsidP="002446F4">
            <w:pPr>
              <w:pStyle w:val="InstructionsText2"/>
              <w:rPr>
                <w:rFonts w:asciiTheme="minorHAnsi" w:hAnsiTheme="minorHAnsi"/>
                <w:sz w:val="20"/>
                <w:szCs w:val="20"/>
                <w:lang w:val="en-IE"/>
              </w:rPr>
            </w:pPr>
            <w:r w:rsidRPr="00327C17">
              <w:rPr>
                <w:rFonts w:ascii="Aptos" w:hAnsi="Aptos"/>
                <w:b/>
                <w:sz w:val="20"/>
                <w:szCs w:val="20"/>
                <w:u w:val="single"/>
                <w:lang w:val="en-IE"/>
              </w:rPr>
              <w:t>Currency Exchange - Sell (Value)</w:t>
            </w:r>
          </w:p>
          <w:p w14:paraId="5BAF0D0F" w14:textId="4A9D93CB" w:rsidR="00752D2A" w:rsidRPr="00752D2A" w:rsidRDefault="00491899" w:rsidP="00FD2E97">
            <w:pPr>
              <w:pStyle w:val="InstructionsText2"/>
              <w:rPr>
                <w:rStyle w:val="InstructionsTabelleberschrift"/>
                <w:rFonts w:asciiTheme="minorHAnsi" w:hAnsiTheme="minorHAnsi"/>
                <w:b w:val="0"/>
                <w:bCs w:val="0"/>
                <w:u w:val="none"/>
              </w:rPr>
            </w:pPr>
            <w:r w:rsidRPr="00327C17">
              <w:rPr>
                <w:rFonts w:asciiTheme="minorHAnsi" w:hAnsiTheme="minorHAnsi"/>
                <w:sz w:val="20"/>
                <w:lang w:val="en-IE"/>
              </w:rPr>
              <w:t xml:space="preserve">Indicate </w:t>
            </w:r>
            <w:r w:rsidR="006B3BCC" w:rsidRPr="00327C17">
              <w:rPr>
                <w:rFonts w:asciiTheme="minorHAnsi" w:hAnsiTheme="minorHAnsi"/>
                <w:sz w:val="20"/>
                <w:lang w:val="en-IE"/>
              </w:rPr>
              <w:t xml:space="preserve">the </w:t>
            </w:r>
            <w:r w:rsidR="00E44BC4">
              <w:rPr>
                <w:rFonts w:asciiTheme="minorHAnsi" w:hAnsiTheme="minorHAnsi"/>
                <w:sz w:val="20"/>
                <w:szCs w:val="20"/>
                <w:lang w:val="en-IE"/>
              </w:rPr>
              <w:t>v</w:t>
            </w:r>
            <w:r w:rsidR="006B3BCC" w:rsidRPr="00327C17">
              <w:rPr>
                <w:rFonts w:asciiTheme="minorHAnsi" w:hAnsiTheme="minorHAnsi"/>
                <w:sz w:val="20"/>
                <w:lang w:val="en-IE"/>
              </w:rPr>
              <w:t xml:space="preserve">alue of currency exchange transactions carried out </w:t>
            </w:r>
            <w:r w:rsidR="00FC36E1">
              <w:rPr>
                <w:rFonts w:asciiTheme="minorHAnsi" w:hAnsiTheme="minorHAnsi"/>
                <w:sz w:val="20"/>
                <w:szCs w:val="20"/>
                <w:lang w:val="en-IE"/>
              </w:rPr>
              <w:t>-</w:t>
            </w:r>
            <w:r w:rsidR="00AF7A8F" w:rsidRPr="00327C17">
              <w:rPr>
                <w:rFonts w:asciiTheme="minorHAnsi" w:hAnsiTheme="minorHAnsi"/>
                <w:sz w:val="20"/>
                <w:lang w:val="en-IE"/>
              </w:rPr>
              <w:t xml:space="preserve"> Sell - </w:t>
            </w:r>
            <w:r w:rsidRPr="00327C17">
              <w:rPr>
                <w:rFonts w:asciiTheme="minorHAnsi" w:hAnsiTheme="minorHAnsi"/>
                <w:sz w:val="20"/>
                <w:lang w:val="en-IE"/>
              </w:rPr>
              <w:t>during the reference year.</w:t>
            </w:r>
          </w:p>
        </w:tc>
      </w:tr>
      <w:tr w:rsidR="005E211E" w:rsidRPr="009B282E" w14:paraId="29209AF0" w14:textId="77777777" w:rsidTr="00254967">
        <w:tc>
          <w:tcPr>
            <w:tcW w:w="1673" w:type="dxa"/>
            <w:tcBorders>
              <w:top w:val="single" w:sz="4" w:space="0" w:color="auto"/>
              <w:left w:val="single" w:sz="4" w:space="0" w:color="auto"/>
              <w:bottom w:val="single" w:sz="4" w:space="0" w:color="auto"/>
              <w:right w:val="single" w:sz="4" w:space="0" w:color="auto"/>
            </w:tcBorders>
            <w:vAlign w:val="center"/>
          </w:tcPr>
          <w:p w14:paraId="1BE37165" w14:textId="442017E1" w:rsidR="2AD8AB6E" w:rsidRPr="00841214" w:rsidRDefault="2AD8AB6E" w:rsidP="00841214">
            <w:pPr>
              <w:spacing w:before="0" w:after="0"/>
              <w:rPr>
                <w:rFonts w:asciiTheme="minorHAnsi" w:hAnsiTheme="minorHAnsi"/>
                <w:bCs/>
                <w:sz w:val="20"/>
              </w:rPr>
            </w:pPr>
            <w:r w:rsidRPr="00841214">
              <w:rPr>
                <w:rFonts w:asciiTheme="minorHAnsi" w:eastAsia="Calibri" w:hAnsiTheme="minorHAnsi" w:cs="Calibri"/>
                <w:bCs/>
                <w:color w:val="000000" w:themeColor="text1"/>
                <w:sz w:val="20"/>
              </w:rPr>
              <w:t>C0060</w:t>
            </w:r>
          </w:p>
        </w:tc>
        <w:tc>
          <w:tcPr>
            <w:tcW w:w="7616" w:type="dxa"/>
            <w:tcBorders>
              <w:top w:val="single" w:sz="4" w:space="0" w:color="auto"/>
              <w:left w:val="nil"/>
              <w:bottom w:val="single" w:sz="4" w:space="0" w:color="000000" w:themeColor="text1"/>
              <w:right w:val="single" w:sz="4" w:space="0" w:color="auto"/>
            </w:tcBorders>
            <w:vAlign w:val="center"/>
          </w:tcPr>
          <w:p w14:paraId="6C5DF2E4" w14:textId="77777777" w:rsidR="00491899" w:rsidRDefault="00491899" w:rsidP="002446F4">
            <w:pPr>
              <w:pStyle w:val="InstructionsText2"/>
              <w:rPr>
                <w:rFonts w:asciiTheme="minorHAnsi" w:hAnsiTheme="minorHAnsi"/>
                <w:sz w:val="20"/>
                <w:szCs w:val="20"/>
                <w:lang w:val="en-IE"/>
              </w:rPr>
            </w:pPr>
            <w:r w:rsidRPr="00327C17">
              <w:rPr>
                <w:rFonts w:ascii="Aptos" w:hAnsi="Aptos"/>
                <w:b/>
                <w:sz w:val="20"/>
                <w:szCs w:val="20"/>
                <w:u w:val="single"/>
                <w:lang w:val="en-IE"/>
              </w:rPr>
              <w:t>Currency Exchange - Buy (Value)</w:t>
            </w:r>
          </w:p>
          <w:p w14:paraId="0CD381A0" w14:textId="7CCC6DC2" w:rsidR="00752D2A" w:rsidRPr="00752D2A" w:rsidRDefault="00491899" w:rsidP="00FD2E97">
            <w:pPr>
              <w:pStyle w:val="InstructionsText2"/>
              <w:rPr>
                <w:rStyle w:val="InstructionsTabelleberschrift"/>
                <w:rFonts w:asciiTheme="minorHAnsi" w:hAnsiTheme="minorHAnsi"/>
                <w:b w:val="0"/>
                <w:bCs w:val="0"/>
                <w:u w:val="none"/>
              </w:rPr>
            </w:pPr>
            <w:r w:rsidRPr="00327C17">
              <w:rPr>
                <w:rFonts w:asciiTheme="minorHAnsi" w:hAnsiTheme="minorHAnsi"/>
                <w:bCs/>
                <w:sz w:val="20"/>
                <w:lang w:val="en-IE"/>
              </w:rPr>
              <w:t xml:space="preserve">Indicate </w:t>
            </w:r>
            <w:r w:rsidR="00FC36E1" w:rsidRPr="00327C17">
              <w:rPr>
                <w:rFonts w:asciiTheme="minorHAnsi" w:hAnsiTheme="minorHAnsi"/>
                <w:bCs/>
                <w:sz w:val="20"/>
                <w:lang w:val="en-IE"/>
              </w:rPr>
              <w:t>the value of c</w:t>
            </w:r>
            <w:r w:rsidRPr="00327C17">
              <w:rPr>
                <w:rFonts w:asciiTheme="minorHAnsi" w:hAnsiTheme="minorHAnsi"/>
                <w:bCs/>
                <w:sz w:val="20"/>
                <w:lang w:val="en-IE"/>
              </w:rPr>
              <w:t xml:space="preserve">urrency </w:t>
            </w:r>
            <w:r w:rsidR="00FC36E1" w:rsidRPr="00327C17">
              <w:rPr>
                <w:rFonts w:asciiTheme="minorHAnsi" w:hAnsiTheme="minorHAnsi"/>
                <w:bCs/>
                <w:sz w:val="20"/>
                <w:lang w:val="en-IE"/>
              </w:rPr>
              <w:t>e</w:t>
            </w:r>
            <w:r w:rsidRPr="00327C17">
              <w:rPr>
                <w:rFonts w:asciiTheme="minorHAnsi" w:hAnsiTheme="minorHAnsi"/>
                <w:bCs/>
                <w:sz w:val="20"/>
                <w:lang w:val="en-IE"/>
              </w:rPr>
              <w:t xml:space="preserve">xchange </w:t>
            </w:r>
            <w:r w:rsidR="00FC36E1" w:rsidRPr="00327C17">
              <w:rPr>
                <w:rFonts w:asciiTheme="minorHAnsi" w:hAnsiTheme="minorHAnsi"/>
                <w:bCs/>
                <w:sz w:val="20"/>
                <w:lang w:val="en-IE"/>
              </w:rPr>
              <w:t xml:space="preserve">transactions </w:t>
            </w:r>
            <w:r w:rsidR="0021128B" w:rsidRPr="00327C17">
              <w:rPr>
                <w:rFonts w:asciiTheme="minorHAnsi" w:hAnsiTheme="minorHAnsi"/>
                <w:bCs/>
                <w:sz w:val="20"/>
                <w:lang w:val="en-IE"/>
              </w:rPr>
              <w:t xml:space="preserve">carried out </w:t>
            </w:r>
            <w:r w:rsidRPr="00327C17">
              <w:rPr>
                <w:rFonts w:asciiTheme="minorHAnsi" w:hAnsiTheme="minorHAnsi"/>
                <w:bCs/>
                <w:sz w:val="20"/>
                <w:lang w:val="en-IE"/>
              </w:rPr>
              <w:t xml:space="preserve">- Buy </w:t>
            </w:r>
            <w:r w:rsidR="0021128B" w:rsidRPr="00327C17">
              <w:rPr>
                <w:rFonts w:asciiTheme="minorHAnsi" w:hAnsiTheme="minorHAnsi"/>
                <w:bCs/>
                <w:sz w:val="20"/>
                <w:lang w:val="en-IE"/>
              </w:rPr>
              <w:t>-</w:t>
            </w:r>
            <w:r w:rsidRPr="00327C17">
              <w:rPr>
                <w:rFonts w:asciiTheme="minorHAnsi" w:hAnsiTheme="minorHAnsi"/>
                <w:bCs/>
                <w:sz w:val="20"/>
                <w:lang w:val="en-IE"/>
              </w:rPr>
              <w:t xml:space="preserve"> during the reference year.</w:t>
            </w:r>
          </w:p>
        </w:tc>
      </w:tr>
      <w:tr w:rsidR="005E211E" w:rsidRPr="009B282E" w14:paraId="54028CCF" w14:textId="77777777" w:rsidTr="00254967">
        <w:tc>
          <w:tcPr>
            <w:tcW w:w="1673" w:type="dxa"/>
            <w:tcBorders>
              <w:top w:val="single" w:sz="4" w:space="0" w:color="auto"/>
              <w:left w:val="single" w:sz="4" w:space="0" w:color="auto"/>
              <w:bottom w:val="single" w:sz="4" w:space="0" w:color="auto"/>
              <w:right w:val="single" w:sz="4" w:space="0" w:color="auto"/>
            </w:tcBorders>
            <w:vAlign w:val="center"/>
          </w:tcPr>
          <w:p w14:paraId="0A6EEF48" w14:textId="2404F1D3" w:rsidR="2AD8AB6E" w:rsidRPr="00841214" w:rsidRDefault="2AD8AB6E" w:rsidP="00841214">
            <w:pPr>
              <w:spacing w:before="0" w:after="0"/>
              <w:rPr>
                <w:rFonts w:asciiTheme="minorHAnsi" w:hAnsiTheme="minorHAnsi"/>
                <w:bCs/>
                <w:sz w:val="20"/>
              </w:rPr>
            </w:pPr>
            <w:r w:rsidRPr="00841214">
              <w:rPr>
                <w:rFonts w:asciiTheme="minorHAnsi" w:eastAsia="Calibri" w:hAnsiTheme="minorHAnsi" w:cs="Calibri"/>
                <w:bCs/>
                <w:color w:val="000000" w:themeColor="text1"/>
                <w:sz w:val="20"/>
              </w:rPr>
              <w:t>C0070</w:t>
            </w:r>
          </w:p>
        </w:tc>
        <w:tc>
          <w:tcPr>
            <w:tcW w:w="7616" w:type="dxa"/>
            <w:tcBorders>
              <w:top w:val="nil"/>
              <w:left w:val="nil"/>
              <w:bottom w:val="single" w:sz="8" w:space="0" w:color="auto"/>
              <w:right w:val="single" w:sz="4" w:space="0" w:color="auto"/>
            </w:tcBorders>
            <w:vAlign w:val="center"/>
          </w:tcPr>
          <w:p w14:paraId="1B0DAF2D" w14:textId="77777777" w:rsidR="00491899" w:rsidRDefault="00491899" w:rsidP="002446F4">
            <w:pPr>
              <w:pStyle w:val="InstructionsText2"/>
              <w:rPr>
                <w:rFonts w:asciiTheme="minorHAnsi" w:hAnsiTheme="minorHAnsi"/>
                <w:sz w:val="20"/>
                <w:szCs w:val="20"/>
                <w:lang w:val="en-IE"/>
              </w:rPr>
            </w:pPr>
            <w:r w:rsidRPr="00327C17">
              <w:rPr>
                <w:rFonts w:ascii="Aptos" w:hAnsi="Aptos"/>
                <w:b/>
                <w:sz w:val="20"/>
                <w:szCs w:val="20"/>
                <w:u w:val="single"/>
                <w:lang w:val="en-IE"/>
              </w:rPr>
              <w:t>Currency Exchange - Cash-to-Cash (Value)</w:t>
            </w:r>
          </w:p>
          <w:p w14:paraId="79913DF3" w14:textId="3CF5C773" w:rsidR="00752D2A" w:rsidRPr="00752D2A" w:rsidRDefault="00491899" w:rsidP="00FD2E97">
            <w:pPr>
              <w:pStyle w:val="InstructionsText2"/>
              <w:rPr>
                <w:rStyle w:val="InstructionsTabelleberschrift"/>
                <w:rFonts w:asciiTheme="minorHAnsi" w:hAnsiTheme="minorHAnsi"/>
                <w:b w:val="0"/>
                <w:bCs w:val="0"/>
                <w:u w:val="none"/>
              </w:rPr>
            </w:pPr>
            <w:r w:rsidRPr="00327C17">
              <w:rPr>
                <w:rFonts w:asciiTheme="minorHAnsi" w:hAnsiTheme="minorHAnsi"/>
                <w:bCs/>
                <w:sz w:val="20"/>
                <w:lang w:val="en-IE"/>
              </w:rPr>
              <w:t xml:space="preserve">Indicate </w:t>
            </w:r>
            <w:r w:rsidR="000329F9" w:rsidRPr="00327C17">
              <w:rPr>
                <w:rFonts w:asciiTheme="minorHAnsi" w:hAnsiTheme="minorHAnsi"/>
                <w:bCs/>
                <w:sz w:val="20"/>
                <w:lang w:val="en-IE"/>
              </w:rPr>
              <w:t xml:space="preserve">the </w:t>
            </w:r>
            <w:r w:rsidR="00615E0D" w:rsidRPr="00327C17">
              <w:rPr>
                <w:rStyle w:val="InstructionsTabelleberschrift"/>
                <w:rFonts w:asciiTheme="minorHAnsi" w:hAnsiTheme="minorHAnsi"/>
                <w:b w:val="0"/>
                <w:bCs w:val="0"/>
                <w:u w:val="none"/>
              </w:rPr>
              <w:t>v</w:t>
            </w:r>
            <w:r w:rsidR="000329F9" w:rsidRPr="00327C17">
              <w:rPr>
                <w:rStyle w:val="InstructionsTabelleberschrift"/>
                <w:rFonts w:asciiTheme="minorHAnsi" w:hAnsiTheme="minorHAnsi"/>
                <w:b w:val="0"/>
                <w:bCs w:val="0"/>
                <w:u w:val="none"/>
              </w:rPr>
              <w:t xml:space="preserve">alue of </w:t>
            </w:r>
            <w:r w:rsidR="00615E0D" w:rsidRPr="00327C17">
              <w:rPr>
                <w:rStyle w:val="InstructionsTabelleberschrift"/>
                <w:rFonts w:asciiTheme="minorHAnsi" w:hAnsiTheme="minorHAnsi"/>
                <w:b w:val="0"/>
                <w:bCs w:val="0"/>
                <w:u w:val="none"/>
              </w:rPr>
              <w:t xml:space="preserve">cash-to-cash </w:t>
            </w:r>
            <w:r w:rsidR="000329F9" w:rsidRPr="00327C17">
              <w:rPr>
                <w:rStyle w:val="InstructionsTabelleberschrift"/>
                <w:rFonts w:asciiTheme="minorHAnsi" w:hAnsiTheme="minorHAnsi"/>
                <w:b w:val="0"/>
                <w:bCs w:val="0"/>
                <w:u w:val="none"/>
              </w:rPr>
              <w:t>currency exchange transactions carried out</w:t>
            </w:r>
            <w:r w:rsidR="000329F9" w:rsidRPr="00615E0D">
              <w:rPr>
                <w:rStyle w:val="InstructionsTabelleberschrift"/>
                <w:rFonts w:asciiTheme="minorHAnsi" w:hAnsiTheme="minorHAnsi"/>
              </w:rPr>
              <w:t xml:space="preserve"> </w:t>
            </w:r>
            <w:r w:rsidRPr="009C2692">
              <w:rPr>
                <w:rFonts w:asciiTheme="minorHAnsi" w:hAnsiTheme="minorHAnsi"/>
                <w:bCs/>
                <w:sz w:val="20"/>
                <w:lang w:val="en-IE"/>
              </w:rPr>
              <w:t>during the reference year.</w:t>
            </w:r>
          </w:p>
        </w:tc>
      </w:tr>
    </w:tbl>
    <w:p w14:paraId="15FFFBA7" w14:textId="77777777" w:rsidR="00EC3961" w:rsidRPr="00D838B1" w:rsidRDefault="00EC3961" w:rsidP="0097506C">
      <w:pPr>
        <w:rPr>
          <w:rFonts w:asciiTheme="minorHAnsi" w:hAnsiTheme="minorHAnsi"/>
          <w:lang w:val="en-GB"/>
        </w:rPr>
      </w:pPr>
    </w:p>
    <w:p w14:paraId="4EFB1AAA" w14:textId="45898F28" w:rsidR="0076553B" w:rsidRDefault="0076553B" w:rsidP="00CB14A2">
      <w:pPr>
        <w:pStyle w:val="Heading3"/>
        <w:rPr>
          <w:lang w:val="en-GB"/>
        </w:rPr>
      </w:pPr>
      <w:bookmarkStart w:id="139" w:name="_Toc221355974"/>
      <w:bookmarkStart w:id="140" w:name="_Toc223104840"/>
      <w:r w:rsidRPr="009B282E">
        <w:rPr>
          <w:lang w:val="en-GB"/>
        </w:rPr>
        <w:t xml:space="preserve">AML.04.01 </w:t>
      </w:r>
      <w:r w:rsidR="009A4591">
        <w:rPr>
          <w:lang w:val="en-GB"/>
        </w:rPr>
        <w:t>Investment</w:t>
      </w:r>
      <w:r w:rsidR="00736E10">
        <w:rPr>
          <w:lang w:val="en-GB"/>
        </w:rPr>
        <w:t xml:space="preserve"> </w:t>
      </w:r>
      <w:r w:rsidRPr="009B282E">
        <w:rPr>
          <w:lang w:val="en-GB"/>
        </w:rPr>
        <w:t>Services and Activities</w:t>
      </w:r>
      <w:bookmarkEnd w:id="139"/>
      <w:bookmarkEnd w:id="140"/>
    </w:p>
    <w:p w14:paraId="18A7BDC2" w14:textId="77777777" w:rsidR="006B6D53" w:rsidRPr="006B6D53" w:rsidRDefault="006B6D53" w:rsidP="006B6D53">
      <w:pPr>
        <w:jc w:val="both"/>
        <w:rPr>
          <w:rFonts w:asciiTheme="minorHAnsi" w:hAnsiTheme="minorHAnsi"/>
          <w:b/>
          <w:bCs/>
          <w:iCs/>
        </w:rPr>
      </w:pPr>
      <w:bookmarkStart w:id="141" w:name="_Hlk222814351"/>
      <w:r w:rsidRPr="006B6D53">
        <w:rPr>
          <w:rFonts w:asciiTheme="minorHAnsi" w:hAnsiTheme="minorHAnsi"/>
          <w:b/>
          <w:bCs/>
          <w:iCs/>
        </w:rPr>
        <w:t>Template Remarks</w:t>
      </w:r>
    </w:p>
    <w:bookmarkEnd w:id="141"/>
    <w:p w14:paraId="762787E7" w14:textId="48B53621" w:rsidR="006B6D53" w:rsidRPr="006B6D53" w:rsidRDefault="006B6D53" w:rsidP="006B6D53">
      <w:pPr>
        <w:jc w:val="both"/>
        <w:rPr>
          <w:rFonts w:asciiTheme="minorHAnsi" w:hAnsiTheme="minorHAnsi"/>
          <w:bCs/>
          <w:iCs/>
        </w:rPr>
      </w:pPr>
      <w:r w:rsidRPr="006B6D53">
        <w:rPr>
          <w:rFonts w:asciiTheme="minorHAnsi" w:hAnsiTheme="minorHAnsi"/>
          <w:bCs/>
          <w:iCs/>
          <w:lang w:val="en-GB"/>
        </w:rPr>
        <w:t xml:space="preserve">Fill out this template if you </w:t>
      </w:r>
      <w:r w:rsidRPr="006B6D53">
        <w:rPr>
          <w:rFonts w:asciiTheme="minorHAnsi" w:hAnsiTheme="minorHAnsi"/>
          <w:bCs/>
          <w:iCs/>
        </w:rPr>
        <w:t xml:space="preserve">offer some of these services and/or products, normally this template is applicable for CI, </w:t>
      </w:r>
      <w:r>
        <w:rPr>
          <w:rFonts w:asciiTheme="minorHAnsi" w:hAnsiTheme="minorHAnsi"/>
          <w:bCs/>
          <w:iCs/>
        </w:rPr>
        <w:t>IF and AMC</w:t>
      </w:r>
      <w:r w:rsidRPr="006B6D53">
        <w:rPr>
          <w:rFonts w:asciiTheme="minorHAnsi" w:hAnsiTheme="minorHAnsi"/>
          <w:bCs/>
          <w:iCs/>
        </w:rPr>
        <w:t>.</w:t>
      </w:r>
    </w:p>
    <w:p w14:paraId="0A58391B" w14:textId="6CA953EA" w:rsidR="004F122C" w:rsidRPr="006B6D53" w:rsidRDefault="004F122C" w:rsidP="006B6D53">
      <w:pPr>
        <w:jc w:val="both"/>
        <w:rPr>
          <w:rFonts w:asciiTheme="minorHAnsi" w:hAnsiTheme="minorHAnsi"/>
          <w:bCs/>
          <w:iCs/>
        </w:rPr>
      </w:pPr>
      <w:r>
        <w:rPr>
          <w:rFonts w:asciiTheme="minorHAnsi" w:hAnsiTheme="minorHAnsi"/>
          <w:bCs/>
          <w:iCs/>
        </w:rPr>
        <w:t xml:space="preserve">For the purpose of this section </w:t>
      </w:r>
      <w:r w:rsidR="0047105E">
        <w:rPr>
          <w:rFonts w:asciiTheme="minorHAnsi" w:hAnsiTheme="minorHAnsi"/>
          <w:bCs/>
          <w:iCs/>
        </w:rPr>
        <w:t xml:space="preserve">on Investment Services and Activities, consistently with </w:t>
      </w:r>
      <w:r w:rsidR="00BD0530">
        <w:rPr>
          <w:rFonts w:asciiTheme="minorHAnsi" w:hAnsiTheme="minorHAnsi"/>
          <w:bCs/>
          <w:iCs/>
        </w:rPr>
        <w:t>Reci</w:t>
      </w:r>
      <w:r w:rsidR="00B753A0">
        <w:rPr>
          <w:rFonts w:asciiTheme="minorHAnsi" w:hAnsiTheme="minorHAnsi"/>
          <w:bCs/>
          <w:iCs/>
        </w:rPr>
        <w:t>t</w:t>
      </w:r>
      <w:r w:rsidR="00BD0530">
        <w:rPr>
          <w:rFonts w:asciiTheme="minorHAnsi" w:hAnsiTheme="minorHAnsi"/>
          <w:bCs/>
          <w:iCs/>
        </w:rPr>
        <w:t xml:space="preserve">al 103 of </w:t>
      </w:r>
      <w:r w:rsidR="00A42D19" w:rsidRPr="00A42D19">
        <w:rPr>
          <w:rFonts w:asciiTheme="minorHAnsi" w:hAnsiTheme="minorHAnsi"/>
          <w:bCs/>
          <w:iCs/>
        </w:rPr>
        <w:t>Directive 2014/65/EU (MiFID)</w:t>
      </w:r>
      <w:r w:rsidR="00A42D19">
        <w:rPr>
          <w:rFonts w:asciiTheme="minorHAnsi" w:hAnsiTheme="minorHAnsi"/>
          <w:bCs/>
          <w:iCs/>
        </w:rPr>
        <w:t xml:space="preserve">, </w:t>
      </w:r>
      <w:r w:rsidR="00A42D19" w:rsidRPr="00A42D19">
        <w:rPr>
          <w:rFonts w:asciiTheme="minorHAnsi" w:hAnsiTheme="minorHAnsi"/>
          <w:bCs/>
          <w:iCs/>
        </w:rPr>
        <w:t xml:space="preserve">eligible counterparties </w:t>
      </w:r>
      <w:r w:rsidR="00446CD3">
        <w:rPr>
          <w:rFonts w:asciiTheme="minorHAnsi" w:hAnsiTheme="minorHAnsi"/>
          <w:bCs/>
          <w:iCs/>
        </w:rPr>
        <w:t xml:space="preserve">- </w:t>
      </w:r>
      <w:r w:rsidR="003013F6">
        <w:rPr>
          <w:rFonts w:asciiTheme="minorHAnsi" w:hAnsiTheme="minorHAnsi"/>
          <w:bCs/>
          <w:iCs/>
        </w:rPr>
        <w:t>as referred to in Article 30 of M</w:t>
      </w:r>
      <w:r w:rsidR="00446CD3">
        <w:rPr>
          <w:rFonts w:asciiTheme="minorHAnsi" w:hAnsiTheme="minorHAnsi"/>
          <w:bCs/>
          <w:iCs/>
        </w:rPr>
        <w:t xml:space="preserve">iFID - </w:t>
      </w:r>
      <w:r w:rsidR="00A42D19" w:rsidRPr="00A42D19">
        <w:rPr>
          <w:rFonts w:asciiTheme="minorHAnsi" w:hAnsiTheme="minorHAnsi"/>
          <w:bCs/>
          <w:iCs/>
        </w:rPr>
        <w:t>should be considered to be acting as clients.</w:t>
      </w:r>
    </w:p>
    <w:p w14:paraId="48CDA5E6" w14:textId="1445B918" w:rsidR="00174580" w:rsidRPr="009B282E" w:rsidRDefault="009325F9" w:rsidP="0076553B">
      <w:pPr>
        <w:pStyle w:val="Heading3"/>
        <w:numPr>
          <w:ilvl w:val="0"/>
          <w:numId w:val="0"/>
        </w:numPr>
        <w:ind w:left="720"/>
        <w:rPr>
          <w:lang w:val="en-GB"/>
        </w:rPr>
      </w:pPr>
      <w:bookmarkStart w:id="142" w:name="_Toc221355975"/>
      <w:bookmarkStart w:id="143" w:name="_Toc223104841"/>
      <w:r w:rsidRPr="009B282E">
        <w:rPr>
          <w:lang w:val="en-GB"/>
        </w:rPr>
        <w:t>Invest</w:t>
      </w:r>
      <w:r w:rsidR="00C74985">
        <w:rPr>
          <w:lang w:val="en-GB"/>
        </w:rPr>
        <w:t xml:space="preserve">ment </w:t>
      </w:r>
      <w:r w:rsidR="00CA7240" w:rsidRPr="009B282E">
        <w:rPr>
          <w:lang w:val="en-GB"/>
        </w:rPr>
        <w:t xml:space="preserve">Services and Activities </w:t>
      </w:r>
      <w:r w:rsidR="00913B07" w:rsidRPr="009B282E">
        <w:rPr>
          <w:lang w:val="en-GB"/>
        </w:rPr>
        <w:t>–</w:t>
      </w:r>
      <w:r w:rsidR="00CA7240" w:rsidRPr="009B282E">
        <w:rPr>
          <w:lang w:val="en-GB"/>
        </w:rPr>
        <w:t xml:space="preserve"> </w:t>
      </w:r>
      <w:r w:rsidR="00DB639E">
        <w:rPr>
          <w:lang w:val="en-GB"/>
        </w:rPr>
        <w:t>T</w:t>
      </w:r>
      <w:r w:rsidR="00913B07" w:rsidRPr="009B282E">
        <w:rPr>
          <w:lang w:val="en-GB"/>
        </w:rPr>
        <w:t>ransmission of orders</w:t>
      </w:r>
      <w:bookmarkEnd w:id="142"/>
      <w:bookmarkEnd w:id="143"/>
    </w:p>
    <w:p w14:paraId="33F071C0" w14:textId="341F6F5D" w:rsidR="000D3A35" w:rsidRDefault="000D3A35" w:rsidP="007D1F9D">
      <w:pPr>
        <w:jc w:val="both"/>
        <w:rPr>
          <w:lang w:val="en-GB"/>
        </w:rPr>
      </w:pPr>
      <w:r w:rsidRPr="00135B9D">
        <w:rPr>
          <w:rFonts w:asciiTheme="minorHAnsi" w:hAnsiTheme="minorHAnsi"/>
          <w:lang w:val="en-GB"/>
        </w:rPr>
        <w:t>For reporting purposes</w:t>
      </w:r>
      <w:r>
        <w:rPr>
          <w:lang w:val="en-GB"/>
        </w:rPr>
        <w:t>:</w:t>
      </w:r>
    </w:p>
    <w:p w14:paraId="25216AE4" w14:textId="36429B54" w:rsidR="000D3A35" w:rsidRDefault="000D3A35" w:rsidP="00C04809">
      <w:pPr>
        <w:pStyle w:val="body"/>
      </w:pPr>
      <w:r>
        <w:rPr>
          <w:lang w:val="en-GB"/>
        </w:rPr>
        <w:t>A</w:t>
      </w:r>
      <w:r w:rsidR="00556E97">
        <w:rPr>
          <w:lang w:val="en-GB"/>
        </w:rPr>
        <w:t xml:space="preserve">s per Annex I Section A (1) of Directive 2014/65/EU (MiFID), </w:t>
      </w:r>
      <w:r w:rsidR="007D1F9D">
        <w:rPr>
          <w:lang w:val="en-GB"/>
        </w:rPr>
        <w:t xml:space="preserve">reception and transmission of orders (RTO) </w:t>
      </w:r>
      <w:r w:rsidR="001208E1">
        <w:rPr>
          <w:lang w:val="en-GB"/>
        </w:rPr>
        <w:t xml:space="preserve">means </w:t>
      </w:r>
      <w:r w:rsidR="001208E1">
        <w:t xml:space="preserve">the </w:t>
      </w:r>
      <w:r w:rsidR="00022220">
        <w:t>“</w:t>
      </w:r>
      <w:r w:rsidR="001208E1">
        <w:t>r</w:t>
      </w:r>
      <w:r w:rsidR="001208E1" w:rsidRPr="001208E1">
        <w:t>eception and transmission of orders in relation to one or more financial instruments</w:t>
      </w:r>
      <w:r w:rsidR="00022220">
        <w:t>”</w:t>
      </w:r>
      <w:r>
        <w:t>.</w:t>
      </w:r>
      <w:r w:rsidR="00022220">
        <w:t xml:space="preserve"> This should be interpreted as covering</w:t>
      </w:r>
      <w:r w:rsidR="00022220" w:rsidRPr="00022220">
        <w:t xml:space="preserve"> any activity where </w:t>
      </w:r>
      <w:r w:rsidR="00F73B65">
        <w:t>a</w:t>
      </w:r>
      <w:r w:rsidR="00022220" w:rsidRPr="00022220">
        <w:t xml:space="preserve"> firm receives a client instruction to transact in a financial instrument and forwards that instruction to a third party for execution.</w:t>
      </w:r>
    </w:p>
    <w:p w14:paraId="5D152BDA" w14:textId="1EADBBBA" w:rsidR="000D3A35" w:rsidRDefault="000D3A35" w:rsidP="00C04809">
      <w:pPr>
        <w:pStyle w:val="body"/>
      </w:pPr>
      <w:r>
        <w:t>This</w:t>
      </w:r>
      <w:r w:rsidR="00667094">
        <w:t xml:space="preserve"> covers all financial instruments (e.g. funds, securities)</w:t>
      </w:r>
      <w:r w:rsidR="00494A31">
        <w:t>, whether held in direct custody or by a third party custodian.</w:t>
      </w:r>
    </w:p>
    <w:p w14:paraId="1F75063A" w14:textId="6B0E5213" w:rsidR="00667094" w:rsidRPr="00135B9D" w:rsidRDefault="00660064" w:rsidP="00135B9D">
      <w:pPr>
        <w:pStyle w:val="body"/>
      </w:pPr>
      <w:r>
        <w:t>This excludes</w:t>
      </w:r>
      <w:r w:rsidR="00FC08AE">
        <w:t>:</w:t>
      </w:r>
      <w:r w:rsidR="007737C0" w:rsidRPr="007737C0">
        <w:t xml:space="preserve"> </w:t>
      </w:r>
      <w:r w:rsidR="007737C0" w:rsidRPr="00FC08AE">
        <w:t>discretionary portfolio management trades, investment advice without order transmission, pure client introductions, technical order routing without client relationship, and activities where the firm neither receives nor transmits client transaction instructions</w:t>
      </w:r>
      <w:r w:rsidR="007737C0">
        <w:t>.</w:t>
      </w:r>
    </w:p>
    <w:tbl>
      <w:tblPr>
        <w:tblW w:w="92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3"/>
        <w:gridCol w:w="7616"/>
      </w:tblGrid>
      <w:tr w:rsidR="005E211E" w:rsidRPr="009B282E" w14:paraId="1AFCF872" w14:textId="77777777" w:rsidTr="4EE85BFC">
        <w:tc>
          <w:tcPr>
            <w:tcW w:w="16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FD48C0" w14:textId="77777777" w:rsidR="00913B07" w:rsidRPr="009275BC" w:rsidRDefault="00913B07" w:rsidP="00F32516">
            <w:pPr>
              <w:pStyle w:val="InstructionsText"/>
              <w:rPr>
                <w:rStyle w:val="InstructionsTabelleText"/>
                <w:rFonts w:asciiTheme="minorHAnsi" w:hAnsiTheme="minorHAnsi"/>
                <w:bCs w:val="0"/>
                <w:lang w:eastAsia="en-US"/>
              </w:rPr>
            </w:pPr>
            <w:r w:rsidRPr="009275BC">
              <w:rPr>
                <w:rStyle w:val="InstructionsTabelleText"/>
                <w:rFonts w:asciiTheme="minorHAnsi" w:hAnsiTheme="minorHAnsi"/>
              </w:rPr>
              <w:t>Column code</w:t>
            </w:r>
          </w:p>
        </w:tc>
        <w:tc>
          <w:tcPr>
            <w:tcW w:w="76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DC92EB" w14:textId="77777777" w:rsidR="00913B07" w:rsidRPr="009275BC" w:rsidRDefault="00913B07" w:rsidP="00F32516">
            <w:pPr>
              <w:pStyle w:val="InstructionsText"/>
              <w:rPr>
                <w:rStyle w:val="InstructionsTabelleText"/>
                <w:rFonts w:asciiTheme="minorHAnsi" w:hAnsiTheme="minorHAnsi"/>
                <w:bCs w:val="0"/>
                <w:lang w:eastAsia="en-US"/>
              </w:rPr>
            </w:pPr>
            <w:r w:rsidRPr="009275BC">
              <w:rPr>
                <w:rStyle w:val="InstructionsTabelleText"/>
                <w:rFonts w:asciiTheme="minorHAnsi" w:hAnsiTheme="minorHAnsi"/>
              </w:rPr>
              <w:t>Legal references and instructions</w:t>
            </w:r>
          </w:p>
        </w:tc>
      </w:tr>
      <w:tr w:rsidR="005E211E" w:rsidRPr="009B282E" w14:paraId="0D26C472" w14:textId="77777777" w:rsidTr="4EE85BFC">
        <w:tc>
          <w:tcPr>
            <w:tcW w:w="1673" w:type="dxa"/>
            <w:tcBorders>
              <w:top w:val="single" w:sz="4" w:space="0" w:color="auto"/>
              <w:left w:val="single" w:sz="4" w:space="0" w:color="auto"/>
              <w:bottom w:val="single" w:sz="4" w:space="0" w:color="auto"/>
              <w:right w:val="single" w:sz="4" w:space="0" w:color="auto"/>
            </w:tcBorders>
            <w:vAlign w:val="center"/>
          </w:tcPr>
          <w:p w14:paraId="75D3F44B" w14:textId="61B89553" w:rsidR="00913B07" w:rsidRPr="009275BC" w:rsidRDefault="00862CDC"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C0010</w:t>
            </w:r>
          </w:p>
        </w:tc>
        <w:tc>
          <w:tcPr>
            <w:tcW w:w="7616" w:type="dxa"/>
            <w:tcBorders>
              <w:top w:val="single" w:sz="8" w:space="0" w:color="auto"/>
              <w:left w:val="single" w:sz="4" w:space="0" w:color="auto"/>
              <w:bottom w:val="single" w:sz="4" w:space="0" w:color="auto"/>
              <w:right w:val="single" w:sz="4" w:space="0" w:color="auto"/>
            </w:tcBorders>
            <w:vAlign w:val="center"/>
          </w:tcPr>
          <w:p w14:paraId="1F66793A" w14:textId="77777777" w:rsidR="00491899" w:rsidRDefault="00491899">
            <w:pPr>
              <w:pStyle w:val="InstructionsText2"/>
              <w:rPr>
                <w:rFonts w:asciiTheme="minorHAnsi" w:hAnsiTheme="minorHAnsi"/>
                <w:sz w:val="20"/>
                <w:lang w:val="en-US"/>
              </w:rPr>
            </w:pPr>
            <w:r w:rsidRPr="00732BDB">
              <w:rPr>
                <w:rFonts w:ascii="Aptos" w:hAnsi="Aptos"/>
                <w:b/>
                <w:sz w:val="20"/>
                <w:u w:val="single"/>
                <w:lang w:val="en-US"/>
              </w:rPr>
              <w:t>Retail Clients (MiFID)</w:t>
            </w:r>
          </w:p>
          <w:p w14:paraId="1A7B4F01" w14:textId="64D75FC5" w:rsidR="00913B07" w:rsidRDefault="00562A0F">
            <w:pPr>
              <w:pStyle w:val="InstructionsText2"/>
              <w:rPr>
                <w:rFonts w:asciiTheme="minorHAnsi" w:hAnsiTheme="minorHAnsi"/>
                <w:sz w:val="20"/>
                <w:lang w:val="en-US"/>
              </w:rPr>
            </w:pPr>
            <w:r>
              <w:rPr>
                <w:rFonts w:asciiTheme="minorHAnsi" w:hAnsiTheme="minorHAnsi"/>
                <w:sz w:val="20"/>
                <w:lang w:val="en-US"/>
              </w:rPr>
              <w:t>Indicate the total number of r</w:t>
            </w:r>
            <w:r w:rsidR="00592D55" w:rsidRPr="00344F88">
              <w:rPr>
                <w:rFonts w:asciiTheme="minorHAnsi" w:hAnsiTheme="minorHAnsi"/>
                <w:sz w:val="20"/>
                <w:lang w:val="en-US"/>
              </w:rPr>
              <w:t xml:space="preserve">etail clients </w:t>
            </w:r>
            <w:r w:rsidR="00385E9E">
              <w:rPr>
                <w:rFonts w:asciiTheme="minorHAnsi" w:hAnsiTheme="minorHAnsi"/>
                <w:sz w:val="20"/>
                <w:lang w:val="en-US"/>
              </w:rPr>
              <w:t>as of the end of the reference year.</w:t>
            </w:r>
          </w:p>
          <w:p w14:paraId="7C653001" w14:textId="5CE88809" w:rsidR="00FE2204" w:rsidRDefault="00B64D01">
            <w:pPr>
              <w:pStyle w:val="InstructionsText2"/>
              <w:rPr>
                <w:rFonts w:asciiTheme="minorHAnsi" w:hAnsiTheme="minorHAnsi"/>
                <w:sz w:val="20"/>
                <w:szCs w:val="20"/>
              </w:rPr>
            </w:pPr>
            <w:r w:rsidRPr="4EE85BFC">
              <w:rPr>
                <w:rFonts w:asciiTheme="minorHAnsi" w:hAnsiTheme="minorHAnsi"/>
                <w:sz w:val="20"/>
                <w:szCs w:val="20"/>
              </w:rPr>
              <w:t xml:space="preserve">As per </w:t>
            </w:r>
            <w:r w:rsidR="00513620" w:rsidRPr="4EE85BFC">
              <w:rPr>
                <w:rFonts w:asciiTheme="minorHAnsi" w:hAnsiTheme="minorHAnsi"/>
                <w:sz w:val="20"/>
                <w:szCs w:val="20"/>
              </w:rPr>
              <w:t>A</w:t>
            </w:r>
            <w:r w:rsidRPr="4EE85BFC">
              <w:rPr>
                <w:rFonts w:asciiTheme="minorHAnsi" w:hAnsiTheme="minorHAnsi"/>
                <w:sz w:val="20"/>
                <w:szCs w:val="20"/>
              </w:rPr>
              <w:t>rticle 4</w:t>
            </w:r>
            <w:r w:rsidR="00513620" w:rsidRPr="4EE85BFC">
              <w:rPr>
                <w:rFonts w:asciiTheme="minorHAnsi" w:hAnsiTheme="minorHAnsi"/>
                <w:sz w:val="20"/>
                <w:szCs w:val="20"/>
              </w:rPr>
              <w:t>(</w:t>
            </w:r>
            <w:r w:rsidRPr="4EE85BFC">
              <w:rPr>
                <w:rFonts w:asciiTheme="minorHAnsi" w:hAnsiTheme="minorHAnsi"/>
                <w:sz w:val="20"/>
                <w:szCs w:val="20"/>
              </w:rPr>
              <w:t>1</w:t>
            </w:r>
            <w:r w:rsidR="00513620" w:rsidRPr="4EE85BFC">
              <w:rPr>
                <w:rFonts w:asciiTheme="minorHAnsi" w:hAnsiTheme="minorHAnsi"/>
                <w:sz w:val="20"/>
                <w:szCs w:val="20"/>
              </w:rPr>
              <w:t>)</w:t>
            </w:r>
            <w:r w:rsidRPr="4EE85BFC">
              <w:rPr>
                <w:rFonts w:asciiTheme="minorHAnsi" w:hAnsiTheme="minorHAnsi"/>
                <w:sz w:val="20"/>
                <w:szCs w:val="20"/>
              </w:rPr>
              <w:t>(11</w:t>
            </w:r>
            <w:r w:rsidR="00FE2204" w:rsidRPr="4EE85BFC">
              <w:rPr>
                <w:rFonts w:asciiTheme="minorHAnsi" w:hAnsiTheme="minorHAnsi"/>
                <w:sz w:val="20"/>
                <w:szCs w:val="20"/>
              </w:rPr>
              <w:t>)</w:t>
            </w:r>
            <w:r w:rsidR="007134AE" w:rsidRPr="4EE85BFC">
              <w:rPr>
                <w:rFonts w:asciiTheme="minorHAnsi" w:hAnsiTheme="minorHAnsi"/>
                <w:sz w:val="20"/>
                <w:szCs w:val="20"/>
              </w:rPr>
              <w:t xml:space="preserve"> of Directive 2014/65/</w:t>
            </w:r>
            <w:r w:rsidR="00C75326" w:rsidRPr="4EE85BFC">
              <w:rPr>
                <w:rFonts w:asciiTheme="minorHAnsi" w:hAnsiTheme="minorHAnsi"/>
                <w:sz w:val="20"/>
                <w:szCs w:val="20"/>
              </w:rPr>
              <w:t>EU (MiFID),</w:t>
            </w:r>
            <w:r w:rsidR="00162DD2" w:rsidRPr="4EE85BFC">
              <w:rPr>
                <w:rFonts w:asciiTheme="minorHAnsi" w:hAnsiTheme="minorHAnsi"/>
                <w:sz w:val="20"/>
                <w:szCs w:val="20"/>
              </w:rPr>
              <w:t xml:space="preserve"> </w:t>
            </w:r>
            <w:r w:rsidR="00FE2204" w:rsidRPr="4EE85BFC">
              <w:rPr>
                <w:rFonts w:asciiTheme="minorHAnsi" w:hAnsiTheme="minorHAnsi"/>
                <w:sz w:val="20"/>
                <w:szCs w:val="20"/>
              </w:rPr>
              <w:t>‘retail client’ means a client who is not a professional client</w:t>
            </w:r>
            <w:r w:rsidR="00C75326" w:rsidRPr="4EE85BFC">
              <w:rPr>
                <w:rFonts w:asciiTheme="minorHAnsi" w:hAnsiTheme="minorHAnsi"/>
                <w:sz w:val="20"/>
                <w:szCs w:val="20"/>
              </w:rPr>
              <w:t>.</w:t>
            </w:r>
          </w:p>
          <w:p w14:paraId="159195A6" w14:textId="11C06696" w:rsidR="00913B07" w:rsidRPr="00344F88" w:rsidRDefault="00794215">
            <w:pPr>
              <w:pStyle w:val="InstructionsText2"/>
              <w:rPr>
                <w:rStyle w:val="InstructionsTabelleberschrift"/>
                <w:rFonts w:asciiTheme="minorHAnsi" w:hAnsiTheme="minorHAnsi"/>
                <w:u w:val="none"/>
              </w:rPr>
            </w:pPr>
            <w:r>
              <w:rPr>
                <w:rFonts w:asciiTheme="minorHAnsi" w:hAnsiTheme="minorHAnsi"/>
                <w:sz w:val="20"/>
                <w:lang w:val="en-US"/>
              </w:rPr>
              <w:t>In the case of joint accounts</w:t>
            </w:r>
            <w:r w:rsidR="00F642F0">
              <w:rPr>
                <w:rFonts w:asciiTheme="minorHAnsi" w:hAnsiTheme="minorHAnsi"/>
                <w:sz w:val="20"/>
                <w:lang w:val="en-US"/>
              </w:rPr>
              <w:t>, each account holder shall be reported as a separate client.</w:t>
            </w:r>
          </w:p>
        </w:tc>
      </w:tr>
      <w:tr w:rsidR="005E211E" w:rsidRPr="009B282E" w14:paraId="7913A34B" w14:textId="77777777" w:rsidTr="4EE85BFC">
        <w:tc>
          <w:tcPr>
            <w:tcW w:w="1673" w:type="dxa"/>
            <w:tcBorders>
              <w:top w:val="single" w:sz="4" w:space="0" w:color="auto"/>
              <w:left w:val="single" w:sz="4" w:space="0" w:color="auto"/>
              <w:bottom w:val="single" w:sz="4" w:space="0" w:color="auto"/>
              <w:right w:val="single" w:sz="4" w:space="0" w:color="auto"/>
            </w:tcBorders>
            <w:vAlign w:val="center"/>
          </w:tcPr>
          <w:p w14:paraId="1A3BAD6C" w14:textId="1413F11C" w:rsidR="00592D55" w:rsidRPr="009275BC" w:rsidRDefault="0019711C"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C0020</w:t>
            </w:r>
          </w:p>
        </w:tc>
        <w:tc>
          <w:tcPr>
            <w:tcW w:w="7616" w:type="dxa"/>
            <w:tcBorders>
              <w:top w:val="nil"/>
              <w:left w:val="single" w:sz="4" w:space="0" w:color="auto"/>
              <w:bottom w:val="nil"/>
              <w:right w:val="single" w:sz="4" w:space="0" w:color="auto"/>
            </w:tcBorders>
            <w:vAlign w:val="center"/>
          </w:tcPr>
          <w:p w14:paraId="35EAB1A0" w14:textId="77777777" w:rsidR="00491899" w:rsidRDefault="00491899" w:rsidP="00592D55">
            <w:pPr>
              <w:pStyle w:val="InstructionsText2"/>
              <w:rPr>
                <w:rFonts w:asciiTheme="minorHAnsi" w:hAnsiTheme="minorHAnsi"/>
                <w:sz w:val="20"/>
                <w:lang w:val="en-US"/>
              </w:rPr>
            </w:pPr>
            <w:r w:rsidRPr="009C2692">
              <w:rPr>
                <w:rFonts w:ascii="Aptos" w:hAnsi="Aptos"/>
                <w:b/>
                <w:sz w:val="20"/>
                <w:u w:val="single"/>
                <w:lang w:val="en-US"/>
              </w:rPr>
              <w:t>Professional Clients (MiFID)</w:t>
            </w:r>
          </w:p>
          <w:p w14:paraId="7E78BDBB" w14:textId="7A078D03" w:rsidR="00592D55" w:rsidRPr="00135B9D" w:rsidRDefault="00223B5A" w:rsidP="00592D55">
            <w:pPr>
              <w:pStyle w:val="InstructionsText2"/>
              <w:rPr>
                <w:rStyle w:val="InstructionsTabelleberschrift"/>
                <w:rFonts w:asciiTheme="minorHAnsi" w:hAnsiTheme="minorHAnsi"/>
                <w:b w:val="0"/>
                <w:u w:val="none"/>
              </w:rPr>
            </w:pPr>
            <w:r w:rsidRPr="4EE85BFC">
              <w:rPr>
                <w:rFonts w:asciiTheme="minorHAnsi" w:hAnsiTheme="minorHAnsi"/>
                <w:sz w:val="20"/>
                <w:szCs w:val="20"/>
              </w:rPr>
              <w:t>Indicate the total number of p</w:t>
            </w:r>
            <w:r w:rsidR="00592D55" w:rsidRPr="4EE85BFC">
              <w:rPr>
                <w:rFonts w:asciiTheme="minorHAnsi" w:hAnsiTheme="minorHAnsi"/>
                <w:sz w:val="20"/>
                <w:szCs w:val="20"/>
              </w:rPr>
              <w:t xml:space="preserve">rofessional clients as defined </w:t>
            </w:r>
            <w:r w:rsidR="00563449" w:rsidRPr="4EE85BFC">
              <w:rPr>
                <w:rFonts w:asciiTheme="minorHAnsi" w:hAnsiTheme="minorHAnsi"/>
                <w:sz w:val="20"/>
                <w:szCs w:val="20"/>
              </w:rPr>
              <w:t xml:space="preserve">in </w:t>
            </w:r>
            <w:r w:rsidR="00592D55" w:rsidRPr="4EE85BFC">
              <w:rPr>
                <w:rFonts w:asciiTheme="minorHAnsi" w:hAnsiTheme="minorHAnsi"/>
                <w:sz w:val="20"/>
                <w:szCs w:val="20"/>
              </w:rPr>
              <w:t>Article 4</w:t>
            </w:r>
            <w:r w:rsidR="00563449" w:rsidRPr="4EE85BFC">
              <w:rPr>
                <w:rFonts w:asciiTheme="minorHAnsi" w:hAnsiTheme="minorHAnsi"/>
                <w:sz w:val="20"/>
                <w:szCs w:val="20"/>
              </w:rPr>
              <w:t>(</w:t>
            </w:r>
            <w:r w:rsidR="00592D55" w:rsidRPr="4EE85BFC">
              <w:rPr>
                <w:rFonts w:asciiTheme="minorHAnsi" w:hAnsiTheme="minorHAnsi"/>
                <w:sz w:val="20"/>
                <w:szCs w:val="20"/>
              </w:rPr>
              <w:t>1</w:t>
            </w:r>
            <w:r w:rsidR="00563449" w:rsidRPr="4EE85BFC">
              <w:rPr>
                <w:rFonts w:asciiTheme="minorHAnsi" w:hAnsiTheme="minorHAnsi"/>
                <w:sz w:val="20"/>
                <w:szCs w:val="20"/>
              </w:rPr>
              <w:t>)</w:t>
            </w:r>
            <w:r w:rsidR="00592D55" w:rsidRPr="4EE85BFC">
              <w:rPr>
                <w:rFonts w:asciiTheme="minorHAnsi" w:hAnsiTheme="minorHAnsi"/>
                <w:sz w:val="20"/>
                <w:szCs w:val="20"/>
              </w:rPr>
              <w:t>(10) of Directive 2014/65/EU (MIFID)</w:t>
            </w:r>
            <w:r w:rsidR="00620872" w:rsidRPr="4EE85BFC">
              <w:rPr>
                <w:rFonts w:asciiTheme="minorHAnsi" w:hAnsiTheme="minorHAnsi"/>
                <w:sz w:val="20"/>
                <w:szCs w:val="20"/>
              </w:rPr>
              <w:t xml:space="preserve">, and further specified in Annex II of the same Directive, </w:t>
            </w:r>
            <w:r w:rsidRPr="4EE85BFC">
              <w:rPr>
                <w:rFonts w:asciiTheme="minorHAnsi" w:hAnsiTheme="minorHAnsi"/>
                <w:sz w:val="20"/>
                <w:szCs w:val="20"/>
              </w:rPr>
              <w:t>as of the end of the reference year.</w:t>
            </w:r>
          </w:p>
        </w:tc>
      </w:tr>
      <w:tr w:rsidR="005E211E" w:rsidRPr="009B282E" w14:paraId="328474FA" w14:textId="77777777" w:rsidTr="4EE85BFC">
        <w:tc>
          <w:tcPr>
            <w:tcW w:w="1673" w:type="dxa"/>
            <w:tcBorders>
              <w:top w:val="single" w:sz="4" w:space="0" w:color="auto"/>
              <w:left w:val="single" w:sz="4" w:space="0" w:color="auto"/>
              <w:bottom w:val="single" w:sz="4" w:space="0" w:color="auto"/>
              <w:right w:val="single" w:sz="4" w:space="0" w:color="auto"/>
            </w:tcBorders>
            <w:vAlign w:val="center"/>
          </w:tcPr>
          <w:p w14:paraId="776BC902" w14:textId="38E1F76B" w:rsidR="00592D55" w:rsidRPr="009275BC" w:rsidRDefault="0019711C"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C0030</w:t>
            </w:r>
          </w:p>
        </w:tc>
        <w:tc>
          <w:tcPr>
            <w:tcW w:w="7616" w:type="dxa"/>
            <w:tcBorders>
              <w:top w:val="single" w:sz="8" w:space="0" w:color="auto"/>
              <w:left w:val="single" w:sz="4" w:space="0" w:color="auto"/>
              <w:bottom w:val="single" w:sz="4" w:space="0" w:color="auto"/>
              <w:right w:val="single" w:sz="4" w:space="0" w:color="auto"/>
            </w:tcBorders>
            <w:vAlign w:val="center"/>
          </w:tcPr>
          <w:p w14:paraId="168BE447" w14:textId="77777777" w:rsidR="00491899" w:rsidRDefault="00491899" w:rsidP="00736E10">
            <w:pPr>
              <w:pStyle w:val="InstructionsText2"/>
              <w:rPr>
                <w:rFonts w:asciiTheme="minorHAnsi" w:hAnsiTheme="minorHAnsi"/>
                <w:sz w:val="20"/>
                <w:lang w:val="en-US"/>
              </w:rPr>
            </w:pPr>
            <w:r w:rsidRPr="009C2692">
              <w:rPr>
                <w:rFonts w:ascii="Aptos" w:hAnsi="Aptos"/>
                <w:b/>
                <w:sz w:val="20"/>
                <w:u w:val="single"/>
                <w:lang w:val="en-US"/>
              </w:rPr>
              <w:t>Non-EEA AML/CFT Regulated Customers</w:t>
            </w:r>
          </w:p>
          <w:p w14:paraId="2B5CF720" w14:textId="0EB9955E" w:rsidR="00244A77" w:rsidRDefault="00470384" w:rsidP="00F6351D">
            <w:pPr>
              <w:pStyle w:val="InstructionsText2"/>
              <w:rPr>
                <w:rStyle w:val="InstructionsTabelleberschrift"/>
                <w:rFonts w:asciiTheme="minorHAnsi" w:hAnsiTheme="minorHAnsi"/>
                <w:b w:val="0"/>
                <w:u w:val="none"/>
              </w:rPr>
            </w:pPr>
            <w:r>
              <w:rPr>
                <w:rFonts w:asciiTheme="minorHAnsi" w:hAnsiTheme="minorHAnsi"/>
                <w:sz w:val="20"/>
                <w:lang w:val="en-US"/>
              </w:rPr>
              <w:t xml:space="preserve">Amongst the total number of customers </w:t>
            </w:r>
            <w:r w:rsidR="00A753AB">
              <w:rPr>
                <w:rFonts w:asciiTheme="minorHAnsi" w:hAnsiTheme="minorHAnsi"/>
                <w:sz w:val="20"/>
                <w:lang w:val="en-US"/>
              </w:rPr>
              <w:t>(</w:t>
            </w:r>
            <w:r w:rsidR="00A753AB">
              <w:rPr>
                <w:rStyle w:val="InstructionsTabelleberschrift"/>
                <w:rFonts w:asciiTheme="minorHAnsi" w:hAnsiTheme="minorHAnsi"/>
                <w:b w:val="0"/>
                <w:u w:val="none"/>
              </w:rPr>
              <w:t xml:space="preserve">retail and professional clients) </w:t>
            </w:r>
            <w:r>
              <w:rPr>
                <w:rFonts w:asciiTheme="minorHAnsi" w:hAnsiTheme="minorHAnsi"/>
                <w:sz w:val="20"/>
                <w:lang w:val="en-US"/>
              </w:rPr>
              <w:t xml:space="preserve">receiving </w:t>
            </w:r>
            <w:r w:rsidR="00AD4691">
              <w:rPr>
                <w:rFonts w:asciiTheme="minorHAnsi" w:hAnsiTheme="minorHAnsi"/>
                <w:sz w:val="20"/>
                <w:lang w:val="en-US"/>
              </w:rPr>
              <w:t xml:space="preserve">the </w:t>
            </w:r>
            <w:r w:rsidR="003A13D3">
              <w:rPr>
                <w:rFonts w:asciiTheme="minorHAnsi" w:hAnsiTheme="minorHAnsi"/>
                <w:sz w:val="20"/>
                <w:lang w:val="en-US"/>
              </w:rPr>
              <w:t xml:space="preserve">service of </w:t>
            </w:r>
            <w:r w:rsidR="00AD4691">
              <w:rPr>
                <w:rFonts w:asciiTheme="minorHAnsi" w:hAnsiTheme="minorHAnsi"/>
                <w:sz w:val="20"/>
                <w:lang w:val="en-US"/>
              </w:rPr>
              <w:t>transmission of order, i</w:t>
            </w:r>
            <w:r w:rsidR="003B7D84">
              <w:rPr>
                <w:rFonts w:asciiTheme="minorHAnsi" w:hAnsiTheme="minorHAnsi"/>
                <w:sz w:val="20"/>
                <w:lang w:val="en-US"/>
              </w:rPr>
              <w:t>ndica</w:t>
            </w:r>
            <w:r w:rsidR="003B7D84" w:rsidRPr="00F6351D">
              <w:rPr>
                <w:rFonts w:asciiTheme="minorHAnsi" w:hAnsiTheme="minorHAnsi"/>
                <w:sz w:val="20"/>
                <w:lang w:val="en-US"/>
              </w:rPr>
              <w:t>te</w:t>
            </w:r>
            <w:r w:rsidR="003B7D84" w:rsidRPr="009C2692">
              <w:rPr>
                <w:rStyle w:val="InstructionsTabelleberschrift"/>
                <w:rFonts w:asciiTheme="minorHAnsi" w:hAnsiTheme="minorHAnsi"/>
                <w:b w:val="0"/>
                <w:u w:val="none"/>
              </w:rPr>
              <w:t xml:space="preserve"> </w:t>
            </w:r>
            <w:r w:rsidR="00946F6B" w:rsidRPr="009C2692">
              <w:rPr>
                <w:rStyle w:val="InstructionsTabelleberschrift"/>
                <w:rFonts w:asciiTheme="minorHAnsi" w:hAnsiTheme="minorHAnsi"/>
                <w:b w:val="0"/>
                <w:u w:val="none"/>
              </w:rPr>
              <w:t xml:space="preserve">the </w:t>
            </w:r>
            <w:r w:rsidR="00F6351D">
              <w:rPr>
                <w:rStyle w:val="InstructionsTabelleberschrift"/>
                <w:rFonts w:asciiTheme="minorHAnsi" w:hAnsiTheme="minorHAnsi"/>
                <w:b w:val="0"/>
                <w:u w:val="none"/>
              </w:rPr>
              <w:t>total n</w:t>
            </w:r>
            <w:r w:rsidR="003B7D84" w:rsidRPr="009C2692">
              <w:rPr>
                <w:rStyle w:val="InstructionsTabelleberschrift"/>
                <w:rFonts w:asciiTheme="minorHAnsi" w:hAnsiTheme="minorHAnsi"/>
                <w:b w:val="0"/>
                <w:u w:val="none"/>
              </w:rPr>
              <w:t xml:space="preserve">umber of AML/CFT regulated customers </w:t>
            </w:r>
            <w:r w:rsidR="00943563">
              <w:rPr>
                <w:rStyle w:val="InstructionsTabelleberschrift"/>
                <w:rFonts w:asciiTheme="minorHAnsi" w:hAnsiTheme="minorHAnsi"/>
                <w:b w:val="0"/>
                <w:u w:val="none"/>
              </w:rPr>
              <w:t xml:space="preserve">(retail and professional clients) </w:t>
            </w:r>
            <w:r w:rsidR="003B7D84" w:rsidRPr="009C2692">
              <w:rPr>
                <w:rStyle w:val="InstructionsTabelleberschrift"/>
                <w:rFonts w:asciiTheme="minorHAnsi" w:hAnsiTheme="minorHAnsi"/>
                <w:b w:val="0"/>
                <w:u w:val="none"/>
              </w:rPr>
              <w:t>outside the EEA</w:t>
            </w:r>
            <w:r w:rsidR="00946F6B" w:rsidRPr="009C2692">
              <w:rPr>
                <w:rStyle w:val="InstructionsTabelleberschrift"/>
                <w:rFonts w:asciiTheme="minorHAnsi" w:hAnsiTheme="minorHAnsi"/>
                <w:b w:val="0"/>
                <w:u w:val="none"/>
              </w:rPr>
              <w:t xml:space="preserve">. </w:t>
            </w:r>
          </w:p>
          <w:p w14:paraId="7D0B3886" w14:textId="00709969" w:rsidR="00592D55" w:rsidRPr="003F6612" w:rsidRDefault="00C97B1C" w:rsidP="00F6351D">
            <w:pPr>
              <w:pStyle w:val="InstructionsText2"/>
              <w:rPr>
                <w:rStyle w:val="InstructionsTabelleberschrift"/>
                <w:rFonts w:asciiTheme="minorHAnsi" w:hAnsiTheme="minorHAnsi"/>
                <w:u w:val="none"/>
              </w:rPr>
            </w:pPr>
            <w:r>
              <w:rPr>
                <w:rStyle w:val="InstructionsTabelleberschrift"/>
                <w:rFonts w:asciiTheme="minorHAnsi" w:hAnsiTheme="minorHAnsi"/>
                <w:b w:val="0"/>
                <w:bCs w:val="0"/>
                <w:u w:val="none"/>
              </w:rPr>
              <w:t xml:space="preserve">For the purpose of identifying AML/CFT regulated customers outside the EEA, reporting entities can use as a guidance the description of obliged entities as contained </w:t>
            </w:r>
            <w:r w:rsidRPr="3E78680A">
              <w:rPr>
                <w:rFonts w:asciiTheme="minorHAnsi" w:hAnsiTheme="minorHAnsi"/>
                <w:sz w:val="20"/>
                <w:szCs w:val="20"/>
                <w:lang w:val="en-US"/>
              </w:rPr>
              <w:t>in Article 3 AMLR</w:t>
            </w:r>
            <w:r>
              <w:rPr>
                <w:rFonts w:asciiTheme="minorHAnsi" w:hAnsiTheme="minorHAnsi"/>
                <w:sz w:val="20"/>
                <w:szCs w:val="20"/>
                <w:lang w:val="en-US"/>
              </w:rPr>
              <w:t>.</w:t>
            </w:r>
          </w:p>
        </w:tc>
      </w:tr>
    </w:tbl>
    <w:p w14:paraId="3D96E6CB" w14:textId="7603FEA1" w:rsidR="0038367C" w:rsidRPr="009B282E" w:rsidRDefault="009325F9" w:rsidP="0076553B">
      <w:pPr>
        <w:pStyle w:val="Heading3"/>
        <w:numPr>
          <w:ilvl w:val="0"/>
          <w:numId w:val="0"/>
        </w:numPr>
        <w:ind w:firstLine="720"/>
        <w:rPr>
          <w:lang w:val="en-GB"/>
        </w:rPr>
      </w:pPr>
      <w:bookmarkStart w:id="144" w:name="_Toc221355976"/>
      <w:bookmarkStart w:id="145" w:name="_Toc223104842"/>
      <w:r w:rsidRPr="009B282E">
        <w:rPr>
          <w:lang w:val="en-GB"/>
        </w:rPr>
        <w:t>Invest</w:t>
      </w:r>
      <w:r w:rsidR="00C74985">
        <w:rPr>
          <w:lang w:val="en-GB"/>
        </w:rPr>
        <w:t>ment</w:t>
      </w:r>
      <w:r w:rsidRPr="009B282E">
        <w:rPr>
          <w:lang w:val="en-GB"/>
        </w:rPr>
        <w:t xml:space="preserve"> Services and Activities - </w:t>
      </w:r>
      <w:r w:rsidR="00C74985">
        <w:rPr>
          <w:lang w:val="en-GB"/>
        </w:rPr>
        <w:t>C</w:t>
      </w:r>
      <w:r w:rsidRPr="009B282E">
        <w:rPr>
          <w:lang w:val="en-GB"/>
        </w:rPr>
        <w:t xml:space="preserve">ustody </w:t>
      </w:r>
      <w:r w:rsidR="00C74985">
        <w:rPr>
          <w:lang w:val="en-GB"/>
        </w:rPr>
        <w:t>A</w:t>
      </w:r>
      <w:r w:rsidRPr="009B282E">
        <w:rPr>
          <w:lang w:val="en-GB"/>
        </w:rPr>
        <w:t xml:space="preserve">ccount </w:t>
      </w:r>
      <w:r w:rsidR="00C74985">
        <w:rPr>
          <w:lang w:val="en-GB"/>
        </w:rPr>
        <w:t>K</w:t>
      </w:r>
      <w:r w:rsidRPr="009B282E">
        <w:rPr>
          <w:lang w:val="en-GB"/>
        </w:rPr>
        <w:t>eeping</w:t>
      </w:r>
      <w:bookmarkEnd w:id="144"/>
      <w:bookmarkEnd w:id="145"/>
    </w:p>
    <w:p w14:paraId="1EB0F8D0" w14:textId="725EDF13" w:rsidR="00911171" w:rsidRPr="002E624B" w:rsidRDefault="00031350" w:rsidP="00003055">
      <w:pPr>
        <w:jc w:val="both"/>
        <w:rPr>
          <w:rFonts w:asciiTheme="minorHAnsi" w:hAnsiTheme="minorHAnsi"/>
          <w:lang w:val="en-GB"/>
        </w:rPr>
      </w:pPr>
      <w:r w:rsidRPr="002E624B">
        <w:rPr>
          <w:rFonts w:asciiTheme="minorHAnsi" w:hAnsiTheme="minorHAnsi"/>
          <w:lang w:val="en-GB"/>
        </w:rPr>
        <w:t>Assets under custody r</w:t>
      </w:r>
      <w:r w:rsidR="00911171" w:rsidRPr="002E624B">
        <w:rPr>
          <w:rFonts w:asciiTheme="minorHAnsi" w:hAnsiTheme="minorHAnsi"/>
          <w:lang w:val="en-GB"/>
        </w:rPr>
        <w:t>efers to the assets for which the investment firm provides safekeeping and administration services (cf. Directive 2014/65/EU – Annex I, Section B on ancillary services, point (1)).</w:t>
      </w:r>
    </w:p>
    <w:tbl>
      <w:tblPr>
        <w:tblW w:w="92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3"/>
        <w:gridCol w:w="7616"/>
      </w:tblGrid>
      <w:tr w:rsidR="005E211E" w:rsidRPr="009B282E" w14:paraId="6534BD1B" w14:textId="77777777" w:rsidTr="3E78680A">
        <w:tc>
          <w:tcPr>
            <w:tcW w:w="16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071DC4" w14:textId="77777777" w:rsidR="0097506C" w:rsidRPr="009275BC" w:rsidRDefault="0097506C" w:rsidP="00F32516">
            <w:pPr>
              <w:pStyle w:val="InstructionsText"/>
              <w:rPr>
                <w:rStyle w:val="InstructionsTabelleText"/>
                <w:rFonts w:asciiTheme="minorHAnsi" w:hAnsiTheme="minorHAnsi"/>
                <w:bCs w:val="0"/>
                <w:lang w:eastAsia="en-US"/>
              </w:rPr>
            </w:pPr>
            <w:r w:rsidRPr="009275BC">
              <w:rPr>
                <w:rStyle w:val="InstructionsTabelleText"/>
                <w:rFonts w:asciiTheme="minorHAnsi" w:hAnsiTheme="minorHAnsi"/>
              </w:rPr>
              <w:t>Column code</w:t>
            </w:r>
          </w:p>
        </w:tc>
        <w:tc>
          <w:tcPr>
            <w:tcW w:w="76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0DF31F" w14:textId="77777777" w:rsidR="0097506C" w:rsidRPr="009275BC" w:rsidRDefault="0097506C" w:rsidP="00F32516">
            <w:pPr>
              <w:pStyle w:val="InstructionsText"/>
              <w:rPr>
                <w:rStyle w:val="InstructionsTabelleText"/>
                <w:rFonts w:asciiTheme="minorHAnsi" w:hAnsiTheme="minorHAnsi"/>
                <w:bCs w:val="0"/>
                <w:lang w:eastAsia="en-US"/>
              </w:rPr>
            </w:pPr>
            <w:r w:rsidRPr="009275BC">
              <w:rPr>
                <w:rStyle w:val="InstructionsTabelleText"/>
                <w:rFonts w:asciiTheme="minorHAnsi" w:hAnsiTheme="minorHAnsi"/>
              </w:rPr>
              <w:t>Legal references and instructions</w:t>
            </w:r>
          </w:p>
        </w:tc>
      </w:tr>
      <w:tr w:rsidR="005E211E" w:rsidRPr="009B282E" w14:paraId="7EA1D1C6" w14:textId="77777777" w:rsidTr="002E624B">
        <w:tc>
          <w:tcPr>
            <w:tcW w:w="1673" w:type="dxa"/>
            <w:tcBorders>
              <w:top w:val="single" w:sz="4" w:space="0" w:color="auto"/>
              <w:left w:val="single" w:sz="4" w:space="0" w:color="auto"/>
              <w:bottom w:val="single" w:sz="4" w:space="0" w:color="auto"/>
              <w:right w:val="single" w:sz="4" w:space="0" w:color="auto"/>
            </w:tcBorders>
            <w:vAlign w:val="center"/>
          </w:tcPr>
          <w:p w14:paraId="3347B4A3" w14:textId="3F6944CD" w:rsidR="00964DA7" w:rsidRPr="009275BC" w:rsidRDefault="00862CDC"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C0040</w:t>
            </w:r>
          </w:p>
        </w:tc>
        <w:tc>
          <w:tcPr>
            <w:tcW w:w="7616" w:type="dxa"/>
            <w:tcBorders>
              <w:top w:val="single" w:sz="8" w:space="0" w:color="auto"/>
              <w:left w:val="single" w:sz="4" w:space="0" w:color="auto"/>
              <w:bottom w:val="single" w:sz="4" w:space="0" w:color="auto"/>
              <w:right w:val="single" w:sz="4" w:space="0" w:color="auto"/>
            </w:tcBorders>
            <w:vAlign w:val="center"/>
          </w:tcPr>
          <w:p w14:paraId="029CD11C" w14:textId="77777777" w:rsidR="00491899" w:rsidRDefault="00491899" w:rsidP="00964DA7">
            <w:pPr>
              <w:pStyle w:val="InstructionsText2"/>
              <w:rPr>
                <w:rFonts w:asciiTheme="minorHAnsi" w:hAnsiTheme="minorHAnsi"/>
                <w:sz w:val="20"/>
                <w:lang w:val="en-US"/>
              </w:rPr>
            </w:pPr>
            <w:r w:rsidRPr="00792F11">
              <w:rPr>
                <w:rFonts w:ascii="Aptos" w:hAnsi="Aptos"/>
                <w:b/>
                <w:sz w:val="20"/>
                <w:u w:val="single"/>
                <w:lang w:val="en-US"/>
              </w:rPr>
              <w:t>Retail Clients (MiFID)</w:t>
            </w:r>
          </w:p>
          <w:p w14:paraId="542FC501" w14:textId="2C4551CA" w:rsidR="004341F4" w:rsidRPr="004341F4" w:rsidRDefault="004341F4" w:rsidP="00B50AD4">
            <w:pPr>
              <w:pStyle w:val="InstructionsText2"/>
              <w:rPr>
                <w:rFonts w:asciiTheme="minorHAnsi" w:hAnsiTheme="minorHAnsi"/>
                <w:sz w:val="20"/>
              </w:rPr>
            </w:pPr>
            <w:r w:rsidRPr="004341F4">
              <w:rPr>
                <w:rFonts w:asciiTheme="minorHAnsi" w:hAnsiTheme="minorHAnsi"/>
                <w:bCs/>
                <w:iCs/>
                <w:sz w:val="20"/>
              </w:rPr>
              <w:t xml:space="preserve">This </w:t>
            </w:r>
            <w:r w:rsidR="00181096">
              <w:rPr>
                <w:rFonts w:asciiTheme="minorHAnsi" w:hAnsiTheme="minorHAnsi"/>
                <w:bCs/>
                <w:iCs/>
                <w:sz w:val="20"/>
              </w:rPr>
              <w:t xml:space="preserve">datapoint </w:t>
            </w:r>
            <w:r w:rsidRPr="004341F4">
              <w:rPr>
                <w:rFonts w:asciiTheme="minorHAnsi" w:hAnsiTheme="minorHAnsi"/>
                <w:bCs/>
                <w:iCs/>
                <w:sz w:val="20"/>
              </w:rPr>
              <w:t xml:space="preserve">is </w:t>
            </w:r>
            <w:r>
              <w:rPr>
                <w:rFonts w:asciiTheme="minorHAnsi" w:hAnsiTheme="minorHAnsi"/>
                <w:bCs/>
                <w:iCs/>
                <w:sz w:val="20"/>
              </w:rPr>
              <w:t xml:space="preserve">not </w:t>
            </w:r>
            <w:r w:rsidRPr="004341F4">
              <w:rPr>
                <w:rFonts w:asciiTheme="minorHAnsi" w:hAnsiTheme="minorHAnsi"/>
                <w:bCs/>
                <w:iCs/>
                <w:sz w:val="20"/>
              </w:rPr>
              <w:t xml:space="preserve">applicable for </w:t>
            </w:r>
            <w:r w:rsidR="00181096">
              <w:rPr>
                <w:rFonts w:asciiTheme="minorHAnsi" w:hAnsiTheme="minorHAnsi"/>
                <w:bCs/>
                <w:iCs/>
                <w:sz w:val="20"/>
              </w:rPr>
              <w:t>AMC</w:t>
            </w:r>
            <w:r w:rsidRPr="004341F4">
              <w:rPr>
                <w:rFonts w:asciiTheme="minorHAnsi" w:hAnsiTheme="minorHAnsi"/>
                <w:bCs/>
                <w:iCs/>
                <w:sz w:val="20"/>
              </w:rPr>
              <w:t xml:space="preserve">. </w:t>
            </w:r>
          </w:p>
          <w:p w14:paraId="60E9A668" w14:textId="6403260B" w:rsidR="002C7098" w:rsidRPr="002E624B" w:rsidRDefault="001909A6" w:rsidP="00964DA7">
            <w:pPr>
              <w:pStyle w:val="InstructionsText2"/>
              <w:rPr>
                <w:rStyle w:val="InstructionsTabelleberschrift"/>
                <w:rFonts w:asciiTheme="minorHAnsi" w:hAnsiTheme="minorHAnsi"/>
                <w:u w:val="none"/>
              </w:rPr>
            </w:pPr>
            <w:r>
              <w:rPr>
                <w:rFonts w:asciiTheme="minorHAnsi" w:hAnsiTheme="minorHAnsi"/>
                <w:sz w:val="20"/>
                <w:lang w:val="en-US"/>
              </w:rPr>
              <w:t>Indicate the total number of r</w:t>
            </w:r>
            <w:r w:rsidR="002C7098" w:rsidRPr="002E624B">
              <w:rPr>
                <w:rFonts w:asciiTheme="minorHAnsi" w:hAnsiTheme="minorHAnsi"/>
                <w:sz w:val="20"/>
                <w:lang w:val="en-US"/>
              </w:rPr>
              <w:t>etail clients as defined in Article 4</w:t>
            </w:r>
            <w:r w:rsidR="005E7427">
              <w:rPr>
                <w:rFonts w:asciiTheme="minorHAnsi" w:hAnsiTheme="minorHAnsi"/>
                <w:sz w:val="20"/>
                <w:lang w:val="en-US"/>
              </w:rPr>
              <w:t>(</w:t>
            </w:r>
            <w:r w:rsidR="002C7098" w:rsidRPr="002E624B">
              <w:rPr>
                <w:rFonts w:asciiTheme="minorHAnsi" w:hAnsiTheme="minorHAnsi"/>
                <w:sz w:val="20"/>
                <w:lang w:val="en-US"/>
              </w:rPr>
              <w:t>1</w:t>
            </w:r>
            <w:r w:rsidR="005E7427">
              <w:rPr>
                <w:rFonts w:asciiTheme="minorHAnsi" w:hAnsiTheme="minorHAnsi"/>
                <w:sz w:val="20"/>
                <w:lang w:val="en-US"/>
              </w:rPr>
              <w:t>)</w:t>
            </w:r>
            <w:r w:rsidR="002C7098" w:rsidRPr="002E624B">
              <w:rPr>
                <w:rFonts w:asciiTheme="minorHAnsi" w:hAnsiTheme="minorHAnsi"/>
                <w:sz w:val="20"/>
                <w:lang w:val="en-US"/>
              </w:rPr>
              <w:t>(11) of Directive 2014/65/EU (MiFID)</w:t>
            </w:r>
            <w:r>
              <w:rPr>
                <w:rFonts w:asciiTheme="minorHAnsi" w:hAnsiTheme="minorHAnsi"/>
                <w:sz w:val="20"/>
                <w:lang w:val="en-US"/>
              </w:rPr>
              <w:t>, as of the end of the reference year.</w:t>
            </w:r>
          </w:p>
        </w:tc>
      </w:tr>
      <w:tr w:rsidR="005E211E" w:rsidRPr="009B282E" w14:paraId="60BA4E1E" w14:textId="77777777" w:rsidTr="002E624B">
        <w:tc>
          <w:tcPr>
            <w:tcW w:w="1673" w:type="dxa"/>
            <w:tcBorders>
              <w:top w:val="single" w:sz="4" w:space="0" w:color="auto"/>
              <w:left w:val="single" w:sz="4" w:space="0" w:color="auto"/>
              <w:bottom w:val="single" w:sz="4" w:space="0" w:color="auto"/>
              <w:right w:val="single" w:sz="4" w:space="0" w:color="auto"/>
            </w:tcBorders>
            <w:vAlign w:val="center"/>
          </w:tcPr>
          <w:p w14:paraId="20F98BA6" w14:textId="08E509BD" w:rsidR="00964DA7" w:rsidRPr="009275BC" w:rsidRDefault="00862CDC"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C0050</w:t>
            </w:r>
          </w:p>
        </w:tc>
        <w:tc>
          <w:tcPr>
            <w:tcW w:w="7616" w:type="dxa"/>
            <w:tcBorders>
              <w:top w:val="nil"/>
              <w:left w:val="single" w:sz="4" w:space="0" w:color="auto"/>
              <w:bottom w:val="nil"/>
              <w:right w:val="single" w:sz="4" w:space="0" w:color="auto"/>
            </w:tcBorders>
            <w:vAlign w:val="center"/>
          </w:tcPr>
          <w:p w14:paraId="35CACF6F" w14:textId="77777777" w:rsidR="00491899" w:rsidRDefault="00491899" w:rsidP="00964DA7">
            <w:pPr>
              <w:pStyle w:val="InstructionsText2"/>
              <w:rPr>
                <w:rFonts w:asciiTheme="minorHAnsi" w:hAnsiTheme="minorHAnsi"/>
                <w:sz w:val="20"/>
                <w:lang w:val="en-US"/>
              </w:rPr>
            </w:pPr>
            <w:r w:rsidRPr="00792F11">
              <w:rPr>
                <w:rFonts w:ascii="Aptos" w:hAnsi="Aptos"/>
                <w:b/>
                <w:sz w:val="20"/>
                <w:u w:val="single"/>
                <w:lang w:val="en-US"/>
              </w:rPr>
              <w:t>Professional Clients (MiFID)</w:t>
            </w:r>
          </w:p>
          <w:p w14:paraId="20D819CF" w14:textId="77777777" w:rsidR="00181096" w:rsidRPr="00181096" w:rsidRDefault="00181096" w:rsidP="00B50AD4">
            <w:pPr>
              <w:pStyle w:val="InstructionsText2"/>
              <w:rPr>
                <w:rFonts w:asciiTheme="minorHAnsi" w:hAnsiTheme="minorHAnsi"/>
                <w:sz w:val="20"/>
              </w:rPr>
            </w:pPr>
            <w:r w:rsidRPr="00181096">
              <w:rPr>
                <w:rFonts w:asciiTheme="minorHAnsi" w:hAnsiTheme="minorHAnsi"/>
                <w:bCs/>
                <w:iCs/>
                <w:sz w:val="20"/>
              </w:rPr>
              <w:t xml:space="preserve">This datapoint is not applicable for AMC. </w:t>
            </w:r>
          </w:p>
          <w:p w14:paraId="206F1661" w14:textId="4B0E0E30" w:rsidR="002C7098" w:rsidRPr="002E624B" w:rsidRDefault="001909A6" w:rsidP="00964DA7">
            <w:pPr>
              <w:pStyle w:val="InstructionsText2"/>
              <w:rPr>
                <w:rStyle w:val="InstructionsTabelleberschrift"/>
                <w:rFonts w:asciiTheme="minorHAnsi" w:hAnsiTheme="minorHAnsi"/>
                <w:b w:val="0"/>
                <w:bCs w:val="0"/>
                <w:u w:val="none"/>
              </w:rPr>
            </w:pPr>
            <w:r>
              <w:rPr>
                <w:rFonts w:asciiTheme="minorHAnsi" w:hAnsiTheme="minorHAnsi"/>
                <w:sz w:val="20"/>
                <w:lang w:val="en-US"/>
              </w:rPr>
              <w:t>Indicate the number of p</w:t>
            </w:r>
            <w:r w:rsidR="002C7098" w:rsidRPr="002E624B">
              <w:rPr>
                <w:rFonts w:asciiTheme="minorHAnsi" w:hAnsiTheme="minorHAnsi"/>
                <w:sz w:val="20"/>
                <w:lang w:val="en-US"/>
              </w:rPr>
              <w:t xml:space="preserve">rofessional clients as defined </w:t>
            </w:r>
            <w:r w:rsidR="005E7427">
              <w:rPr>
                <w:rFonts w:asciiTheme="minorHAnsi" w:hAnsiTheme="minorHAnsi"/>
                <w:sz w:val="20"/>
                <w:lang w:val="en-US"/>
              </w:rPr>
              <w:t xml:space="preserve">in </w:t>
            </w:r>
            <w:r w:rsidR="002C7098" w:rsidRPr="002E624B">
              <w:rPr>
                <w:rFonts w:asciiTheme="minorHAnsi" w:hAnsiTheme="minorHAnsi"/>
                <w:sz w:val="20"/>
                <w:lang w:val="en-US"/>
              </w:rPr>
              <w:t>Article 4</w:t>
            </w:r>
            <w:r w:rsidR="005E7427">
              <w:rPr>
                <w:rFonts w:asciiTheme="minorHAnsi" w:hAnsiTheme="minorHAnsi"/>
                <w:sz w:val="20"/>
                <w:lang w:val="en-US"/>
              </w:rPr>
              <w:t>(</w:t>
            </w:r>
            <w:r w:rsidR="002C7098" w:rsidRPr="002E624B">
              <w:rPr>
                <w:rFonts w:asciiTheme="minorHAnsi" w:hAnsiTheme="minorHAnsi"/>
                <w:sz w:val="20"/>
                <w:lang w:val="en-US"/>
              </w:rPr>
              <w:t>1</w:t>
            </w:r>
            <w:r w:rsidR="005E7427">
              <w:rPr>
                <w:rFonts w:asciiTheme="minorHAnsi" w:hAnsiTheme="minorHAnsi"/>
                <w:sz w:val="20"/>
                <w:lang w:val="en-US"/>
              </w:rPr>
              <w:t>)</w:t>
            </w:r>
            <w:r w:rsidR="002C7098" w:rsidRPr="002E624B">
              <w:rPr>
                <w:rFonts w:asciiTheme="minorHAnsi" w:hAnsiTheme="minorHAnsi"/>
                <w:sz w:val="20"/>
                <w:lang w:val="en-US"/>
              </w:rPr>
              <w:t>(10) of Directive 2014/65/EU (MIFID)</w:t>
            </w:r>
            <w:r>
              <w:rPr>
                <w:rFonts w:asciiTheme="minorHAnsi" w:hAnsiTheme="minorHAnsi"/>
                <w:sz w:val="20"/>
                <w:lang w:val="en-US"/>
              </w:rPr>
              <w:t>,</w:t>
            </w:r>
            <w:r w:rsidR="00F90CD0">
              <w:rPr>
                <w:rFonts w:asciiTheme="minorHAnsi" w:hAnsiTheme="minorHAnsi"/>
                <w:sz w:val="20"/>
                <w:lang w:val="en-US"/>
              </w:rPr>
              <w:t xml:space="preserve"> and further specified in </w:t>
            </w:r>
            <w:r w:rsidR="00F90CD0" w:rsidRPr="00C70F21">
              <w:rPr>
                <w:rFonts w:asciiTheme="minorHAnsi" w:hAnsiTheme="minorHAnsi"/>
                <w:sz w:val="20"/>
                <w:lang w:val="en-US"/>
              </w:rPr>
              <w:t>Annex II</w:t>
            </w:r>
            <w:r w:rsidR="00F90CD0">
              <w:rPr>
                <w:rFonts w:asciiTheme="minorHAnsi" w:hAnsiTheme="minorHAnsi"/>
                <w:sz w:val="20"/>
                <w:lang w:val="en-US"/>
              </w:rPr>
              <w:t xml:space="preserve"> of the same Directive</w:t>
            </w:r>
            <w:r w:rsidR="002A3365">
              <w:rPr>
                <w:rFonts w:asciiTheme="minorHAnsi" w:hAnsiTheme="minorHAnsi"/>
                <w:sz w:val="20"/>
                <w:lang w:val="en-US"/>
              </w:rPr>
              <w:t>,</w:t>
            </w:r>
            <w:r w:rsidR="00F90CD0">
              <w:rPr>
                <w:rFonts w:asciiTheme="minorHAnsi" w:hAnsiTheme="minorHAnsi"/>
                <w:sz w:val="20"/>
                <w:lang w:val="en-US"/>
              </w:rPr>
              <w:t xml:space="preserve"> </w:t>
            </w:r>
            <w:r>
              <w:rPr>
                <w:rFonts w:asciiTheme="minorHAnsi" w:hAnsiTheme="minorHAnsi"/>
                <w:sz w:val="20"/>
                <w:lang w:val="en-US"/>
              </w:rPr>
              <w:t>as of the end of the reference year.</w:t>
            </w:r>
          </w:p>
        </w:tc>
      </w:tr>
      <w:tr w:rsidR="00964DA7" w:rsidRPr="009B282E" w14:paraId="06B97DB2" w14:textId="77777777" w:rsidTr="002E624B">
        <w:tc>
          <w:tcPr>
            <w:tcW w:w="1673" w:type="dxa"/>
            <w:tcBorders>
              <w:top w:val="single" w:sz="4" w:space="0" w:color="auto"/>
              <w:left w:val="single" w:sz="4" w:space="0" w:color="auto"/>
              <w:bottom w:val="single" w:sz="4" w:space="0" w:color="auto"/>
              <w:right w:val="single" w:sz="4" w:space="0" w:color="auto"/>
            </w:tcBorders>
            <w:vAlign w:val="center"/>
          </w:tcPr>
          <w:p w14:paraId="6653CEA8" w14:textId="23470F12" w:rsidR="00964DA7" w:rsidRPr="009275BC" w:rsidRDefault="0019711C"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C0060</w:t>
            </w:r>
          </w:p>
        </w:tc>
        <w:tc>
          <w:tcPr>
            <w:tcW w:w="7616" w:type="dxa"/>
            <w:tcBorders>
              <w:top w:val="single" w:sz="4" w:space="0" w:color="auto"/>
              <w:left w:val="single" w:sz="4" w:space="0" w:color="auto"/>
              <w:bottom w:val="single" w:sz="4" w:space="0" w:color="auto"/>
              <w:right w:val="single" w:sz="4" w:space="0" w:color="auto"/>
            </w:tcBorders>
            <w:vAlign w:val="center"/>
          </w:tcPr>
          <w:p w14:paraId="3E37E4CF" w14:textId="77777777" w:rsidR="00491899" w:rsidRDefault="00491899" w:rsidP="00964DA7">
            <w:pPr>
              <w:pStyle w:val="InstructionsText2"/>
              <w:rPr>
                <w:rFonts w:asciiTheme="minorHAnsi" w:hAnsiTheme="minorHAnsi"/>
                <w:sz w:val="20"/>
                <w:lang w:val="en-US"/>
              </w:rPr>
            </w:pPr>
            <w:r w:rsidRPr="00792F11">
              <w:rPr>
                <w:rFonts w:ascii="Aptos" w:hAnsi="Aptos"/>
                <w:b/>
                <w:sz w:val="20"/>
                <w:u w:val="single"/>
                <w:lang w:val="en-US"/>
              </w:rPr>
              <w:t>Indirect Custody Assets (%)</w:t>
            </w:r>
          </w:p>
          <w:p w14:paraId="78C4D62E" w14:textId="77777777" w:rsidR="00181096" w:rsidRPr="00181096" w:rsidRDefault="00181096" w:rsidP="00B50AD4">
            <w:pPr>
              <w:pStyle w:val="InstructionsText2"/>
              <w:rPr>
                <w:rFonts w:asciiTheme="minorHAnsi" w:hAnsiTheme="minorHAnsi"/>
                <w:sz w:val="20"/>
              </w:rPr>
            </w:pPr>
            <w:r w:rsidRPr="00181096">
              <w:rPr>
                <w:rFonts w:asciiTheme="minorHAnsi" w:hAnsiTheme="minorHAnsi"/>
                <w:bCs/>
                <w:iCs/>
                <w:sz w:val="20"/>
              </w:rPr>
              <w:t xml:space="preserve">This datapoint is not applicable for AMC. </w:t>
            </w:r>
          </w:p>
          <w:p w14:paraId="3EA2F241" w14:textId="03B62510" w:rsidR="000415FA" w:rsidRPr="00011DE0" w:rsidRDefault="002B658C" w:rsidP="000415FA">
            <w:pPr>
              <w:pStyle w:val="InstructionsText2"/>
              <w:rPr>
                <w:rStyle w:val="InstructionsTabelleberschrift"/>
                <w:rFonts w:asciiTheme="minorHAnsi" w:hAnsiTheme="minorHAnsi"/>
                <w:b w:val="0"/>
                <w:bCs w:val="0"/>
                <w:u w:val="none"/>
              </w:rPr>
            </w:pPr>
            <w:r w:rsidRPr="00011DE0">
              <w:rPr>
                <w:rStyle w:val="InstructionsTabelleberschrift"/>
                <w:rFonts w:asciiTheme="minorHAnsi" w:hAnsiTheme="minorHAnsi"/>
                <w:b w:val="0"/>
                <w:bCs w:val="0"/>
                <w:u w:val="none"/>
              </w:rPr>
              <w:t>Indicate the p</w:t>
            </w:r>
            <w:r w:rsidR="000415FA" w:rsidRPr="00011DE0">
              <w:rPr>
                <w:rStyle w:val="InstructionsTabelleberschrift"/>
                <w:rFonts w:asciiTheme="minorHAnsi" w:hAnsiTheme="minorHAnsi"/>
                <w:b w:val="0"/>
                <w:bCs w:val="0"/>
                <w:u w:val="none"/>
              </w:rPr>
              <w:t>ercentage of assets under custody for which the obliged entity does not have a direct business relationship with the final investor</w:t>
            </w:r>
            <w:r w:rsidR="003D2AB7" w:rsidRPr="00011DE0">
              <w:rPr>
                <w:rStyle w:val="InstructionsTabelleberschrift"/>
                <w:rFonts w:asciiTheme="minorHAnsi" w:hAnsiTheme="minorHAnsi"/>
                <w:b w:val="0"/>
                <w:bCs w:val="0"/>
                <w:u w:val="none"/>
              </w:rPr>
              <w:t>, as of the end of the reference year.</w:t>
            </w:r>
          </w:p>
          <w:p w14:paraId="491EB2BF" w14:textId="048AA87D" w:rsidR="004C2C81" w:rsidRPr="002E624B" w:rsidRDefault="008C32F3" w:rsidP="00964DA7">
            <w:pPr>
              <w:pStyle w:val="InstructionsText2"/>
              <w:rPr>
                <w:rFonts w:asciiTheme="minorHAnsi" w:hAnsiTheme="minorHAnsi"/>
                <w:sz w:val="20"/>
                <w:lang w:val="en-US"/>
              </w:rPr>
            </w:pPr>
            <w:r w:rsidRPr="002E624B">
              <w:rPr>
                <w:rFonts w:asciiTheme="minorHAnsi" w:hAnsiTheme="minorHAnsi"/>
                <w:sz w:val="20"/>
                <w:lang w:val="en-US"/>
              </w:rPr>
              <w:t>Encompasses assets under custody</w:t>
            </w:r>
            <w:r w:rsidR="000415FA">
              <w:rPr>
                <w:rFonts w:asciiTheme="minorHAnsi" w:hAnsiTheme="minorHAnsi"/>
                <w:sz w:val="20"/>
                <w:lang w:val="en-US"/>
              </w:rPr>
              <w:t>,</w:t>
            </w:r>
            <w:r w:rsidRPr="002E624B">
              <w:rPr>
                <w:rFonts w:asciiTheme="minorHAnsi" w:hAnsiTheme="minorHAnsi"/>
                <w:sz w:val="20"/>
                <w:lang w:val="en-US"/>
              </w:rPr>
              <w:t xml:space="preserve"> but also includes assets that the client holds directly or through other intermediaries where the specific firm in question does not have a custody or management role.</w:t>
            </w:r>
          </w:p>
          <w:p w14:paraId="382BE33D" w14:textId="25CEEDC6" w:rsidR="004B1E58" w:rsidRPr="002E624B" w:rsidRDefault="004B1E58" w:rsidP="0043342B">
            <w:pPr>
              <w:pStyle w:val="InstructionsText2"/>
              <w:rPr>
                <w:rStyle w:val="InstructionsTabelleberschrift"/>
                <w:rFonts w:asciiTheme="minorHAnsi" w:hAnsiTheme="minorHAnsi"/>
                <w:u w:val="none"/>
              </w:rPr>
            </w:pPr>
            <w:r w:rsidRPr="002E624B">
              <w:rPr>
                <w:rFonts w:asciiTheme="minorHAnsi" w:hAnsiTheme="minorHAnsi"/>
                <w:sz w:val="20"/>
                <w:lang w:val="en-US"/>
              </w:rPr>
              <w:t xml:space="preserve">Final Investor: </w:t>
            </w:r>
            <w:r w:rsidR="0043342B" w:rsidRPr="002E624B">
              <w:rPr>
                <w:rFonts w:asciiTheme="minorHAnsi" w:hAnsiTheme="minorHAnsi"/>
                <w:sz w:val="20"/>
                <w:lang w:val="en-US"/>
              </w:rPr>
              <w:t>Refers to the end client or individual who ultimately owns and benefits from the investments, as opposed to intermediaries or entities managing or holding the assets on behalf of others.</w:t>
            </w:r>
          </w:p>
        </w:tc>
      </w:tr>
      <w:tr w:rsidR="00291326" w:rsidRPr="009B282E" w14:paraId="5C496F4F" w14:textId="77777777" w:rsidTr="002E624B">
        <w:tc>
          <w:tcPr>
            <w:tcW w:w="1673" w:type="dxa"/>
            <w:tcBorders>
              <w:top w:val="single" w:sz="4" w:space="0" w:color="auto"/>
              <w:left w:val="single" w:sz="4" w:space="0" w:color="auto"/>
              <w:bottom w:val="single" w:sz="4" w:space="0" w:color="auto"/>
              <w:right w:val="single" w:sz="4" w:space="0" w:color="auto"/>
            </w:tcBorders>
            <w:vAlign w:val="center"/>
          </w:tcPr>
          <w:p w14:paraId="2FFBBD85" w14:textId="23D25C4D" w:rsidR="00291326" w:rsidRPr="009275BC" w:rsidRDefault="0019711C"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C0070</w:t>
            </w:r>
          </w:p>
        </w:tc>
        <w:tc>
          <w:tcPr>
            <w:tcW w:w="7616" w:type="dxa"/>
            <w:tcBorders>
              <w:top w:val="single" w:sz="4" w:space="0" w:color="auto"/>
              <w:left w:val="single" w:sz="4" w:space="0" w:color="auto"/>
              <w:bottom w:val="single" w:sz="4" w:space="0" w:color="auto"/>
              <w:right w:val="single" w:sz="4" w:space="0" w:color="auto"/>
            </w:tcBorders>
            <w:vAlign w:val="center"/>
          </w:tcPr>
          <w:p w14:paraId="34DE68DC" w14:textId="77777777" w:rsidR="00491899" w:rsidRDefault="00491899" w:rsidP="00F87F5D">
            <w:pPr>
              <w:pStyle w:val="InstructionsText2"/>
              <w:rPr>
                <w:rFonts w:asciiTheme="minorHAnsi" w:hAnsiTheme="minorHAnsi"/>
                <w:sz w:val="20"/>
                <w:lang w:val="en-US"/>
              </w:rPr>
            </w:pPr>
            <w:r w:rsidRPr="00792F11">
              <w:rPr>
                <w:rFonts w:ascii="Aptos" w:hAnsi="Aptos"/>
                <w:b/>
                <w:sz w:val="20"/>
                <w:u w:val="single"/>
                <w:lang w:val="en-US"/>
              </w:rPr>
              <w:t>Non-EEA AML/CFT Regulated Customers</w:t>
            </w:r>
          </w:p>
          <w:p w14:paraId="480C98C1" w14:textId="77777777" w:rsidR="00C34B13" w:rsidRPr="00C34B13" w:rsidRDefault="00C34B13" w:rsidP="00B50AD4">
            <w:pPr>
              <w:pStyle w:val="InstructionsText2"/>
              <w:rPr>
                <w:rFonts w:asciiTheme="minorHAnsi" w:hAnsiTheme="minorHAnsi"/>
                <w:sz w:val="20"/>
              </w:rPr>
            </w:pPr>
            <w:r w:rsidRPr="00C34B13">
              <w:rPr>
                <w:rFonts w:asciiTheme="minorHAnsi" w:hAnsiTheme="minorHAnsi"/>
                <w:bCs/>
                <w:iCs/>
                <w:sz w:val="20"/>
              </w:rPr>
              <w:t xml:space="preserve">This datapoint is not applicable for AMC. </w:t>
            </w:r>
          </w:p>
          <w:p w14:paraId="21034EE3" w14:textId="754327DE" w:rsidR="00711645" w:rsidRDefault="00E171CF" w:rsidP="00733310">
            <w:pPr>
              <w:pStyle w:val="InstructionsText2"/>
              <w:rPr>
                <w:rStyle w:val="InstructionsTabelleberschrift"/>
                <w:rFonts w:asciiTheme="minorHAnsi" w:hAnsiTheme="minorHAnsi"/>
                <w:b w:val="0"/>
                <w:bCs w:val="0"/>
                <w:u w:val="none"/>
              </w:rPr>
            </w:pPr>
            <w:r>
              <w:rPr>
                <w:rFonts w:asciiTheme="minorHAnsi" w:hAnsiTheme="minorHAnsi"/>
                <w:sz w:val="20"/>
                <w:lang w:val="en-US"/>
              </w:rPr>
              <w:t>Amongst the total number of customers (</w:t>
            </w:r>
            <w:r>
              <w:rPr>
                <w:rStyle w:val="InstructionsTabelleberschrift"/>
                <w:rFonts w:asciiTheme="minorHAnsi" w:hAnsiTheme="minorHAnsi"/>
                <w:b w:val="0"/>
                <w:u w:val="none"/>
              </w:rPr>
              <w:t xml:space="preserve">retail and professional clients) </w:t>
            </w:r>
            <w:r>
              <w:rPr>
                <w:rFonts w:asciiTheme="minorHAnsi" w:hAnsiTheme="minorHAnsi"/>
                <w:sz w:val="20"/>
                <w:lang w:val="en-US"/>
              </w:rPr>
              <w:t>receiving the service of</w:t>
            </w:r>
            <w:r w:rsidRPr="00011DE0">
              <w:rPr>
                <w:rStyle w:val="InstructionsTabelleberschrift"/>
                <w:rFonts w:asciiTheme="minorHAnsi" w:hAnsiTheme="minorHAnsi"/>
                <w:b w:val="0"/>
                <w:bCs w:val="0"/>
                <w:u w:val="none"/>
              </w:rPr>
              <w:t xml:space="preserve"> </w:t>
            </w:r>
            <w:r w:rsidR="00994673">
              <w:rPr>
                <w:rStyle w:val="InstructionsTabelleberschrift"/>
                <w:rFonts w:asciiTheme="minorHAnsi" w:hAnsiTheme="minorHAnsi"/>
                <w:b w:val="0"/>
                <w:bCs w:val="0"/>
                <w:u w:val="none"/>
              </w:rPr>
              <w:t>custody account keeping, i</w:t>
            </w:r>
            <w:r w:rsidR="00632EEA" w:rsidRPr="00011DE0">
              <w:rPr>
                <w:rStyle w:val="InstructionsTabelleberschrift"/>
                <w:rFonts w:asciiTheme="minorHAnsi" w:hAnsiTheme="minorHAnsi"/>
                <w:b w:val="0"/>
                <w:bCs w:val="0"/>
                <w:u w:val="none"/>
              </w:rPr>
              <w:t>ndicate the n</w:t>
            </w:r>
            <w:r w:rsidR="006B5780" w:rsidRPr="00011DE0">
              <w:rPr>
                <w:rStyle w:val="InstructionsTabelleberschrift"/>
                <w:rFonts w:asciiTheme="minorHAnsi" w:hAnsiTheme="minorHAnsi"/>
                <w:b w:val="0"/>
                <w:bCs w:val="0"/>
                <w:u w:val="none"/>
              </w:rPr>
              <w:t>umber of AML/CFT regulated customers outside the EEA</w:t>
            </w:r>
            <w:r w:rsidR="09E38626" w:rsidRPr="3F97A583">
              <w:rPr>
                <w:rStyle w:val="InstructionsTabelleberschrift"/>
                <w:rFonts w:asciiTheme="minorHAnsi" w:hAnsiTheme="minorHAnsi"/>
                <w:b w:val="0"/>
                <w:bCs w:val="0"/>
                <w:u w:val="none"/>
              </w:rPr>
              <w:t xml:space="preserve">, </w:t>
            </w:r>
            <w:r w:rsidR="09E38626" w:rsidRPr="085B2057">
              <w:rPr>
                <w:rStyle w:val="InstructionsTabelleberschrift"/>
                <w:rFonts w:asciiTheme="minorHAnsi" w:hAnsiTheme="minorHAnsi"/>
                <w:b w:val="0"/>
                <w:bCs w:val="0"/>
                <w:u w:val="none"/>
              </w:rPr>
              <w:t xml:space="preserve">as of the </w:t>
            </w:r>
            <w:r w:rsidR="09E38626" w:rsidRPr="6D12EC89">
              <w:rPr>
                <w:rStyle w:val="InstructionsTabelleberschrift"/>
                <w:rFonts w:asciiTheme="minorHAnsi" w:hAnsiTheme="minorHAnsi"/>
                <w:b w:val="0"/>
                <w:bCs w:val="0"/>
                <w:u w:val="none"/>
              </w:rPr>
              <w:t>end of</w:t>
            </w:r>
            <w:r w:rsidR="09E38626" w:rsidRPr="085B2057">
              <w:rPr>
                <w:rStyle w:val="InstructionsTabelleberschrift"/>
                <w:rFonts w:asciiTheme="minorHAnsi" w:hAnsiTheme="minorHAnsi"/>
                <w:b w:val="0"/>
                <w:bCs w:val="0"/>
                <w:u w:val="none"/>
              </w:rPr>
              <w:t xml:space="preserve"> the reference year</w:t>
            </w:r>
            <w:r w:rsidR="00733310" w:rsidRPr="00011DE0">
              <w:rPr>
                <w:rStyle w:val="InstructionsTabelleberschrift"/>
                <w:rFonts w:asciiTheme="minorHAnsi" w:hAnsiTheme="minorHAnsi"/>
                <w:b w:val="0"/>
                <w:bCs w:val="0"/>
                <w:u w:val="none"/>
              </w:rPr>
              <w:t xml:space="preserve">. </w:t>
            </w:r>
          </w:p>
          <w:p w14:paraId="67A266AA" w14:textId="64B49474" w:rsidR="00291326" w:rsidRPr="00F87F5D" w:rsidRDefault="00000ED1" w:rsidP="00733310">
            <w:pPr>
              <w:pStyle w:val="InstructionsText2"/>
              <w:rPr>
                <w:rStyle w:val="InstructionsTabelleberschrift"/>
                <w:rFonts w:asciiTheme="minorHAnsi" w:hAnsiTheme="minorHAnsi"/>
              </w:rPr>
            </w:pPr>
            <w:r>
              <w:rPr>
                <w:rStyle w:val="InstructionsTabelleberschrift"/>
                <w:rFonts w:asciiTheme="minorHAnsi" w:hAnsiTheme="minorHAnsi"/>
                <w:b w:val="0"/>
                <w:bCs w:val="0"/>
                <w:u w:val="none"/>
              </w:rPr>
              <w:t>For the purpose of identifying AML</w:t>
            </w:r>
            <w:r w:rsidR="002F7567">
              <w:rPr>
                <w:rStyle w:val="InstructionsTabelleberschrift"/>
                <w:rFonts w:asciiTheme="minorHAnsi" w:hAnsiTheme="minorHAnsi"/>
                <w:b w:val="0"/>
                <w:bCs w:val="0"/>
                <w:u w:val="none"/>
              </w:rPr>
              <w:t>/CFT</w:t>
            </w:r>
            <w:r>
              <w:rPr>
                <w:rStyle w:val="InstructionsTabelleberschrift"/>
                <w:rFonts w:asciiTheme="minorHAnsi" w:hAnsiTheme="minorHAnsi"/>
                <w:b w:val="0"/>
                <w:bCs w:val="0"/>
                <w:u w:val="none"/>
              </w:rPr>
              <w:t xml:space="preserve"> regulated customers outside the EEA</w:t>
            </w:r>
            <w:r w:rsidR="00512317">
              <w:rPr>
                <w:rStyle w:val="InstructionsTabelleberschrift"/>
                <w:rFonts w:asciiTheme="minorHAnsi" w:hAnsiTheme="minorHAnsi"/>
                <w:b w:val="0"/>
                <w:bCs w:val="0"/>
                <w:u w:val="none"/>
              </w:rPr>
              <w:t xml:space="preserve">, </w:t>
            </w:r>
            <w:r w:rsidR="001919E7">
              <w:rPr>
                <w:rStyle w:val="InstructionsTabelleberschrift"/>
                <w:rFonts w:asciiTheme="minorHAnsi" w:hAnsiTheme="minorHAnsi"/>
                <w:b w:val="0"/>
                <w:bCs w:val="0"/>
                <w:u w:val="none"/>
              </w:rPr>
              <w:t>reporting</w:t>
            </w:r>
            <w:r w:rsidR="00512317">
              <w:rPr>
                <w:rStyle w:val="InstructionsTabelleberschrift"/>
                <w:rFonts w:asciiTheme="minorHAnsi" w:hAnsiTheme="minorHAnsi"/>
                <w:b w:val="0"/>
                <w:bCs w:val="0"/>
                <w:u w:val="none"/>
              </w:rPr>
              <w:t xml:space="preserve"> entities can use as a guidance</w:t>
            </w:r>
            <w:r>
              <w:rPr>
                <w:rStyle w:val="InstructionsTabelleberschrift"/>
                <w:rFonts w:asciiTheme="minorHAnsi" w:hAnsiTheme="minorHAnsi"/>
                <w:b w:val="0"/>
                <w:bCs w:val="0"/>
                <w:u w:val="none"/>
              </w:rPr>
              <w:t xml:space="preserve"> </w:t>
            </w:r>
            <w:r w:rsidR="007035C3">
              <w:rPr>
                <w:rStyle w:val="InstructionsTabelleberschrift"/>
                <w:rFonts w:asciiTheme="minorHAnsi" w:hAnsiTheme="minorHAnsi"/>
                <w:b w:val="0"/>
                <w:bCs w:val="0"/>
                <w:u w:val="none"/>
              </w:rPr>
              <w:t xml:space="preserve">the description of </w:t>
            </w:r>
            <w:r w:rsidR="001919E7">
              <w:rPr>
                <w:rStyle w:val="InstructionsTabelleberschrift"/>
                <w:rFonts w:asciiTheme="minorHAnsi" w:hAnsiTheme="minorHAnsi"/>
                <w:b w:val="0"/>
                <w:bCs w:val="0"/>
                <w:u w:val="none"/>
              </w:rPr>
              <w:t>obliged entities as contained</w:t>
            </w:r>
            <w:r>
              <w:rPr>
                <w:rStyle w:val="InstructionsTabelleberschrift"/>
                <w:rFonts w:asciiTheme="minorHAnsi" w:hAnsiTheme="minorHAnsi"/>
                <w:b w:val="0"/>
                <w:bCs w:val="0"/>
                <w:u w:val="none"/>
              </w:rPr>
              <w:t xml:space="preserve"> </w:t>
            </w:r>
            <w:r w:rsidR="009C5AE1" w:rsidRPr="3E78680A">
              <w:rPr>
                <w:rFonts w:asciiTheme="minorHAnsi" w:hAnsiTheme="minorHAnsi"/>
                <w:sz w:val="20"/>
                <w:szCs w:val="20"/>
                <w:lang w:val="en-US"/>
              </w:rPr>
              <w:t>in Article 3 AMLR</w:t>
            </w:r>
            <w:r w:rsidR="009552EA">
              <w:rPr>
                <w:rFonts w:asciiTheme="minorHAnsi" w:hAnsiTheme="minorHAnsi"/>
                <w:sz w:val="20"/>
                <w:szCs w:val="20"/>
                <w:lang w:val="en-US"/>
              </w:rPr>
              <w:t>.</w:t>
            </w:r>
          </w:p>
        </w:tc>
      </w:tr>
    </w:tbl>
    <w:p w14:paraId="5708CDF8" w14:textId="1A649CC5" w:rsidR="009325F9" w:rsidRPr="009B282E" w:rsidRDefault="00C72FA9" w:rsidP="00135B9D">
      <w:pPr>
        <w:pStyle w:val="Heading3"/>
        <w:numPr>
          <w:ilvl w:val="0"/>
          <w:numId w:val="0"/>
        </w:numPr>
        <w:ind w:left="720"/>
        <w:jc w:val="both"/>
        <w:rPr>
          <w:lang w:val="en-GB"/>
        </w:rPr>
      </w:pPr>
      <w:bookmarkStart w:id="146" w:name="_Toc221355977"/>
      <w:bookmarkStart w:id="147" w:name="_Toc223104843"/>
      <w:r w:rsidRPr="009B282E">
        <w:rPr>
          <w:lang w:val="en-GB"/>
        </w:rPr>
        <w:t>Invest</w:t>
      </w:r>
      <w:r w:rsidR="00C74985">
        <w:rPr>
          <w:lang w:val="en-GB"/>
        </w:rPr>
        <w:t>ment</w:t>
      </w:r>
      <w:r w:rsidRPr="009B282E">
        <w:rPr>
          <w:lang w:val="en-GB"/>
        </w:rPr>
        <w:t xml:space="preserve"> Services and Activities - Portfolio management</w:t>
      </w:r>
      <w:bookmarkEnd w:id="146"/>
      <w:bookmarkEnd w:id="147"/>
    </w:p>
    <w:p w14:paraId="0501052E" w14:textId="0F8E6900" w:rsidR="009C6CD1" w:rsidRDefault="003D3325" w:rsidP="003635AF">
      <w:pPr>
        <w:jc w:val="both"/>
        <w:rPr>
          <w:rFonts w:asciiTheme="minorHAnsi" w:hAnsiTheme="minorHAnsi"/>
          <w:lang w:val="en-GB"/>
        </w:rPr>
      </w:pPr>
      <w:r>
        <w:rPr>
          <w:rFonts w:asciiTheme="minorHAnsi" w:hAnsiTheme="minorHAnsi"/>
          <w:lang w:val="en-GB"/>
        </w:rPr>
        <w:t>Based on</w:t>
      </w:r>
      <w:r w:rsidR="00C967B7">
        <w:rPr>
          <w:rFonts w:asciiTheme="minorHAnsi" w:hAnsiTheme="minorHAnsi"/>
          <w:lang w:val="en-GB"/>
        </w:rPr>
        <w:t xml:space="preserve"> Article </w:t>
      </w:r>
      <w:r w:rsidR="00660547">
        <w:rPr>
          <w:rFonts w:asciiTheme="minorHAnsi" w:hAnsiTheme="minorHAnsi"/>
          <w:lang w:val="en-GB"/>
        </w:rPr>
        <w:t>4(1)</w:t>
      </w:r>
      <w:r w:rsidR="00623596">
        <w:rPr>
          <w:rFonts w:asciiTheme="minorHAnsi" w:hAnsiTheme="minorHAnsi"/>
          <w:lang w:val="en-GB"/>
        </w:rPr>
        <w:t>(8)</w:t>
      </w:r>
      <w:r w:rsidR="006D27AE">
        <w:rPr>
          <w:rFonts w:asciiTheme="minorHAnsi" w:hAnsiTheme="minorHAnsi"/>
          <w:lang w:val="en-GB"/>
        </w:rPr>
        <w:t xml:space="preserve"> of Directive</w:t>
      </w:r>
      <w:r w:rsidR="00E46829">
        <w:rPr>
          <w:rFonts w:asciiTheme="minorHAnsi" w:hAnsiTheme="minorHAnsi"/>
          <w:lang w:val="en-GB"/>
        </w:rPr>
        <w:t xml:space="preserve"> </w:t>
      </w:r>
      <w:r w:rsidR="00A85E53" w:rsidRPr="00A85E53">
        <w:rPr>
          <w:rFonts w:asciiTheme="minorHAnsi" w:hAnsiTheme="minorHAnsi"/>
          <w:lang w:val="en-GB"/>
        </w:rPr>
        <w:t>2014/65/EU</w:t>
      </w:r>
      <w:r w:rsidR="005377F5">
        <w:rPr>
          <w:rFonts w:asciiTheme="minorHAnsi" w:hAnsiTheme="minorHAnsi"/>
          <w:lang w:val="en-GB"/>
        </w:rPr>
        <w:t xml:space="preserve"> (</w:t>
      </w:r>
      <w:r w:rsidR="005377F5" w:rsidRPr="00F87F5D">
        <w:rPr>
          <w:rFonts w:asciiTheme="minorHAnsi" w:hAnsiTheme="minorHAnsi"/>
          <w:lang w:val="en-GB"/>
        </w:rPr>
        <w:t>MiFID</w:t>
      </w:r>
      <w:r w:rsidR="005377F5">
        <w:rPr>
          <w:rFonts w:asciiTheme="minorHAnsi" w:hAnsiTheme="minorHAnsi"/>
          <w:lang w:val="en-GB"/>
        </w:rPr>
        <w:t>)</w:t>
      </w:r>
      <w:r w:rsidR="00A85E53">
        <w:rPr>
          <w:rFonts w:asciiTheme="minorHAnsi" w:hAnsiTheme="minorHAnsi"/>
          <w:lang w:val="en-GB"/>
        </w:rPr>
        <w:t xml:space="preserve">, </w:t>
      </w:r>
      <w:r w:rsidR="008E633B">
        <w:rPr>
          <w:rFonts w:asciiTheme="minorHAnsi" w:hAnsiTheme="minorHAnsi"/>
          <w:lang w:val="en-GB"/>
        </w:rPr>
        <w:t>‘p</w:t>
      </w:r>
      <w:r w:rsidR="00C967B7" w:rsidRPr="00C967B7">
        <w:rPr>
          <w:rFonts w:asciiTheme="minorHAnsi" w:hAnsiTheme="minorHAnsi"/>
          <w:lang w:val="en-GB"/>
        </w:rPr>
        <w:t>ortfolio management’ means managing portfolios in accordance with mandates given by clients on a discretionary</w:t>
      </w:r>
      <w:r w:rsidR="008E633B">
        <w:rPr>
          <w:rFonts w:asciiTheme="minorHAnsi" w:hAnsiTheme="minorHAnsi"/>
          <w:lang w:val="en-GB"/>
        </w:rPr>
        <w:t xml:space="preserve"> </w:t>
      </w:r>
      <w:r w:rsidR="00C967B7" w:rsidRPr="00C967B7">
        <w:rPr>
          <w:rFonts w:asciiTheme="minorHAnsi" w:hAnsiTheme="minorHAnsi"/>
          <w:lang w:val="en-GB"/>
        </w:rPr>
        <w:t>client-by-client basis where such portfolios include one or more financial instruments</w:t>
      </w:r>
      <w:r w:rsidR="0060112A">
        <w:rPr>
          <w:rFonts w:asciiTheme="minorHAnsi" w:hAnsiTheme="minorHAnsi"/>
          <w:lang w:val="en-GB"/>
        </w:rPr>
        <w:t>.</w:t>
      </w:r>
      <w:r w:rsidR="005377F5">
        <w:rPr>
          <w:rFonts w:asciiTheme="minorHAnsi" w:hAnsiTheme="minorHAnsi"/>
          <w:lang w:val="en-GB"/>
        </w:rPr>
        <w:t xml:space="preserve"> </w:t>
      </w:r>
      <w:r w:rsidR="00D00F35">
        <w:rPr>
          <w:rFonts w:asciiTheme="minorHAnsi" w:hAnsiTheme="minorHAnsi"/>
          <w:lang w:val="en-GB"/>
        </w:rPr>
        <w:t xml:space="preserve">For the purpose of data points from </w:t>
      </w:r>
      <w:r w:rsidR="00D00F35" w:rsidRPr="00D00F35">
        <w:rPr>
          <w:rFonts w:asciiTheme="minorHAnsi" w:hAnsiTheme="minorHAnsi"/>
          <w:lang w:val="en-GB"/>
        </w:rPr>
        <w:t>C0080</w:t>
      </w:r>
      <w:r w:rsidR="00D00F35">
        <w:rPr>
          <w:rFonts w:asciiTheme="minorHAnsi" w:hAnsiTheme="minorHAnsi"/>
          <w:lang w:val="en-GB"/>
        </w:rPr>
        <w:t xml:space="preserve"> to C0110 of this section</w:t>
      </w:r>
      <w:r w:rsidR="00A863A3">
        <w:rPr>
          <w:rFonts w:asciiTheme="minorHAnsi" w:hAnsiTheme="minorHAnsi"/>
          <w:lang w:val="en-GB"/>
        </w:rPr>
        <w:t xml:space="preserve"> on portfolio management</w:t>
      </w:r>
      <w:r w:rsidR="00D00F35">
        <w:rPr>
          <w:rFonts w:asciiTheme="minorHAnsi" w:hAnsiTheme="minorHAnsi"/>
          <w:lang w:val="en-GB"/>
        </w:rPr>
        <w:t>,</w:t>
      </w:r>
      <w:r w:rsidR="00832297">
        <w:rPr>
          <w:rFonts w:asciiTheme="minorHAnsi" w:hAnsiTheme="minorHAnsi"/>
          <w:lang w:val="en-GB"/>
        </w:rPr>
        <w:t xml:space="preserve"> </w:t>
      </w:r>
      <w:r w:rsidR="00FF5E80">
        <w:rPr>
          <w:rFonts w:asciiTheme="minorHAnsi" w:hAnsiTheme="minorHAnsi"/>
          <w:lang w:val="en-GB"/>
        </w:rPr>
        <w:t>O</w:t>
      </w:r>
      <w:r w:rsidR="0046083C">
        <w:rPr>
          <w:rFonts w:asciiTheme="minorHAnsi" w:hAnsiTheme="minorHAnsi"/>
          <w:lang w:val="en-GB"/>
        </w:rPr>
        <w:t xml:space="preserve">bliged Entities </w:t>
      </w:r>
      <w:r w:rsidR="00FF5E80">
        <w:rPr>
          <w:rFonts w:asciiTheme="minorHAnsi" w:hAnsiTheme="minorHAnsi"/>
          <w:lang w:val="en-GB"/>
        </w:rPr>
        <w:t xml:space="preserve">should exclude </w:t>
      </w:r>
      <w:r w:rsidR="00FF5E80" w:rsidRPr="00FF5E80">
        <w:rPr>
          <w:rFonts w:asciiTheme="minorHAnsi" w:hAnsiTheme="minorHAnsi"/>
          <w:lang w:val="en-GB"/>
        </w:rPr>
        <w:t>‘investment advice’</w:t>
      </w:r>
      <w:r w:rsidR="00921354">
        <w:rPr>
          <w:rFonts w:asciiTheme="minorHAnsi" w:hAnsiTheme="minorHAnsi"/>
          <w:lang w:val="en-GB"/>
        </w:rPr>
        <w:t xml:space="preserve">, as defined in Article 4(1)(4) </w:t>
      </w:r>
      <w:r w:rsidR="00921354" w:rsidRPr="00F87F5D">
        <w:rPr>
          <w:rFonts w:asciiTheme="minorHAnsi" w:hAnsiTheme="minorHAnsi"/>
          <w:lang w:val="en-GB"/>
        </w:rPr>
        <w:t>MiFID</w:t>
      </w:r>
      <w:r w:rsidR="00921354">
        <w:rPr>
          <w:rFonts w:asciiTheme="minorHAnsi" w:hAnsiTheme="minorHAnsi"/>
          <w:lang w:val="en-GB"/>
        </w:rPr>
        <w:t xml:space="preserve"> as “</w:t>
      </w:r>
      <w:r w:rsidR="00FF5E80" w:rsidRPr="00FF5E80">
        <w:rPr>
          <w:rFonts w:asciiTheme="minorHAnsi" w:hAnsiTheme="minorHAnsi"/>
          <w:lang w:val="en-GB"/>
        </w:rPr>
        <w:t>the provision of personal recommendations to a client, either upon its request or at the initiative of the investment firm, in respect of one or more transactions relating to financial instruments</w:t>
      </w:r>
      <w:r w:rsidR="00921354">
        <w:rPr>
          <w:rFonts w:asciiTheme="minorHAnsi" w:hAnsiTheme="minorHAnsi"/>
          <w:lang w:val="en-GB"/>
        </w:rPr>
        <w:t>.</w:t>
      </w:r>
    </w:p>
    <w:p w14:paraId="6905B7CF" w14:textId="6A47DB6E" w:rsidR="00D33083" w:rsidRPr="00F87F5D" w:rsidRDefault="00CC4537" w:rsidP="00135B9D">
      <w:pPr>
        <w:jc w:val="both"/>
        <w:rPr>
          <w:rFonts w:asciiTheme="minorHAnsi" w:hAnsiTheme="minorHAnsi"/>
          <w:lang w:val="en-GB"/>
        </w:rPr>
      </w:pPr>
      <w:r>
        <w:rPr>
          <w:rFonts w:asciiTheme="minorHAnsi" w:hAnsiTheme="minorHAnsi"/>
          <w:lang w:val="en-GB"/>
        </w:rPr>
        <w:t xml:space="preserve">Consistently with the above, </w:t>
      </w:r>
      <w:r w:rsidR="004710CA">
        <w:rPr>
          <w:rFonts w:asciiTheme="minorHAnsi" w:hAnsiTheme="minorHAnsi"/>
          <w:lang w:val="en-GB"/>
        </w:rPr>
        <w:t xml:space="preserve">when computing the </w:t>
      </w:r>
      <w:r w:rsidR="001E7E37">
        <w:rPr>
          <w:rFonts w:asciiTheme="minorHAnsi" w:hAnsiTheme="minorHAnsi"/>
          <w:lang w:val="en-GB"/>
        </w:rPr>
        <w:t>monetary value of</w:t>
      </w:r>
      <w:r w:rsidR="00921354">
        <w:rPr>
          <w:rFonts w:asciiTheme="minorHAnsi" w:hAnsiTheme="minorHAnsi"/>
          <w:lang w:val="en-GB"/>
        </w:rPr>
        <w:t xml:space="preserve"> </w:t>
      </w:r>
      <w:r w:rsidR="00D33083" w:rsidRPr="00F87F5D">
        <w:rPr>
          <w:rFonts w:asciiTheme="minorHAnsi" w:hAnsiTheme="minorHAnsi"/>
          <w:lang w:val="en-GB"/>
        </w:rPr>
        <w:t>Assets Under Management (AUM)</w:t>
      </w:r>
      <w:r w:rsidR="00921354">
        <w:rPr>
          <w:rFonts w:asciiTheme="minorHAnsi" w:hAnsiTheme="minorHAnsi"/>
          <w:lang w:val="en-GB"/>
        </w:rPr>
        <w:t>, O</w:t>
      </w:r>
      <w:r w:rsidR="0046083C">
        <w:rPr>
          <w:rFonts w:asciiTheme="minorHAnsi" w:hAnsiTheme="minorHAnsi"/>
          <w:lang w:val="en-GB"/>
        </w:rPr>
        <w:t xml:space="preserve">bliged </w:t>
      </w:r>
      <w:r w:rsidR="00921354">
        <w:rPr>
          <w:rFonts w:asciiTheme="minorHAnsi" w:hAnsiTheme="minorHAnsi"/>
          <w:lang w:val="en-GB"/>
        </w:rPr>
        <w:t>E</w:t>
      </w:r>
      <w:r w:rsidR="004E0533">
        <w:rPr>
          <w:rFonts w:asciiTheme="minorHAnsi" w:hAnsiTheme="minorHAnsi"/>
          <w:lang w:val="en-GB"/>
        </w:rPr>
        <w:t>ntitie</w:t>
      </w:r>
      <w:r w:rsidR="00921354">
        <w:rPr>
          <w:rFonts w:asciiTheme="minorHAnsi" w:hAnsiTheme="minorHAnsi"/>
          <w:lang w:val="en-GB"/>
        </w:rPr>
        <w:t xml:space="preserve">s should </w:t>
      </w:r>
      <w:r w:rsidR="008D506D">
        <w:rPr>
          <w:rFonts w:asciiTheme="minorHAnsi" w:hAnsiTheme="minorHAnsi"/>
          <w:lang w:val="en-GB"/>
        </w:rPr>
        <w:t>use the following approach</w:t>
      </w:r>
      <w:r w:rsidR="00805704">
        <w:rPr>
          <w:rFonts w:asciiTheme="minorHAnsi" w:hAnsiTheme="minorHAnsi"/>
          <w:lang w:val="en-GB"/>
        </w:rPr>
        <w:t>, also with regard to the elements to be included</w:t>
      </w:r>
      <w:r w:rsidR="008D506D">
        <w:rPr>
          <w:rFonts w:asciiTheme="minorHAnsi" w:hAnsiTheme="minorHAnsi"/>
          <w:lang w:val="en-GB"/>
        </w:rPr>
        <w:t>:</w:t>
      </w:r>
    </w:p>
    <w:p w14:paraId="35FA68EC" w14:textId="61B9EACB" w:rsidR="00D33083" w:rsidRPr="00F87F5D" w:rsidRDefault="00D33083" w:rsidP="00135B9D">
      <w:pPr>
        <w:pStyle w:val="ListParagraph"/>
        <w:numPr>
          <w:ilvl w:val="0"/>
          <w:numId w:val="82"/>
        </w:numPr>
        <w:ind w:left="720"/>
        <w:jc w:val="both"/>
        <w:rPr>
          <w:rFonts w:asciiTheme="minorHAnsi" w:hAnsiTheme="minorHAnsi"/>
          <w:lang w:val="en-GB"/>
        </w:rPr>
      </w:pPr>
      <w:r w:rsidRPr="00F87F5D">
        <w:rPr>
          <w:rFonts w:asciiTheme="minorHAnsi" w:hAnsiTheme="minorHAnsi"/>
          <w:lang w:val="en-GB"/>
        </w:rPr>
        <w:t>For Investment Firms: the definition of AUM is contained in Article 4(1)(27) of Regulation (EU) 2019/2033 (IFR), which refers to the value of assets that an investment firm manages for its clients under discretionary portfolio management and under non-discretionary arrangements constituting investment advice of an ongoing nature</w:t>
      </w:r>
      <w:r w:rsidR="00340916" w:rsidRPr="00F87F5D">
        <w:rPr>
          <w:rFonts w:asciiTheme="minorHAnsi" w:hAnsiTheme="minorHAnsi"/>
          <w:lang w:val="en-GB"/>
        </w:rPr>
        <w:t xml:space="preserve">. </w:t>
      </w:r>
      <w:r w:rsidRPr="00F87F5D">
        <w:rPr>
          <w:rFonts w:asciiTheme="minorHAnsi" w:hAnsiTheme="minorHAnsi"/>
          <w:lang w:val="en-GB"/>
        </w:rPr>
        <w:t xml:space="preserve">Importantly, for the purpose of this </w:t>
      </w:r>
      <w:r w:rsidR="00DF6776">
        <w:rPr>
          <w:rFonts w:asciiTheme="minorHAnsi" w:hAnsiTheme="minorHAnsi"/>
          <w:lang w:val="en-GB"/>
        </w:rPr>
        <w:t>data point</w:t>
      </w:r>
      <w:r w:rsidRPr="00F87F5D">
        <w:rPr>
          <w:rFonts w:asciiTheme="minorHAnsi" w:hAnsiTheme="minorHAnsi"/>
          <w:lang w:val="en-GB"/>
        </w:rPr>
        <w:t>, non-discretionary arrangements constituting investment advice of an ongoing nature are excluded from the definition of AUM.</w:t>
      </w:r>
    </w:p>
    <w:p w14:paraId="5B491BFA" w14:textId="3CF5C9F0" w:rsidR="00D33083" w:rsidRPr="00F87F5D" w:rsidRDefault="00EF733A" w:rsidP="00135B9D">
      <w:pPr>
        <w:pStyle w:val="ListParagraph"/>
        <w:numPr>
          <w:ilvl w:val="0"/>
          <w:numId w:val="82"/>
        </w:numPr>
        <w:ind w:left="720"/>
        <w:jc w:val="both"/>
        <w:rPr>
          <w:rFonts w:asciiTheme="minorHAnsi" w:hAnsiTheme="minorHAnsi"/>
          <w:lang w:val="en-GB"/>
        </w:rPr>
      </w:pPr>
      <w:r>
        <w:rPr>
          <w:rFonts w:asciiTheme="minorHAnsi" w:hAnsiTheme="minorHAnsi"/>
          <w:lang w:val="en-GB"/>
        </w:rPr>
        <w:t xml:space="preserve">For </w:t>
      </w:r>
      <w:r w:rsidR="00D33083" w:rsidRPr="00F87F5D">
        <w:rPr>
          <w:rFonts w:asciiTheme="minorHAnsi" w:hAnsiTheme="minorHAnsi"/>
          <w:lang w:val="en-GB"/>
        </w:rPr>
        <w:t>Asset Management Companies</w:t>
      </w:r>
      <w:r w:rsidR="00EB4C0E">
        <w:rPr>
          <w:rFonts w:asciiTheme="minorHAnsi" w:hAnsiTheme="minorHAnsi"/>
          <w:lang w:val="en-GB"/>
        </w:rPr>
        <w:t xml:space="preserve">, this data point becomes relevant only </w:t>
      </w:r>
      <w:r w:rsidR="004426E7">
        <w:rPr>
          <w:rFonts w:asciiTheme="minorHAnsi" w:hAnsiTheme="minorHAnsi"/>
          <w:lang w:val="en-GB"/>
        </w:rPr>
        <w:t xml:space="preserve">when they </w:t>
      </w:r>
      <w:r w:rsidR="009B7389" w:rsidRPr="009B7389">
        <w:rPr>
          <w:rFonts w:asciiTheme="minorHAnsi" w:hAnsiTheme="minorHAnsi"/>
          <w:lang w:val="en-GB"/>
        </w:rPr>
        <w:t>are</w:t>
      </w:r>
      <w:r w:rsidR="00D33083" w:rsidRPr="00F87F5D">
        <w:rPr>
          <w:rFonts w:asciiTheme="minorHAnsi" w:hAnsiTheme="minorHAnsi"/>
          <w:lang w:val="en-GB"/>
        </w:rPr>
        <w:t xml:space="preserve"> subject to Regulation (EU) 2019/2033 (IFR) </w:t>
      </w:r>
      <w:r w:rsidR="009B7389">
        <w:rPr>
          <w:rFonts w:asciiTheme="minorHAnsi" w:hAnsiTheme="minorHAnsi"/>
          <w:lang w:val="en-GB"/>
        </w:rPr>
        <w:t>because</w:t>
      </w:r>
      <w:r w:rsidR="00D33083" w:rsidRPr="00F87F5D">
        <w:rPr>
          <w:rFonts w:asciiTheme="minorHAnsi" w:hAnsiTheme="minorHAnsi"/>
          <w:lang w:val="en-GB"/>
        </w:rPr>
        <w:t xml:space="preserve"> they perform MiFID II investment services (e.g., discretionary portfolio management for individual clients) under a MiFID authorisation.</w:t>
      </w:r>
      <w:r w:rsidR="00A1619F" w:rsidRPr="00A1619F">
        <w:rPr>
          <w:rFonts w:asciiTheme="minorHAnsi" w:hAnsiTheme="minorHAnsi"/>
          <w:lang w:val="en-GB"/>
        </w:rPr>
        <w:t xml:space="preserve"> </w:t>
      </w:r>
      <w:r w:rsidR="00D33083" w:rsidRPr="00F87F5D">
        <w:rPr>
          <w:rFonts w:asciiTheme="minorHAnsi" w:hAnsiTheme="minorHAnsi"/>
          <w:lang w:val="en-GB"/>
        </w:rPr>
        <w:t xml:space="preserve">In relation to the above MiFID II investment services, Asset Management Companies should report AUM based on the guidance provided above for Investment Firms (i.e., </w:t>
      </w:r>
      <w:r w:rsidR="004D2E75">
        <w:rPr>
          <w:rFonts w:asciiTheme="minorHAnsi" w:hAnsiTheme="minorHAnsi"/>
          <w:lang w:val="en-GB"/>
        </w:rPr>
        <w:t xml:space="preserve">following </w:t>
      </w:r>
      <w:r w:rsidR="00932694" w:rsidRPr="00F87F5D">
        <w:rPr>
          <w:rFonts w:asciiTheme="minorHAnsi" w:hAnsiTheme="minorHAnsi"/>
          <w:lang w:val="en-GB"/>
        </w:rPr>
        <w:t>the definition of AUM contained in Article 4(1)(27) IFR</w:t>
      </w:r>
      <w:r w:rsidR="004D2E75">
        <w:rPr>
          <w:rFonts w:asciiTheme="minorHAnsi" w:hAnsiTheme="minorHAnsi"/>
          <w:lang w:val="en-GB"/>
        </w:rPr>
        <w:t xml:space="preserve">, </w:t>
      </w:r>
      <w:r w:rsidR="00810298">
        <w:rPr>
          <w:rFonts w:asciiTheme="minorHAnsi" w:hAnsiTheme="minorHAnsi"/>
          <w:lang w:val="en-GB"/>
        </w:rPr>
        <w:t>but</w:t>
      </w:r>
      <w:r w:rsidR="005F5172">
        <w:rPr>
          <w:rFonts w:asciiTheme="minorHAnsi" w:hAnsiTheme="minorHAnsi"/>
          <w:lang w:val="en-GB"/>
        </w:rPr>
        <w:t xml:space="preserve"> </w:t>
      </w:r>
      <w:r w:rsidR="00D33083" w:rsidRPr="00F87F5D">
        <w:rPr>
          <w:rFonts w:asciiTheme="minorHAnsi" w:hAnsiTheme="minorHAnsi"/>
          <w:lang w:val="en-GB"/>
        </w:rPr>
        <w:t>excluding non-discretionary arrangements constituting investment advice of an ongoing nature).</w:t>
      </w:r>
    </w:p>
    <w:p w14:paraId="6A915A36" w14:textId="26C8B521" w:rsidR="003E1A34" w:rsidRPr="00135B9D" w:rsidRDefault="00D33083" w:rsidP="00135B9D">
      <w:pPr>
        <w:pStyle w:val="ListParagraph"/>
        <w:numPr>
          <w:ilvl w:val="0"/>
          <w:numId w:val="82"/>
        </w:numPr>
        <w:ind w:left="720"/>
        <w:jc w:val="both"/>
        <w:rPr>
          <w:rFonts w:asciiTheme="minorHAnsi" w:hAnsiTheme="minorHAnsi"/>
          <w:lang w:val="en-GB"/>
        </w:rPr>
      </w:pPr>
      <w:r w:rsidRPr="00F87F5D">
        <w:rPr>
          <w:rFonts w:asciiTheme="minorHAnsi" w:hAnsiTheme="minorHAnsi"/>
          <w:lang w:val="en-GB"/>
        </w:rPr>
        <w:t xml:space="preserve">For Credit Institutions: the </w:t>
      </w:r>
      <w:r w:rsidR="00854257">
        <w:rPr>
          <w:rFonts w:asciiTheme="minorHAnsi" w:hAnsiTheme="minorHAnsi"/>
          <w:lang w:val="en-GB"/>
        </w:rPr>
        <w:t xml:space="preserve">reference should be to </w:t>
      </w:r>
      <w:r w:rsidR="00FE52C1">
        <w:rPr>
          <w:rFonts w:asciiTheme="minorHAnsi" w:hAnsiTheme="minorHAnsi"/>
          <w:lang w:val="en-GB"/>
        </w:rPr>
        <w:t xml:space="preserve">the assets managed </w:t>
      </w:r>
      <w:r w:rsidR="00D56FAC">
        <w:rPr>
          <w:rFonts w:asciiTheme="minorHAnsi" w:hAnsiTheme="minorHAnsi"/>
          <w:lang w:val="en-GB"/>
        </w:rPr>
        <w:t>based on</w:t>
      </w:r>
      <w:r w:rsidRPr="00F87F5D">
        <w:rPr>
          <w:rFonts w:asciiTheme="minorHAnsi" w:hAnsiTheme="minorHAnsi"/>
          <w:lang w:val="en-GB"/>
        </w:rPr>
        <w:t xml:space="preserve"> the </w:t>
      </w:r>
      <w:r w:rsidR="003E2ED6" w:rsidRPr="003E2ED6">
        <w:rPr>
          <w:rFonts w:asciiTheme="minorHAnsi" w:hAnsiTheme="minorHAnsi"/>
          <w:lang w:val="en-GB"/>
        </w:rPr>
        <w:t>portfolio management</w:t>
      </w:r>
      <w:r w:rsidRPr="00F87F5D">
        <w:rPr>
          <w:rFonts w:asciiTheme="minorHAnsi" w:hAnsiTheme="minorHAnsi"/>
          <w:lang w:val="en-GB"/>
        </w:rPr>
        <w:t xml:space="preserve"> </w:t>
      </w:r>
      <w:r w:rsidR="0002550A">
        <w:rPr>
          <w:rFonts w:asciiTheme="minorHAnsi" w:hAnsiTheme="minorHAnsi"/>
          <w:lang w:val="en-GB"/>
        </w:rPr>
        <w:t xml:space="preserve">definition set </w:t>
      </w:r>
      <w:r w:rsidRPr="00F87F5D">
        <w:rPr>
          <w:rFonts w:asciiTheme="minorHAnsi" w:hAnsiTheme="minorHAnsi"/>
          <w:lang w:val="en-GB"/>
        </w:rPr>
        <w:t xml:space="preserve">out in Article 4(1)(8) of Directive 2014/65/EU (MiFID). For consistency with the above treatment of AUM for Investment Firms and Asset Management Companies, the provision of ongoing advice, as set out in Article 4(1)(4) of Directive 2014/65/EU (MiFID), should be excluded for the purpose of this </w:t>
      </w:r>
      <w:r w:rsidR="00D71194">
        <w:rPr>
          <w:rFonts w:asciiTheme="minorHAnsi" w:hAnsiTheme="minorHAnsi"/>
          <w:lang w:val="en-GB"/>
        </w:rPr>
        <w:t>data point</w:t>
      </w:r>
      <w:r w:rsidRPr="00F87F5D">
        <w:rPr>
          <w:rFonts w:asciiTheme="minorHAnsi" w:hAnsiTheme="minorHAnsi"/>
          <w:lang w:val="en-GB"/>
        </w:rPr>
        <w:t>.</w:t>
      </w:r>
    </w:p>
    <w:tbl>
      <w:tblPr>
        <w:tblW w:w="92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3"/>
        <w:gridCol w:w="7616"/>
      </w:tblGrid>
      <w:tr w:rsidR="005E211E" w:rsidRPr="009B282E" w14:paraId="5A06E09E" w14:textId="77777777" w:rsidTr="245BA5CA">
        <w:tc>
          <w:tcPr>
            <w:tcW w:w="16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C811BA" w14:textId="77777777" w:rsidR="0097506C" w:rsidRPr="009275BC" w:rsidRDefault="0097506C" w:rsidP="00F32516">
            <w:pPr>
              <w:pStyle w:val="InstructionsText"/>
              <w:rPr>
                <w:rStyle w:val="InstructionsTabelleText"/>
                <w:rFonts w:asciiTheme="minorHAnsi" w:hAnsiTheme="minorHAnsi"/>
                <w:bCs w:val="0"/>
                <w:lang w:eastAsia="en-US"/>
              </w:rPr>
            </w:pPr>
            <w:r w:rsidRPr="009275BC">
              <w:rPr>
                <w:rStyle w:val="InstructionsTabelleText"/>
                <w:rFonts w:asciiTheme="minorHAnsi" w:hAnsiTheme="minorHAnsi"/>
              </w:rPr>
              <w:t>Column code</w:t>
            </w:r>
          </w:p>
        </w:tc>
        <w:tc>
          <w:tcPr>
            <w:tcW w:w="76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5CBE8D" w14:textId="77777777" w:rsidR="0097506C" w:rsidRPr="009275BC" w:rsidRDefault="0097506C" w:rsidP="00F32516">
            <w:pPr>
              <w:pStyle w:val="InstructionsText"/>
              <w:rPr>
                <w:rStyle w:val="InstructionsTabelleText"/>
                <w:rFonts w:asciiTheme="minorHAnsi" w:hAnsiTheme="minorHAnsi"/>
                <w:bCs w:val="0"/>
                <w:lang w:eastAsia="en-US"/>
              </w:rPr>
            </w:pPr>
            <w:r w:rsidRPr="009275BC">
              <w:rPr>
                <w:rStyle w:val="InstructionsTabelleText"/>
                <w:rFonts w:asciiTheme="minorHAnsi" w:hAnsiTheme="minorHAnsi"/>
              </w:rPr>
              <w:t>Legal references and instructions</w:t>
            </w:r>
          </w:p>
        </w:tc>
      </w:tr>
      <w:tr w:rsidR="005E211E" w:rsidRPr="009B282E" w14:paraId="1D41191E" w14:textId="77777777" w:rsidTr="00F87F5D">
        <w:tc>
          <w:tcPr>
            <w:tcW w:w="1673" w:type="dxa"/>
            <w:tcBorders>
              <w:top w:val="single" w:sz="4" w:space="0" w:color="auto"/>
              <w:left w:val="single" w:sz="4" w:space="0" w:color="auto"/>
              <w:bottom w:val="single" w:sz="4" w:space="0" w:color="auto"/>
              <w:right w:val="single" w:sz="4" w:space="0" w:color="auto"/>
            </w:tcBorders>
            <w:vAlign w:val="center"/>
          </w:tcPr>
          <w:p w14:paraId="54E3EC7B" w14:textId="6C53B05E" w:rsidR="00816F5F" w:rsidRPr="009275BC" w:rsidRDefault="0019711C"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C0080</w:t>
            </w:r>
          </w:p>
        </w:tc>
        <w:tc>
          <w:tcPr>
            <w:tcW w:w="7616" w:type="dxa"/>
            <w:tcBorders>
              <w:top w:val="single" w:sz="8" w:space="0" w:color="auto"/>
              <w:left w:val="single" w:sz="4" w:space="0" w:color="auto"/>
              <w:bottom w:val="single" w:sz="4" w:space="0" w:color="auto"/>
              <w:right w:val="single" w:sz="4" w:space="0" w:color="auto"/>
            </w:tcBorders>
            <w:vAlign w:val="center"/>
          </w:tcPr>
          <w:p w14:paraId="13BB7C59" w14:textId="77777777" w:rsidR="00491899" w:rsidRDefault="00491899" w:rsidP="00816F5F">
            <w:pPr>
              <w:pStyle w:val="InstructionsText2"/>
              <w:rPr>
                <w:rFonts w:asciiTheme="minorHAnsi" w:hAnsiTheme="minorHAnsi"/>
                <w:sz w:val="20"/>
                <w:lang w:val="en-US"/>
              </w:rPr>
            </w:pPr>
            <w:r w:rsidRPr="007978AD">
              <w:rPr>
                <w:rFonts w:ascii="Aptos" w:hAnsi="Aptos"/>
                <w:b/>
                <w:sz w:val="20"/>
                <w:u w:val="single"/>
                <w:lang w:val="en-US"/>
              </w:rPr>
              <w:t>Retail Clients (MiFID)</w:t>
            </w:r>
          </w:p>
          <w:p w14:paraId="46F417C7" w14:textId="7CD978AB" w:rsidR="002C7098" w:rsidRPr="00F87F5D" w:rsidRDefault="00BB1104" w:rsidP="00816F5F">
            <w:pPr>
              <w:pStyle w:val="InstructionsText2"/>
              <w:rPr>
                <w:rStyle w:val="InstructionsTabelleberschrift"/>
                <w:rFonts w:asciiTheme="minorHAnsi" w:hAnsiTheme="minorHAnsi"/>
                <w:u w:val="none"/>
              </w:rPr>
            </w:pPr>
            <w:r>
              <w:rPr>
                <w:rFonts w:asciiTheme="minorHAnsi" w:hAnsiTheme="minorHAnsi"/>
                <w:sz w:val="20"/>
                <w:lang w:val="en-US"/>
              </w:rPr>
              <w:t>Indicate the number of r</w:t>
            </w:r>
            <w:r w:rsidR="002C7098" w:rsidRPr="00F87F5D">
              <w:rPr>
                <w:rFonts w:asciiTheme="minorHAnsi" w:hAnsiTheme="minorHAnsi"/>
                <w:sz w:val="20"/>
                <w:lang w:val="en-US"/>
              </w:rPr>
              <w:t>etail clients</w:t>
            </w:r>
            <w:r>
              <w:rPr>
                <w:rFonts w:asciiTheme="minorHAnsi" w:hAnsiTheme="minorHAnsi"/>
                <w:sz w:val="20"/>
                <w:lang w:val="en-US"/>
              </w:rPr>
              <w:t>,</w:t>
            </w:r>
            <w:r w:rsidR="002C7098" w:rsidRPr="00F87F5D">
              <w:rPr>
                <w:rFonts w:asciiTheme="minorHAnsi" w:hAnsiTheme="minorHAnsi"/>
                <w:sz w:val="20"/>
                <w:lang w:val="en-US"/>
              </w:rPr>
              <w:t xml:space="preserve"> as defined in Article 4</w:t>
            </w:r>
            <w:r w:rsidR="005E7427">
              <w:rPr>
                <w:rFonts w:asciiTheme="minorHAnsi" w:hAnsiTheme="minorHAnsi"/>
                <w:sz w:val="20"/>
                <w:lang w:val="en-US"/>
              </w:rPr>
              <w:t>(</w:t>
            </w:r>
            <w:r w:rsidR="002C7098" w:rsidRPr="00F87F5D">
              <w:rPr>
                <w:rFonts w:asciiTheme="minorHAnsi" w:hAnsiTheme="minorHAnsi"/>
                <w:sz w:val="20"/>
                <w:lang w:val="en-US"/>
              </w:rPr>
              <w:t>1</w:t>
            </w:r>
            <w:r w:rsidR="005E7427">
              <w:rPr>
                <w:rFonts w:asciiTheme="minorHAnsi" w:hAnsiTheme="minorHAnsi"/>
                <w:sz w:val="20"/>
                <w:lang w:val="en-US"/>
              </w:rPr>
              <w:t>)</w:t>
            </w:r>
            <w:r w:rsidR="002C7098" w:rsidRPr="00F87F5D">
              <w:rPr>
                <w:rFonts w:asciiTheme="minorHAnsi" w:hAnsiTheme="minorHAnsi"/>
                <w:sz w:val="20"/>
                <w:lang w:val="en-US"/>
              </w:rPr>
              <w:t>(11) of Directive 2014/65/EU (MiFID)</w:t>
            </w:r>
            <w:r>
              <w:rPr>
                <w:rFonts w:asciiTheme="minorHAnsi" w:hAnsiTheme="minorHAnsi"/>
                <w:sz w:val="20"/>
                <w:lang w:val="en-US"/>
              </w:rPr>
              <w:t>, as of the end of the reference year</w:t>
            </w:r>
            <w:r w:rsidR="002C7098" w:rsidRPr="00F87F5D">
              <w:rPr>
                <w:rFonts w:asciiTheme="minorHAnsi" w:hAnsiTheme="minorHAnsi"/>
                <w:sz w:val="20"/>
                <w:lang w:val="en-US"/>
              </w:rPr>
              <w:t>.</w:t>
            </w:r>
          </w:p>
        </w:tc>
      </w:tr>
      <w:tr w:rsidR="005E211E" w:rsidRPr="009B282E" w14:paraId="46961FEE" w14:textId="77777777" w:rsidTr="00F87F5D">
        <w:tc>
          <w:tcPr>
            <w:tcW w:w="1673" w:type="dxa"/>
            <w:tcBorders>
              <w:top w:val="single" w:sz="4" w:space="0" w:color="auto"/>
              <w:left w:val="single" w:sz="4" w:space="0" w:color="auto"/>
              <w:bottom w:val="single" w:sz="4" w:space="0" w:color="auto"/>
              <w:right w:val="single" w:sz="4" w:space="0" w:color="auto"/>
            </w:tcBorders>
            <w:vAlign w:val="center"/>
          </w:tcPr>
          <w:p w14:paraId="656D55FC" w14:textId="1DF2C99D" w:rsidR="00816F5F" w:rsidRPr="009275BC" w:rsidRDefault="0019711C"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C0090</w:t>
            </w:r>
          </w:p>
        </w:tc>
        <w:tc>
          <w:tcPr>
            <w:tcW w:w="7616" w:type="dxa"/>
            <w:tcBorders>
              <w:top w:val="nil"/>
              <w:left w:val="single" w:sz="4" w:space="0" w:color="auto"/>
              <w:bottom w:val="nil"/>
              <w:right w:val="single" w:sz="4" w:space="0" w:color="auto"/>
            </w:tcBorders>
            <w:vAlign w:val="center"/>
          </w:tcPr>
          <w:p w14:paraId="3C5BA785" w14:textId="77777777" w:rsidR="00491899" w:rsidRDefault="00491899" w:rsidP="004824EA">
            <w:pPr>
              <w:pStyle w:val="InstructionsText2"/>
              <w:rPr>
                <w:rFonts w:asciiTheme="minorHAnsi" w:hAnsiTheme="minorHAnsi"/>
                <w:sz w:val="20"/>
                <w:lang w:val="en-US"/>
              </w:rPr>
            </w:pPr>
            <w:r w:rsidRPr="005E75DB">
              <w:rPr>
                <w:rFonts w:ascii="Aptos" w:hAnsi="Aptos"/>
                <w:b/>
                <w:sz w:val="20"/>
                <w:u w:val="single"/>
                <w:lang w:val="en-US"/>
              </w:rPr>
              <w:t>Professional Clients (MiFID)</w:t>
            </w:r>
          </w:p>
          <w:p w14:paraId="2E888654" w14:textId="3DF7357A" w:rsidR="002C7098" w:rsidRPr="00F87F5D" w:rsidRDefault="00753737" w:rsidP="004824EA">
            <w:pPr>
              <w:pStyle w:val="InstructionsText2"/>
              <w:rPr>
                <w:rStyle w:val="InstructionsTabelleberschrift"/>
                <w:rFonts w:asciiTheme="minorHAnsi" w:hAnsiTheme="minorHAnsi"/>
                <w:b w:val="0"/>
                <w:bCs w:val="0"/>
                <w:u w:val="none"/>
              </w:rPr>
            </w:pPr>
            <w:r>
              <w:rPr>
                <w:rFonts w:asciiTheme="minorHAnsi" w:hAnsiTheme="minorHAnsi"/>
                <w:sz w:val="20"/>
                <w:lang w:val="en-US"/>
              </w:rPr>
              <w:t>Indicate the number of p</w:t>
            </w:r>
            <w:r w:rsidR="002C7098" w:rsidRPr="00F87F5D">
              <w:rPr>
                <w:rFonts w:asciiTheme="minorHAnsi" w:hAnsiTheme="minorHAnsi"/>
                <w:sz w:val="20"/>
                <w:lang w:val="en-US"/>
              </w:rPr>
              <w:t xml:space="preserve">rofessional clients as defined </w:t>
            </w:r>
            <w:r w:rsidR="005E7427">
              <w:rPr>
                <w:rFonts w:asciiTheme="minorHAnsi" w:hAnsiTheme="minorHAnsi"/>
                <w:sz w:val="20"/>
                <w:lang w:val="en-US"/>
              </w:rPr>
              <w:t xml:space="preserve">in </w:t>
            </w:r>
            <w:r w:rsidR="002C7098" w:rsidRPr="00F87F5D">
              <w:rPr>
                <w:rFonts w:asciiTheme="minorHAnsi" w:hAnsiTheme="minorHAnsi"/>
                <w:sz w:val="20"/>
                <w:lang w:val="en-US"/>
              </w:rPr>
              <w:t>Article 4</w:t>
            </w:r>
            <w:r w:rsidR="00E350F4">
              <w:rPr>
                <w:rFonts w:asciiTheme="minorHAnsi" w:hAnsiTheme="minorHAnsi"/>
                <w:sz w:val="20"/>
                <w:lang w:val="en-US"/>
              </w:rPr>
              <w:t>(</w:t>
            </w:r>
            <w:r w:rsidR="002C7098" w:rsidRPr="00F87F5D">
              <w:rPr>
                <w:rFonts w:asciiTheme="minorHAnsi" w:hAnsiTheme="minorHAnsi"/>
                <w:sz w:val="20"/>
                <w:lang w:val="en-US"/>
              </w:rPr>
              <w:t>1</w:t>
            </w:r>
            <w:r w:rsidR="00E350F4">
              <w:rPr>
                <w:rFonts w:asciiTheme="minorHAnsi" w:hAnsiTheme="minorHAnsi"/>
                <w:sz w:val="20"/>
                <w:lang w:val="en-US"/>
              </w:rPr>
              <w:t>)</w:t>
            </w:r>
            <w:r w:rsidR="002C7098" w:rsidRPr="00F87F5D">
              <w:rPr>
                <w:rFonts w:asciiTheme="minorHAnsi" w:hAnsiTheme="minorHAnsi"/>
                <w:sz w:val="20"/>
                <w:lang w:val="en-US"/>
              </w:rPr>
              <w:t>(10) of Directive 2014/65/EU (MIFID)</w:t>
            </w:r>
            <w:r>
              <w:rPr>
                <w:rFonts w:asciiTheme="minorHAnsi" w:hAnsiTheme="minorHAnsi"/>
                <w:sz w:val="20"/>
                <w:lang w:val="en-US"/>
              </w:rPr>
              <w:t xml:space="preserve">, </w:t>
            </w:r>
            <w:r w:rsidR="00C70F21">
              <w:rPr>
                <w:rFonts w:asciiTheme="minorHAnsi" w:hAnsiTheme="minorHAnsi"/>
                <w:sz w:val="20"/>
                <w:lang w:val="en-US"/>
              </w:rPr>
              <w:t xml:space="preserve">and further specified in </w:t>
            </w:r>
            <w:r w:rsidR="00C70F21" w:rsidRPr="00C70F21">
              <w:rPr>
                <w:rFonts w:asciiTheme="minorHAnsi" w:hAnsiTheme="minorHAnsi"/>
                <w:sz w:val="20"/>
                <w:lang w:val="en-US"/>
              </w:rPr>
              <w:t>Annex II</w:t>
            </w:r>
            <w:r w:rsidR="00A11668">
              <w:rPr>
                <w:rFonts w:asciiTheme="minorHAnsi" w:hAnsiTheme="minorHAnsi"/>
                <w:sz w:val="20"/>
                <w:lang w:val="en-US"/>
              </w:rPr>
              <w:t xml:space="preserve"> of the same Directive, </w:t>
            </w:r>
            <w:r>
              <w:rPr>
                <w:rFonts w:asciiTheme="minorHAnsi" w:hAnsiTheme="minorHAnsi"/>
                <w:sz w:val="20"/>
                <w:lang w:val="en-US"/>
              </w:rPr>
              <w:t>as of the end of the reference year.</w:t>
            </w:r>
          </w:p>
        </w:tc>
      </w:tr>
      <w:tr w:rsidR="00B63A17" w:rsidRPr="009B282E" w14:paraId="0D167FA4" w14:textId="77777777" w:rsidTr="00F87F5D">
        <w:tc>
          <w:tcPr>
            <w:tcW w:w="1673" w:type="dxa"/>
            <w:tcBorders>
              <w:top w:val="single" w:sz="4" w:space="0" w:color="auto"/>
              <w:left w:val="single" w:sz="4" w:space="0" w:color="auto"/>
              <w:bottom w:val="single" w:sz="4" w:space="0" w:color="auto"/>
              <w:right w:val="single" w:sz="4" w:space="0" w:color="auto"/>
            </w:tcBorders>
            <w:vAlign w:val="center"/>
          </w:tcPr>
          <w:p w14:paraId="0853B805" w14:textId="7CF98693" w:rsidR="00B63A17" w:rsidRPr="009275BC" w:rsidRDefault="0019711C"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C0100</w:t>
            </w:r>
          </w:p>
        </w:tc>
        <w:tc>
          <w:tcPr>
            <w:tcW w:w="7616" w:type="dxa"/>
            <w:tcBorders>
              <w:top w:val="single" w:sz="4" w:space="0" w:color="auto"/>
              <w:left w:val="single" w:sz="4" w:space="0" w:color="auto"/>
              <w:bottom w:val="single" w:sz="4" w:space="0" w:color="auto"/>
              <w:right w:val="single" w:sz="4" w:space="0" w:color="auto"/>
            </w:tcBorders>
            <w:vAlign w:val="center"/>
          </w:tcPr>
          <w:p w14:paraId="0E1A168F" w14:textId="5AEA16A7" w:rsidR="00B63A17" w:rsidRDefault="00DB5897" w:rsidP="00B63A17">
            <w:pPr>
              <w:pStyle w:val="InstructionsText2"/>
              <w:rPr>
                <w:rStyle w:val="InstructionsTabelleberschrift"/>
                <w:rFonts w:asciiTheme="minorHAnsi" w:hAnsiTheme="minorHAnsi"/>
              </w:rPr>
            </w:pPr>
            <w:r>
              <w:rPr>
                <w:rStyle w:val="InstructionsTabelleberschrift"/>
                <w:rFonts w:asciiTheme="minorHAnsi" w:hAnsiTheme="minorHAnsi"/>
              </w:rPr>
              <w:t>T</w:t>
            </w:r>
            <w:r w:rsidRPr="00F87F5D">
              <w:rPr>
                <w:rStyle w:val="InstructionsTabelleberschrift"/>
                <w:rFonts w:asciiTheme="minorHAnsi" w:hAnsiTheme="minorHAnsi"/>
              </w:rPr>
              <w:t xml:space="preserve">otal </w:t>
            </w:r>
            <w:r w:rsidR="00B63A17" w:rsidRPr="00F87F5D">
              <w:rPr>
                <w:rStyle w:val="InstructionsTabelleberschrift"/>
                <w:rFonts w:asciiTheme="minorHAnsi" w:hAnsiTheme="minorHAnsi"/>
              </w:rPr>
              <w:t>assets under management</w:t>
            </w:r>
          </w:p>
          <w:p w14:paraId="0EC74108" w14:textId="00EFB855" w:rsidR="00736E10" w:rsidRPr="007978AD" w:rsidRDefault="00491899" w:rsidP="00DB5897">
            <w:pPr>
              <w:pStyle w:val="InstructionsText2"/>
              <w:rPr>
                <w:rStyle w:val="InstructionsTabelleberschrift"/>
                <w:rFonts w:asciiTheme="minorHAnsi" w:hAnsiTheme="minorHAnsi"/>
                <w:u w:val="none"/>
              </w:rPr>
            </w:pPr>
            <w:r w:rsidRPr="007978AD">
              <w:rPr>
                <w:rStyle w:val="InstructionsTabelleberschrift"/>
                <w:rFonts w:asciiTheme="minorHAnsi" w:hAnsiTheme="minorHAnsi"/>
                <w:b w:val="0"/>
                <w:bCs w:val="0"/>
                <w:u w:val="none"/>
              </w:rPr>
              <w:t xml:space="preserve">Indicate the </w:t>
            </w:r>
            <w:r w:rsidR="00DB5897" w:rsidRPr="007978AD">
              <w:rPr>
                <w:rStyle w:val="InstructionsTabelleberschrift"/>
                <w:rFonts w:asciiTheme="minorHAnsi" w:hAnsiTheme="minorHAnsi"/>
                <w:b w:val="0"/>
                <w:bCs w:val="0"/>
                <w:u w:val="none"/>
              </w:rPr>
              <w:t>value of AUM,</w:t>
            </w:r>
            <w:r w:rsidRPr="007978AD">
              <w:rPr>
                <w:rStyle w:val="InstructionsTabelleberschrift"/>
                <w:rFonts w:asciiTheme="minorHAnsi" w:hAnsiTheme="minorHAnsi"/>
                <w:b w:val="0"/>
                <w:bCs w:val="0"/>
                <w:u w:val="none"/>
              </w:rPr>
              <w:t xml:space="preserve"> as </w:t>
            </w:r>
            <w:r w:rsidR="00C77342">
              <w:rPr>
                <w:rStyle w:val="InstructionsTabelleberschrift"/>
                <w:rFonts w:asciiTheme="minorHAnsi" w:hAnsiTheme="minorHAnsi"/>
                <w:b w:val="0"/>
                <w:bCs w:val="0"/>
                <w:u w:val="none"/>
              </w:rPr>
              <w:t xml:space="preserve">the monetary stock </w:t>
            </w:r>
            <w:r w:rsidRPr="007978AD">
              <w:rPr>
                <w:rStyle w:val="InstructionsTabelleberschrift"/>
                <w:rFonts w:asciiTheme="minorHAnsi" w:hAnsiTheme="minorHAnsi"/>
                <w:b w:val="0"/>
                <w:bCs w:val="0"/>
                <w:u w:val="none"/>
              </w:rPr>
              <w:t xml:space="preserve">of </w:t>
            </w:r>
            <w:r w:rsidR="00723719" w:rsidRPr="007978AD">
              <w:rPr>
                <w:rStyle w:val="InstructionsTabelleberschrift"/>
                <w:rFonts w:asciiTheme="minorHAnsi" w:hAnsiTheme="minorHAnsi"/>
                <w:b w:val="0"/>
                <w:bCs w:val="0"/>
                <w:u w:val="none"/>
              </w:rPr>
              <w:t xml:space="preserve">the </w:t>
            </w:r>
            <w:r w:rsidRPr="007978AD">
              <w:rPr>
                <w:rStyle w:val="InstructionsTabelleberschrift"/>
                <w:rFonts w:asciiTheme="minorHAnsi" w:hAnsiTheme="minorHAnsi"/>
                <w:b w:val="0"/>
                <w:bCs w:val="0"/>
                <w:u w:val="none"/>
              </w:rPr>
              <w:t>end of the reference year</w:t>
            </w:r>
            <w:r w:rsidR="00DB5897" w:rsidRPr="007978AD">
              <w:rPr>
                <w:rStyle w:val="InstructionsTabelleberschrift"/>
                <w:rFonts w:asciiTheme="minorHAnsi" w:hAnsiTheme="minorHAnsi"/>
                <w:b w:val="0"/>
                <w:bCs w:val="0"/>
                <w:u w:val="none"/>
              </w:rPr>
              <w:t>.</w:t>
            </w:r>
          </w:p>
        </w:tc>
      </w:tr>
      <w:tr w:rsidR="005E211E" w:rsidRPr="009B282E" w14:paraId="6B20B260" w14:textId="77777777" w:rsidTr="00F87F5D">
        <w:tc>
          <w:tcPr>
            <w:tcW w:w="1673" w:type="dxa"/>
            <w:tcBorders>
              <w:top w:val="single" w:sz="4" w:space="0" w:color="auto"/>
              <w:left w:val="single" w:sz="4" w:space="0" w:color="auto"/>
              <w:bottom w:val="single" w:sz="4" w:space="0" w:color="auto"/>
              <w:right w:val="single" w:sz="4" w:space="0" w:color="auto"/>
            </w:tcBorders>
            <w:vAlign w:val="center"/>
          </w:tcPr>
          <w:p w14:paraId="332B5EBE" w14:textId="43BBE13C" w:rsidR="00B63A17" w:rsidRPr="009275BC" w:rsidRDefault="0019711C"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C0110</w:t>
            </w:r>
          </w:p>
        </w:tc>
        <w:tc>
          <w:tcPr>
            <w:tcW w:w="7616" w:type="dxa"/>
            <w:tcBorders>
              <w:top w:val="nil"/>
              <w:left w:val="single" w:sz="4" w:space="0" w:color="auto"/>
              <w:bottom w:val="single" w:sz="8" w:space="0" w:color="auto"/>
              <w:right w:val="single" w:sz="4" w:space="0" w:color="auto"/>
            </w:tcBorders>
            <w:vAlign w:val="center"/>
          </w:tcPr>
          <w:p w14:paraId="06C4EBF8" w14:textId="77777777" w:rsidR="00491899" w:rsidRDefault="00491899" w:rsidP="00B63A17">
            <w:pPr>
              <w:pStyle w:val="InstructionsText2"/>
              <w:rPr>
                <w:rStyle w:val="InstructionsTabelleberschrift"/>
                <w:rFonts w:asciiTheme="minorHAnsi" w:hAnsiTheme="minorHAnsi"/>
              </w:rPr>
            </w:pPr>
            <w:r w:rsidRPr="007978AD">
              <w:rPr>
                <w:rStyle w:val="InstructionsTabelleberschrift"/>
                <w:rFonts w:ascii="Aptos" w:hAnsi="Aptos"/>
              </w:rPr>
              <w:t>Customers with Assets &gt;= EUR 5M</w:t>
            </w:r>
          </w:p>
          <w:p w14:paraId="21DE604A" w14:textId="48013511" w:rsidR="00736E10" w:rsidRPr="007978AD" w:rsidRDefault="00491899" w:rsidP="00723719">
            <w:pPr>
              <w:pStyle w:val="InstructionsText2"/>
              <w:rPr>
                <w:rStyle w:val="InstructionsTabelleberschrift"/>
                <w:rFonts w:asciiTheme="minorHAnsi" w:hAnsiTheme="minorHAnsi"/>
                <w:u w:val="none"/>
              </w:rPr>
            </w:pPr>
            <w:r w:rsidRPr="007978AD">
              <w:rPr>
                <w:rStyle w:val="InstructionsTabelleberschrift"/>
                <w:rFonts w:asciiTheme="minorHAnsi" w:hAnsiTheme="minorHAnsi"/>
                <w:b w:val="0"/>
                <w:bCs w:val="0"/>
                <w:u w:val="none"/>
              </w:rPr>
              <w:t xml:space="preserve">Indicate the </w:t>
            </w:r>
            <w:r w:rsidR="00522582" w:rsidRPr="007978AD">
              <w:rPr>
                <w:rStyle w:val="InstructionsTabelleberschrift"/>
                <w:rFonts w:asciiTheme="minorHAnsi" w:hAnsiTheme="minorHAnsi"/>
                <w:b w:val="0"/>
                <w:bCs w:val="0"/>
                <w:u w:val="none"/>
              </w:rPr>
              <w:t>number of customer</w:t>
            </w:r>
            <w:r w:rsidR="000C1463" w:rsidRPr="007978AD">
              <w:rPr>
                <w:rStyle w:val="InstructionsTabelleberschrift"/>
                <w:rFonts w:asciiTheme="minorHAnsi" w:hAnsiTheme="minorHAnsi"/>
                <w:b w:val="0"/>
                <w:bCs w:val="0"/>
                <w:u w:val="none"/>
              </w:rPr>
              <w:t>s</w:t>
            </w:r>
            <w:r w:rsidR="00D81363" w:rsidRPr="007978AD">
              <w:rPr>
                <w:rStyle w:val="InstructionsTabelleberschrift"/>
                <w:rFonts w:asciiTheme="minorHAnsi" w:hAnsiTheme="minorHAnsi"/>
                <w:b w:val="0"/>
                <w:bCs w:val="0"/>
                <w:u w:val="none"/>
              </w:rPr>
              <w:t xml:space="preserve"> </w:t>
            </w:r>
            <w:r w:rsidR="00522582" w:rsidRPr="007978AD">
              <w:rPr>
                <w:rStyle w:val="InstructionsTabelleberschrift"/>
                <w:rFonts w:asciiTheme="minorHAnsi" w:hAnsiTheme="minorHAnsi"/>
                <w:b w:val="0"/>
                <w:bCs w:val="0"/>
                <w:u w:val="none"/>
              </w:rPr>
              <w:t>holding total assets with a value of at least EUR 5</w:t>
            </w:r>
            <w:r w:rsidR="00BE50FB">
              <w:rPr>
                <w:rStyle w:val="InstructionsTabelleberschrift"/>
                <w:rFonts w:asciiTheme="minorHAnsi" w:hAnsiTheme="minorHAnsi"/>
                <w:b w:val="0"/>
                <w:bCs w:val="0"/>
                <w:u w:val="none"/>
              </w:rPr>
              <w:t>.</w:t>
            </w:r>
            <w:r w:rsidR="00522582" w:rsidRPr="007978AD">
              <w:rPr>
                <w:rStyle w:val="InstructionsTabelleberschrift"/>
                <w:rFonts w:asciiTheme="minorHAnsi" w:hAnsiTheme="minorHAnsi"/>
                <w:b w:val="0"/>
                <w:bCs w:val="0"/>
                <w:u w:val="none"/>
              </w:rPr>
              <w:t>000</w:t>
            </w:r>
            <w:r w:rsidR="00BE50FB">
              <w:rPr>
                <w:rStyle w:val="InstructionsTabelleberschrift"/>
                <w:rFonts w:asciiTheme="minorHAnsi" w:hAnsiTheme="minorHAnsi"/>
                <w:b w:val="0"/>
                <w:bCs w:val="0"/>
                <w:u w:val="none"/>
              </w:rPr>
              <w:t>.</w:t>
            </w:r>
            <w:r w:rsidR="00522582" w:rsidRPr="007978AD">
              <w:rPr>
                <w:rStyle w:val="InstructionsTabelleberschrift"/>
                <w:rFonts w:asciiTheme="minorHAnsi" w:hAnsiTheme="minorHAnsi"/>
                <w:b w:val="0"/>
                <w:bCs w:val="0"/>
                <w:u w:val="none"/>
              </w:rPr>
              <w:t>000</w:t>
            </w:r>
            <w:r w:rsidR="00723719" w:rsidRPr="007978AD">
              <w:rPr>
                <w:rStyle w:val="InstructionsTabelleberschrift"/>
                <w:rFonts w:asciiTheme="minorHAnsi" w:hAnsiTheme="minorHAnsi"/>
                <w:b w:val="0"/>
                <w:bCs w:val="0"/>
                <w:u w:val="none"/>
              </w:rPr>
              <w:t>, as of the end of the reference year.</w:t>
            </w:r>
          </w:p>
        </w:tc>
      </w:tr>
    </w:tbl>
    <w:p w14:paraId="609136DD" w14:textId="5120F4CB" w:rsidR="00C72FA9" w:rsidRPr="009B282E" w:rsidRDefault="00A87BEC" w:rsidP="00CB14A2">
      <w:pPr>
        <w:pStyle w:val="Heading3"/>
        <w:rPr>
          <w:lang w:val="en-GB"/>
        </w:rPr>
      </w:pPr>
      <w:bookmarkStart w:id="148" w:name="_Toc223018907"/>
      <w:bookmarkStart w:id="149" w:name="_Toc223021705"/>
      <w:bookmarkStart w:id="150" w:name="_Toc223086555"/>
      <w:bookmarkStart w:id="151" w:name="_Toc223086649"/>
      <w:bookmarkStart w:id="152" w:name="_Toc223086743"/>
      <w:bookmarkStart w:id="153" w:name="_Toc223086837"/>
      <w:bookmarkStart w:id="154" w:name="_Toc221355978"/>
      <w:bookmarkStart w:id="155" w:name="_Toc223104844"/>
      <w:bookmarkEnd w:id="148"/>
      <w:bookmarkEnd w:id="149"/>
      <w:bookmarkEnd w:id="150"/>
      <w:bookmarkEnd w:id="151"/>
      <w:bookmarkEnd w:id="152"/>
      <w:bookmarkEnd w:id="153"/>
      <w:r w:rsidRPr="009B282E">
        <w:rPr>
          <w:lang w:val="en-GB"/>
        </w:rPr>
        <w:t xml:space="preserve">AML.04.02 </w:t>
      </w:r>
      <w:r w:rsidR="00C72FA9" w:rsidRPr="009B282E">
        <w:rPr>
          <w:lang w:val="en-GB"/>
        </w:rPr>
        <w:t xml:space="preserve">Money </w:t>
      </w:r>
      <w:r w:rsidR="00F9453F" w:rsidRPr="009B282E">
        <w:rPr>
          <w:lang w:val="en-GB"/>
        </w:rPr>
        <w:t>Remittance</w:t>
      </w:r>
      <w:bookmarkEnd w:id="154"/>
      <w:bookmarkEnd w:id="155"/>
    </w:p>
    <w:p w14:paraId="39CC5BD4" w14:textId="77777777" w:rsidR="006B6D53" w:rsidRPr="00A017EB" w:rsidRDefault="006B6D53" w:rsidP="006B6D53">
      <w:pPr>
        <w:rPr>
          <w:rFonts w:asciiTheme="minorHAnsi" w:hAnsiTheme="minorHAnsi"/>
          <w:b/>
          <w:bCs/>
          <w:iCs/>
        </w:rPr>
      </w:pPr>
      <w:r w:rsidRPr="00A017EB">
        <w:rPr>
          <w:rFonts w:asciiTheme="minorHAnsi" w:hAnsiTheme="minorHAnsi"/>
          <w:b/>
          <w:bCs/>
          <w:iCs/>
        </w:rPr>
        <w:t>Template Remarks</w:t>
      </w:r>
    </w:p>
    <w:p w14:paraId="6FEB9C9E" w14:textId="0B396BB7" w:rsidR="006B6D53" w:rsidRDefault="006B6D53" w:rsidP="006B6D53">
      <w:pPr>
        <w:jc w:val="both"/>
        <w:rPr>
          <w:rFonts w:asciiTheme="minorHAnsi" w:hAnsiTheme="minorHAnsi"/>
          <w:bCs/>
          <w:iCs/>
        </w:rPr>
      </w:pPr>
      <w:r w:rsidRPr="00A017EB">
        <w:rPr>
          <w:rFonts w:asciiTheme="minorHAnsi" w:hAnsiTheme="minorHAnsi"/>
          <w:lang w:val="en-GB"/>
        </w:rPr>
        <w:t xml:space="preserve">Fill out this template if you </w:t>
      </w:r>
      <w:r w:rsidRPr="00A017EB">
        <w:rPr>
          <w:rFonts w:asciiTheme="minorHAnsi" w:hAnsiTheme="minorHAnsi"/>
        </w:rPr>
        <w:t xml:space="preserve">offer some of these services and/or products, normally this template is applicable for </w:t>
      </w:r>
      <w:r w:rsidRPr="003B7B62">
        <w:rPr>
          <w:rFonts w:asciiTheme="minorHAnsi" w:hAnsiTheme="minorHAnsi"/>
          <w:bCs/>
          <w:iCs/>
        </w:rPr>
        <w:t>CI, EMI</w:t>
      </w:r>
      <w:r>
        <w:rPr>
          <w:rFonts w:asciiTheme="minorHAnsi" w:hAnsiTheme="minorHAnsi"/>
          <w:bCs/>
          <w:iCs/>
        </w:rPr>
        <w:t xml:space="preserve"> and </w:t>
      </w:r>
      <w:r w:rsidRPr="003B7B62">
        <w:rPr>
          <w:rFonts w:asciiTheme="minorHAnsi" w:hAnsiTheme="minorHAnsi"/>
          <w:bCs/>
          <w:iCs/>
        </w:rPr>
        <w:t>PI</w:t>
      </w:r>
      <w:r>
        <w:rPr>
          <w:rFonts w:asciiTheme="minorHAnsi" w:hAnsiTheme="minorHAnsi"/>
          <w:bCs/>
          <w:iCs/>
        </w:rPr>
        <w:t xml:space="preserve">. </w:t>
      </w:r>
    </w:p>
    <w:p w14:paraId="1BA714C0" w14:textId="63257A47" w:rsidR="00387E69" w:rsidRPr="00B01C6E" w:rsidRDefault="00387E69" w:rsidP="00387E69">
      <w:pPr>
        <w:rPr>
          <w:rFonts w:asciiTheme="minorHAnsi" w:hAnsiTheme="minorHAnsi"/>
          <w:lang w:val="en-GB"/>
        </w:rPr>
      </w:pPr>
      <w:r w:rsidRPr="00F87F5D">
        <w:rPr>
          <w:rFonts w:asciiTheme="minorHAnsi" w:hAnsiTheme="minorHAnsi"/>
          <w:lang w:val="en-GB"/>
        </w:rPr>
        <w:t>Money Remittance</w:t>
      </w:r>
      <w:r w:rsidR="00554FC5" w:rsidRPr="00F87F5D">
        <w:rPr>
          <w:rFonts w:asciiTheme="minorHAnsi" w:hAnsiTheme="minorHAnsi"/>
          <w:lang w:val="en-GB"/>
        </w:rPr>
        <w:t xml:space="preserve"> a</w:t>
      </w:r>
      <w:r w:rsidR="00685D03">
        <w:rPr>
          <w:rFonts w:asciiTheme="minorHAnsi" w:hAnsiTheme="minorHAnsi"/>
          <w:lang w:val="en-GB"/>
        </w:rPr>
        <w:t>s</w:t>
      </w:r>
      <w:r w:rsidR="00554FC5" w:rsidRPr="00F87F5D">
        <w:rPr>
          <w:rFonts w:asciiTheme="minorHAnsi" w:hAnsiTheme="minorHAnsi"/>
          <w:lang w:val="en-GB"/>
        </w:rPr>
        <w:t xml:space="preserve"> </w:t>
      </w:r>
      <w:r w:rsidR="00DD0AFF">
        <w:rPr>
          <w:rFonts w:asciiTheme="minorHAnsi" w:hAnsiTheme="minorHAnsi"/>
          <w:lang w:val="en-GB"/>
        </w:rPr>
        <w:t xml:space="preserve">referred to </w:t>
      </w:r>
      <w:r w:rsidRPr="00F87F5D">
        <w:rPr>
          <w:rFonts w:asciiTheme="minorHAnsi" w:hAnsiTheme="minorHAnsi"/>
          <w:lang w:val="en-GB"/>
        </w:rPr>
        <w:t>in Article 4(22) of EU Directive (PSD) 2015/2366</w:t>
      </w:r>
      <w:r w:rsidRPr="00B01C6E">
        <w:rPr>
          <w:rFonts w:asciiTheme="minorHAnsi" w:hAnsiTheme="minorHAnsi"/>
          <w:lang w:val="en-GB"/>
        </w:rPr>
        <w:t>. </w:t>
      </w:r>
      <w:r w:rsidR="00F70274">
        <w:rPr>
          <w:rFonts w:asciiTheme="minorHAnsi" w:hAnsiTheme="minorHAnsi"/>
          <w:lang w:val="en-GB"/>
        </w:rPr>
        <w:t xml:space="preserve">All services </w:t>
      </w:r>
      <w:r w:rsidR="004E325E">
        <w:rPr>
          <w:rFonts w:asciiTheme="minorHAnsi" w:hAnsiTheme="minorHAnsi"/>
          <w:lang w:val="en-GB"/>
        </w:rPr>
        <w:t xml:space="preserve">provided by the reporting obliged entity </w:t>
      </w:r>
      <w:r w:rsidR="00F70274">
        <w:rPr>
          <w:rFonts w:asciiTheme="minorHAnsi" w:hAnsiTheme="minorHAnsi"/>
          <w:lang w:val="en-GB"/>
        </w:rPr>
        <w:t>that fall under that definition (e.g</w:t>
      </w:r>
      <w:r w:rsidR="001B125A" w:rsidRPr="001B125A">
        <w:rPr>
          <w:rFonts w:asciiTheme="minorHAnsi" w:hAnsiTheme="minorHAnsi"/>
          <w:lang w:val="en-GB"/>
        </w:rPr>
        <w:t>., bill payments</w:t>
      </w:r>
      <w:r w:rsidR="00F70274">
        <w:rPr>
          <w:rFonts w:asciiTheme="minorHAnsi" w:hAnsiTheme="minorHAnsi"/>
          <w:lang w:val="en-GB"/>
        </w:rPr>
        <w:t>) should be reported as money remittance.</w:t>
      </w:r>
    </w:p>
    <w:tbl>
      <w:tblPr>
        <w:tblW w:w="92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3"/>
        <w:gridCol w:w="7616"/>
      </w:tblGrid>
      <w:tr w:rsidR="005E211E" w:rsidRPr="009B282E" w14:paraId="72D7B339" w14:textId="77777777" w:rsidTr="47BD40F6">
        <w:tc>
          <w:tcPr>
            <w:tcW w:w="16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8A3303" w14:textId="77777777" w:rsidR="0097506C" w:rsidRPr="009275BC" w:rsidRDefault="0097506C" w:rsidP="00F32516">
            <w:pPr>
              <w:pStyle w:val="InstructionsText"/>
              <w:rPr>
                <w:rStyle w:val="InstructionsTabelleText"/>
                <w:rFonts w:asciiTheme="minorHAnsi" w:hAnsiTheme="minorHAnsi"/>
                <w:bCs w:val="0"/>
                <w:lang w:eastAsia="en-US"/>
              </w:rPr>
            </w:pPr>
            <w:r w:rsidRPr="009275BC">
              <w:rPr>
                <w:rStyle w:val="InstructionsTabelleText"/>
                <w:rFonts w:asciiTheme="minorHAnsi" w:hAnsiTheme="minorHAnsi"/>
              </w:rPr>
              <w:t>Column code</w:t>
            </w:r>
          </w:p>
        </w:tc>
        <w:tc>
          <w:tcPr>
            <w:tcW w:w="76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D3DD24" w14:textId="77777777" w:rsidR="0097506C" w:rsidRPr="009275BC" w:rsidRDefault="0097506C" w:rsidP="00F32516">
            <w:pPr>
              <w:pStyle w:val="InstructionsText"/>
              <w:rPr>
                <w:rStyle w:val="InstructionsTabelleText"/>
                <w:rFonts w:asciiTheme="minorHAnsi" w:hAnsiTheme="minorHAnsi"/>
                <w:bCs w:val="0"/>
                <w:lang w:eastAsia="en-US"/>
              </w:rPr>
            </w:pPr>
            <w:r w:rsidRPr="009275BC">
              <w:rPr>
                <w:rStyle w:val="InstructionsTabelleText"/>
                <w:rFonts w:asciiTheme="minorHAnsi" w:hAnsiTheme="minorHAnsi"/>
              </w:rPr>
              <w:t>Legal references and instructions</w:t>
            </w:r>
          </w:p>
        </w:tc>
      </w:tr>
      <w:tr w:rsidR="005E211E" w:rsidRPr="009B282E" w14:paraId="61D9DA26" w14:textId="77777777" w:rsidTr="006F6E2C">
        <w:tc>
          <w:tcPr>
            <w:tcW w:w="1673" w:type="dxa"/>
            <w:tcBorders>
              <w:top w:val="single" w:sz="4" w:space="0" w:color="auto"/>
              <w:left w:val="single" w:sz="4" w:space="0" w:color="auto"/>
              <w:bottom w:val="single" w:sz="4" w:space="0" w:color="auto"/>
              <w:right w:val="single" w:sz="4" w:space="0" w:color="auto"/>
            </w:tcBorders>
            <w:vAlign w:val="center"/>
          </w:tcPr>
          <w:p w14:paraId="5803895E" w14:textId="544071FD" w:rsidR="006F5BE3" w:rsidRPr="009275BC" w:rsidRDefault="00A87BEC"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C0010</w:t>
            </w:r>
          </w:p>
        </w:tc>
        <w:tc>
          <w:tcPr>
            <w:tcW w:w="7616" w:type="dxa"/>
            <w:tcBorders>
              <w:top w:val="single" w:sz="8" w:space="0" w:color="auto"/>
              <w:left w:val="single" w:sz="4" w:space="0" w:color="auto"/>
              <w:bottom w:val="single" w:sz="4" w:space="0" w:color="auto"/>
              <w:right w:val="single" w:sz="4" w:space="0" w:color="auto"/>
            </w:tcBorders>
            <w:vAlign w:val="center"/>
          </w:tcPr>
          <w:p w14:paraId="7EC371BB" w14:textId="63FE80E1" w:rsidR="00491899" w:rsidRDefault="00491899" w:rsidP="006F5BE3">
            <w:pPr>
              <w:pStyle w:val="InstructionsText2"/>
              <w:rPr>
                <w:rFonts w:asciiTheme="minorHAnsi" w:hAnsiTheme="minorHAnsi"/>
                <w:sz w:val="20"/>
                <w:szCs w:val="20"/>
                <w:lang w:val="en-IE"/>
              </w:rPr>
            </w:pPr>
            <w:r w:rsidRPr="004835A7">
              <w:rPr>
                <w:rFonts w:ascii="Aptos" w:hAnsi="Aptos"/>
                <w:b/>
                <w:sz w:val="20"/>
                <w:szCs w:val="20"/>
                <w:u w:val="single"/>
                <w:lang w:val="en-IE"/>
              </w:rPr>
              <w:t xml:space="preserve">Money Remittance (Incoming) </w:t>
            </w:r>
            <w:r w:rsidR="00022BB8">
              <w:rPr>
                <w:rFonts w:ascii="Aptos" w:hAnsi="Aptos"/>
                <w:b/>
                <w:sz w:val="20"/>
                <w:szCs w:val="20"/>
                <w:u w:val="single"/>
                <w:lang w:val="en-IE"/>
              </w:rPr>
              <w:t>–</w:t>
            </w:r>
            <w:r w:rsidRPr="004835A7">
              <w:rPr>
                <w:rFonts w:ascii="Aptos" w:hAnsi="Aptos"/>
                <w:b/>
                <w:sz w:val="20"/>
                <w:szCs w:val="20"/>
                <w:u w:val="single"/>
                <w:lang w:val="en-IE"/>
              </w:rPr>
              <w:t xml:space="preserve"> </w:t>
            </w:r>
            <w:r w:rsidR="00022BB8">
              <w:rPr>
                <w:rFonts w:ascii="Aptos" w:hAnsi="Aptos"/>
                <w:b/>
                <w:sz w:val="20"/>
                <w:szCs w:val="20"/>
                <w:u w:val="single"/>
                <w:lang w:val="en-IE"/>
              </w:rPr>
              <w:t xml:space="preserve">Number </w:t>
            </w:r>
          </w:p>
          <w:p w14:paraId="77935061" w14:textId="41C60759" w:rsidR="008323DD" w:rsidRPr="008323DD" w:rsidRDefault="008323DD" w:rsidP="006F5BE3">
            <w:pPr>
              <w:pStyle w:val="InstructionsText2"/>
              <w:rPr>
                <w:rFonts w:asciiTheme="minorHAnsi" w:hAnsiTheme="minorHAnsi"/>
                <w:sz w:val="20"/>
                <w:szCs w:val="20"/>
                <w:lang w:val="en-IE"/>
              </w:rPr>
            </w:pPr>
            <w:r w:rsidRPr="451D99F9">
              <w:rPr>
                <w:rFonts w:asciiTheme="minorHAnsi" w:hAnsiTheme="minorHAnsi"/>
                <w:sz w:val="20"/>
                <w:szCs w:val="20"/>
                <w:lang w:val="en-IE"/>
              </w:rPr>
              <w:t>Transaction value should be intended as prior to the application of fees.</w:t>
            </w:r>
          </w:p>
          <w:p w14:paraId="1AB9B823" w14:textId="052E5C3D" w:rsidR="00F7093A" w:rsidRPr="00F7093A" w:rsidRDefault="00491899" w:rsidP="00757B5F">
            <w:pPr>
              <w:pStyle w:val="InstructionsText2"/>
              <w:rPr>
                <w:rStyle w:val="InstructionsTabelleberschrift"/>
                <w:rFonts w:asciiTheme="minorHAnsi" w:hAnsiTheme="minorHAnsi"/>
                <w:b w:val="0"/>
                <w:bCs w:val="0"/>
                <w:u w:val="none"/>
              </w:rPr>
            </w:pPr>
            <w:r w:rsidRPr="007978AD">
              <w:rPr>
                <w:rFonts w:asciiTheme="minorHAnsi" w:hAnsiTheme="minorHAnsi"/>
                <w:bCs/>
                <w:sz w:val="20"/>
                <w:lang w:val="en-IE"/>
              </w:rPr>
              <w:t xml:space="preserve">Indicate </w:t>
            </w:r>
            <w:r w:rsidR="00022BB8" w:rsidRPr="007978AD">
              <w:rPr>
                <w:rFonts w:asciiTheme="minorHAnsi" w:hAnsiTheme="minorHAnsi"/>
                <w:bCs/>
                <w:sz w:val="20"/>
                <w:lang w:val="en-IE"/>
              </w:rPr>
              <w:t xml:space="preserve">the total number of </w:t>
            </w:r>
            <w:r w:rsidRPr="007978AD">
              <w:rPr>
                <w:rFonts w:asciiTheme="minorHAnsi" w:hAnsiTheme="minorHAnsi"/>
                <w:bCs/>
                <w:sz w:val="20"/>
                <w:lang w:val="en-IE"/>
              </w:rPr>
              <w:t xml:space="preserve">Money Remittance </w:t>
            </w:r>
            <w:r w:rsidR="00223E5B" w:rsidRPr="007978AD">
              <w:rPr>
                <w:rFonts w:asciiTheme="minorHAnsi" w:hAnsiTheme="minorHAnsi"/>
                <w:bCs/>
                <w:sz w:val="20"/>
                <w:lang w:val="en-IE"/>
              </w:rPr>
              <w:t xml:space="preserve">payments </w:t>
            </w:r>
            <w:r w:rsidRPr="007978AD">
              <w:rPr>
                <w:rFonts w:asciiTheme="minorHAnsi" w:hAnsiTheme="minorHAnsi"/>
                <w:bCs/>
                <w:sz w:val="20"/>
                <w:lang w:val="en-IE"/>
              </w:rPr>
              <w:t xml:space="preserve">(Incoming) </w:t>
            </w:r>
            <w:r w:rsidR="007175B5">
              <w:rPr>
                <w:rFonts w:asciiTheme="minorHAnsi" w:hAnsiTheme="minorHAnsi"/>
                <w:bCs/>
                <w:sz w:val="20"/>
                <w:lang w:val="en-IE"/>
              </w:rPr>
              <w:t xml:space="preserve">processed and executed </w:t>
            </w:r>
            <w:r w:rsidRPr="007978AD">
              <w:rPr>
                <w:rFonts w:asciiTheme="minorHAnsi" w:hAnsiTheme="minorHAnsi"/>
                <w:bCs/>
                <w:sz w:val="20"/>
                <w:lang w:val="en-IE"/>
              </w:rPr>
              <w:t>during the reference year.</w:t>
            </w:r>
          </w:p>
        </w:tc>
      </w:tr>
      <w:tr w:rsidR="005E211E" w:rsidRPr="009B282E" w14:paraId="164631E6" w14:textId="77777777" w:rsidTr="006F6E2C">
        <w:tc>
          <w:tcPr>
            <w:tcW w:w="1673" w:type="dxa"/>
            <w:tcBorders>
              <w:top w:val="single" w:sz="4" w:space="0" w:color="auto"/>
              <w:left w:val="single" w:sz="4" w:space="0" w:color="auto"/>
              <w:bottom w:val="single" w:sz="4" w:space="0" w:color="auto"/>
              <w:right w:val="single" w:sz="4" w:space="0" w:color="auto"/>
            </w:tcBorders>
            <w:vAlign w:val="center"/>
          </w:tcPr>
          <w:p w14:paraId="7D92CFEC" w14:textId="19EE7FBA" w:rsidR="006F5BE3" w:rsidRPr="009275BC" w:rsidRDefault="00A87BEC"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C0020</w:t>
            </w:r>
          </w:p>
        </w:tc>
        <w:tc>
          <w:tcPr>
            <w:tcW w:w="7616" w:type="dxa"/>
            <w:tcBorders>
              <w:top w:val="nil"/>
              <w:left w:val="single" w:sz="4" w:space="0" w:color="auto"/>
              <w:bottom w:val="single" w:sz="4" w:space="0" w:color="auto"/>
              <w:right w:val="single" w:sz="4" w:space="0" w:color="auto"/>
            </w:tcBorders>
            <w:vAlign w:val="center"/>
          </w:tcPr>
          <w:p w14:paraId="0561F648" w14:textId="744DAEBA" w:rsidR="00491899" w:rsidRDefault="00491899" w:rsidP="006F5BE3">
            <w:pPr>
              <w:pStyle w:val="InstructionsText2"/>
              <w:rPr>
                <w:rFonts w:asciiTheme="minorHAnsi" w:hAnsiTheme="minorHAnsi"/>
                <w:sz w:val="20"/>
                <w:szCs w:val="20"/>
                <w:lang w:val="en-IE"/>
              </w:rPr>
            </w:pPr>
            <w:r w:rsidRPr="004835A7">
              <w:rPr>
                <w:rFonts w:ascii="Aptos" w:hAnsi="Aptos"/>
                <w:b/>
                <w:sz w:val="20"/>
                <w:szCs w:val="20"/>
                <w:u w:val="single"/>
                <w:lang w:val="en-IE"/>
              </w:rPr>
              <w:t xml:space="preserve">Money Remittance (Outgoing) </w:t>
            </w:r>
            <w:r w:rsidR="00223E5B">
              <w:rPr>
                <w:rFonts w:ascii="Aptos" w:hAnsi="Aptos"/>
                <w:b/>
                <w:sz w:val="20"/>
                <w:szCs w:val="20"/>
                <w:u w:val="single"/>
                <w:lang w:val="en-IE"/>
              </w:rPr>
              <w:t>–</w:t>
            </w:r>
            <w:r w:rsidRPr="004835A7">
              <w:rPr>
                <w:rFonts w:ascii="Aptos" w:hAnsi="Aptos"/>
                <w:b/>
                <w:sz w:val="20"/>
                <w:szCs w:val="20"/>
                <w:u w:val="single"/>
                <w:lang w:val="en-IE"/>
              </w:rPr>
              <w:t xml:space="preserve"> </w:t>
            </w:r>
            <w:r w:rsidR="00223E5B">
              <w:rPr>
                <w:rFonts w:ascii="Aptos" w:hAnsi="Aptos"/>
                <w:b/>
                <w:sz w:val="20"/>
                <w:szCs w:val="20"/>
                <w:u w:val="single"/>
                <w:lang w:val="en-IE"/>
              </w:rPr>
              <w:t xml:space="preserve">Number </w:t>
            </w:r>
          </w:p>
          <w:p w14:paraId="729E9463" w14:textId="515CA2BE" w:rsidR="008323DD" w:rsidRPr="00135B9D" w:rsidRDefault="008323DD" w:rsidP="006F5BE3">
            <w:pPr>
              <w:pStyle w:val="InstructionsText2"/>
              <w:rPr>
                <w:rFonts w:asciiTheme="minorHAnsi" w:hAnsiTheme="minorHAnsi"/>
                <w:sz w:val="20"/>
                <w:szCs w:val="20"/>
                <w:lang w:val="en-IE"/>
              </w:rPr>
            </w:pPr>
            <w:r w:rsidRPr="451D99F9">
              <w:rPr>
                <w:rFonts w:asciiTheme="minorHAnsi" w:hAnsiTheme="minorHAnsi"/>
                <w:sz w:val="20"/>
                <w:szCs w:val="20"/>
                <w:lang w:val="en-IE"/>
              </w:rPr>
              <w:t>Transaction value should be intended as prior to the application of fees.</w:t>
            </w:r>
          </w:p>
          <w:p w14:paraId="043F9510" w14:textId="365EF8F2" w:rsidR="00F7093A" w:rsidRPr="00F7093A" w:rsidRDefault="00223E5B" w:rsidP="00223E5B">
            <w:pPr>
              <w:pStyle w:val="InstructionsText2"/>
              <w:rPr>
                <w:rStyle w:val="InstructionsTabelleberschrift"/>
                <w:rFonts w:asciiTheme="minorHAnsi" w:hAnsiTheme="minorHAnsi"/>
                <w:b w:val="0"/>
                <w:bCs w:val="0"/>
                <w:u w:val="none"/>
              </w:rPr>
            </w:pPr>
            <w:r w:rsidRPr="00BA007F">
              <w:rPr>
                <w:rFonts w:asciiTheme="minorHAnsi" w:hAnsiTheme="minorHAnsi"/>
                <w:bCs/>
                <w:sz w:val="20"/>
                <w:szCs w:val="20"/>
                <w:lang w:val="en-IE"/>
              </w:rPr>
              <w:t>Indicate the total number of Money Remittance payments (</w:t>
            </w:r>
            <w:r>
              <w:rPr>
                <w:rFonts w:asciiTheme="minorHAnsi" w:hAnsiTheme="minorHAnsi"/>
                <w:bCs/>
                <w:sz w:val="20"/>
                <w:szCs w:val="20"/>
                <w:lang w:val="en-IE"/>
              </w:rPr>
              <w:t>Outgoing</w:t>
            </w:r>
            <w:r w:rsidRPr="00BA007F">
              <w:rPr>
                <w:rFonts w:asciiTheme="minorHAnsi" w:hAnsiTheme="minorHAnsi"/>
                <w:bCs/>
                <w:sz w:val="20"/>
                <w:szCs w:val="20"/>
                <w:lang w:val="en-IE"/>
              </w:rPr>
              <w:t>)</w:t>
            </w:r>
            <w:r w:rsidR="007175B5" w:rsidRPr="007978AD">
              <w:rPr>
                <w:rFonts w:asciiTheme="minorHAnsi" w:hAnsiTheme="minorHAnsi"/>
                <w:bCs/>
                <w:sz w:val="20"/>
                <w:lang w:val="en-IE"/>
              </w:rPr>
              <w:t xml:space="preserve"> </w:t>
            </w:r>
            <w:r w:rsidR="007175B5">
              <w:rPr>
                <w:rFonts w:asciiTheme="minorHAnsi" w:hAnsiTheme="minorHAnsi"/>
                <w:bCs/>
                <w:sz w:val="20"/>
                <w:lang w:val="en-IE"/>
              </w:rPr>
              <w:t>processed and executed</w:t>
            </w:r>
            <w:r w:rsidR="007175B5" w:rsidRPr="00BA007F">
              <w:rPr>
                <w:rFonts w:asciiTheme="minorHAnsi" w:hAnsiTheme="minorHAnsi"/>
                <w:bCs/>
                <w:sz w:val="20"/>
                <w:szCs w:val="20"/>
                <w:lang w:val="en-IE"/>
              </w:rPr>
              <w:t xml:space="preserve"> </w:t>
            </w:r>
            <w:r w:rsidRPr="00BA007F">
              <w:rPr>
                <w:rFonts w:asciiTheme="minorHAnsi" w:hAnsiTheme="minorHAnsi"/>
                <w:bCs/>
                <w:sz w:val="20"/>
                <w:szCs w:val="20"/>
                <w:lang w:val="en-IE"/>
              </w:rPr>
              <w:t>during the reference year.</w:t>
            </w:r>
          </w:p>
        </w:tc>
      </w:tr>
      <w:tr w:rsidR="005E211E" w:rsidRPr="009B282E" w14:paraId="34B11856" w14:textId="77777777" w:rsidTr="006F6E2C">
        <w:tc>
          <w:tcPr>
            <w:tcW w:w="1673" w:type="dxa"/>
            <w:tcBorders>
              <w:top w:val="single" w:sz="4" w:space="0" w:color="auto"/>
              <w:left w:val="single" w:sz="4" w:space="0" w:color="auto"/>
              <w:bottom w:val="single" w:sz="4" w:space="0" w:color="auto"/>
              <w:right w:val="single" w:sz="4" w:space="0" w:color="auto"/>
            </w:tcBorders>
            <w:vAlign w:val="center"/>
          </w:tcPr>
          <w:p w14:paraId="1DF5090B" w14:textId="4D5D017E" w:rsidR="006F5BE3" w:rsidRPr="009275BC" w:rsidRDefault="00A87BEC"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C0030</w:t>
            </w:r>
          </w:p>
        </w:tc>
        <w:tc>
          <w:tcPr>
            <w:tcW w:w="7616" w:type="dxa"/>
            <w:tcBorders>
              <w:top w:val="nil"/>
              <w:left w:val="single" w:sz="4" w:space="0" w:color="auto"/>
              <w:bottom w:val="single" w:sz="4" w:space="0" w:color="auto"/>
              <w:right w:val="single" w:sz="4" w:space="0" w:color="auto"/>
            </w:tcBorders>
            <w:vAlign w:val="center"/>
          </w:tcPr>
          <w:p w14:paraId="06AFED54" w14:textId="77777777" w:rsidR="00491899" w:rsidRDefault="00491899" w:rsidP="006F5BE3">
            <w:pPr>
              <w:pStyle w:val="InstructionsText2"/>
              <w:rPr>
                <w:rFonts w:asciiTheme="minorHAnsi" w:hAnsiTheme="minorHAnsi"/>
                <w:sz w:val="20"/>
                <w:szCs w:val="20"/>
                <w:lang w:val="en-IE"/>
              </w:rPr>
            </w:pPr>
            <w:r w:rsidRPr="00F57099">
              <w:rPr>
                <w:rFonts w:ascii="Aptos" w:hAnsi="Aptos"/>
                <w:b/>
                <w:sz w:val="20"/>
                <w:szCs w:val="20"/>
                <w:u w:val="single"/>
                <w:lang w:val="en-IE"/>
              </w:rPr>
              <w:t>Money Remittance (Incoming) - Value</w:t>
            </w:r>
          </w:p>
          <w:p w14:paraId="51DC5D35" w14:textId="175C454E" w:rsidR="008323DD" w:rsidRPr="00135B9D" w:rsidRDefault="008323DD" w:rsidP="006F5BE3">
            <w:pPr>
              <w:pStyle w:val="InstructionsText2"/>
              <w:rPr>
                <w:rFonts w:asciiTheme="minorHAnsi" w:hAnsiTheme="minorHAnsi"/>
                <w:sz w:val="20"/>
                <w:szCs w:val="20"/>
                <w:lang w:val="en-IE"/>
              </w:rPr>
            </w:pPr>
            <w:r w:rsidRPr="451D99F9">
              <w:rPr>
                <w:rFonts w:asciiTheme="minorHAnsi" w:hAnsiTheme="minorHAnsi"/>
                <w:sz w:val="20"/>
                <w:szCs w:val="20"/>
                <w:lang w:val="en-IE"/>
              </w:rPr>
              <w:t>Transaction value should be intended as prior to the application of fees.</w:t>
            </w:r>
          </w:p>
          <w:p w14:paraId="5C689F38" w14:textId="2A538FF0" w:rsidR="00F7093A" w:rsidRPr="00F7093A" w:rsidRDefault="00491899" w:rsidP="00757B5F">
            <w:pPr>
              <w:pStyle w:val="InstructionsText2"/>
              <w:rPr>
                <w:rStyle w:val="InstructionsTabelleberschrift"/>
                <w:rFonts w:asciiTheme="minorHAnsi" w:hAnsiTheme="minorHAnsi"/>
                <w:b w:val="0"/>
                <w:bCs w:val="0"/>
                <w:u w:val="none"/>
              </w:rPr>
            </w:pPr>
            <w:r w:rsidRPr="00691E31">
              <w:rPr>
                <w:rFonts w:asciiTheme="minorHAnsi" w:hAnsiTheme="minorHAnsi"/>
                <w:bCs/>
                <w:sz w:val="20"/>
                <w:lang w:val="en-IE"/>
              </w:rPr>
              <w:t xml:space="preserve">Indicate </w:t>
            </w:r>
            <w:r w:rsidR="00B476A3" w:rsidRPr="00691E31">
              <w:rPr>
                <w:rFonts w:asciiTheme="minorHAnsi" w:hAnsiTheme="minorHAnsi"/>
                <w:bCs/>
                <w:sz w:val="20"/>
                <w:lang w:val="en-IE"/>
              </w:rPr>
              <w:t xml:space="preserve">the total value of </w:t>
            </w:r>
            <w:r w:rsidRPr="00691E31">
              <w:rPr>
                <w:rFonts w:asciiTheme="minorHAnsi" w:hAnsiTheme="minorHAnsi"/>
                <w:bCs/>
                <w:sz w:val="20"/>
                <w:lang w:val="en-IE"/>
              </w:rPr>
              <w:t xml:space="preserve">Money Remittance </w:t>
            </w:r>
            <w:r w:rsidR="00B476A3" w:rsidRPr="00691E31">
              <w:rPr>
                <w:rFonts w:asciiTheme="minorHAnsi" w:hAnsiTheme="minorHAnsi"/>
                <w:bCs/>
                <w:sz w:val="20"/>
                <w:lang w:val="en-IE"/>
              </w:rPr>
              <w:t xml:space="preserve">payments </w:t>
            </w:r>
            <w:r w:rsidRPr="00691E31">
              <w:rPr>
                <w:rFonts w:asciiTheme="minorHAnsi" w:hAnsiTheme="minorHAnsi"/>
                <w:bCs/>
                <w:sz w:val="20"/>
                <w:lang w:val="en-IE"/>
              </w:rPr>
              <w:t xml:space="preserve">(Incoming) </w:t>
            </w:r>
            <w:r w:rsidR="007175B5">
              <w:rPr>
                <w:rFonts w:asciiTheme="minorHAnsi" w:hAnsiTheme="minorHAnsi"/>
                <w:bCs/>
                <w:sz w:val="20"/>
                <w:lang w:val="en-IE"/>
              </w:rPr>
              <w:t>processed and executed</w:t>
            </w:r>
            <w:r w:rsidR="007175B5" w:rsidRPr="00691E31">
              <w:rPr>
                <w:rFonts w:asciiTheme="minorHAnsi" w:hAnsiTheme="minorHAnsi"/>
                <w:bCs/>
                <w:sz w:val="20"/>
                <w:lang w:val="en-IE"/>
              </w:rPr>
              <w:t xml:space="preserve"> </w:t>
            </w:r>
            <w:r w:rsidRPr="00691E31">
              <w:rPr>
                <w:rFonts w:asciiTheme="minorHAnsi" w:hAnsiTheme="minorHAnsi"/>
                <w:bCs/>
                <w:sz w:val="20"/>
                <w:lang w:val="en-IE"/>
              </w:rPr>
              <w:t>during the reference year.</w:t>
            </w:r>
          </w:p>
        </w:tc>
      </w:tr>
      <w:tr w:rsidR="005E211E" w:rsidRPr="009B282E" w14:paraId="4F68C82C" w14:textId="77777777" w:rsidTr="006F6E2C">
        <w:tc>
          <w:tcPr>
            <w:tcW w:w="1673" w:type="dxa"/>
            <w:tcBorders>
              <w:top w:val="single" w:sz="4" w:space="0" w:color="auto"/>
              <w:left w:val="single" w:sz="4" w:space="0" w:color="auto"/>
              <w:bottom w:val="single" w:sz="4" w:space="0" w:color="auto"/>
              <w:right w:val="single" w:sz="4" w:space="0" w:color="auto"/>
            </w:tcBorders>
            <w:vAlign w:val="center"/>
          </w:tcPr>
          <w:p w14:paraId="08FF71CA" w14:textId="43F1E645" w:rsidR="006F5BE3" w:rsidRPr="009275BC" w:rsidRDefault="00A87BEC"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C0040</w:t>
            </w:r>
          </w:p>
        </w:tc>
        <w:tc>
          <w:tcPr>
            <w:tcW w:w="7616" w:type="dxa"/>
            <w:tcBorders>
              <w:top w:val="nil"/>
              <w:left w:val="single" w:sz="4" w:space="0" w:color="auto"/>
              <w:bottom w:val="single" w:sz="4" w:space="0" w:color="auto"/>
              <w:right w:val="single" w:sz="4" w:space="0" w:color="auto"/>
            </w:tcBorders>
            <w:vAlign w:val="center"/>
          </w:tcPr>
          <w:p w14:paraId="2BC515AB" w14:textId="77777777" w:rsidR="00491899" w:rsidRDefault="00491899" w:rsidP="006F5BE3">
            <w:pPr>
              <w:pStyle w:val="InstructionsText2"/>
              <w:rPr>
                <w:rFonts w:asciiTheme="minorHAnsi" w:hAnsiTheme="minorHAnsi"/>
                <w:sz w:val="20"/>
                <w:szCs w:val="20"/>
                <w:lang w:val="en-IE"/>
              </w:rPr>
            </w:pPr>
            <w:r w:rsidRPr="004835A7">
              <w:rPr>
                <w:rFonts w:ascii="Aptos" w:hAnsi="Aptos"/>
                <w:b/>
                <w:sz w:val="20"/>
                <w:szCs w:val="20"/>
                <w:u w:val="single"/>
                <w:lang w:val="en-IE"/>
              </w:rPr>
              <w:t>Money Remittance (Outgoing) - Value</w:t>
            </w:r>
          </w:p>
          <w:p w14:paraId="7D9FEC51" w14:textId="77777777" w:rsidR="008323DD" w:rsidRDefault="008323DD" w:rsidP="008323DD">
            <w:pPr>
              <w:pStyle w:val="InstructionsText2"/>
              <w:rPr>
                <w:rFonts w:asciiTheme="minorHAnsi" w:hAnsiTheme="minorHAnsi"/>
                <w:sz w:val="20"/>
                <w:szCs w:val="20"/>
                <w:lang w:val="en-IE"/>
              </w:rPr>
            </w:pPr>
            <w:r w:rsidRPr="451D99F9">
              <w:rPr>
                <w:rFonts w:asciiTheme="minorHAnsi" w:hAnsiTheme="minorHAnsi"/>
                <w:sz w:val="20"/>
                <w:szCs w:val="20"/>
                <w:lang w:val="en-IE"/>
              </w:rPr>
              <w:t>Transaction value should be intended as prior to the application of fees.</w:t>
            </w:r>
          </w:p>
          <w:p w14:paraId="4ABCFDFE" w14:textId="5A423EF7" w:rsidR="00F7093A" w:rsidRPr="00F7093A" w:rsidRDefault="00491899" w:rsidP="00757B5F">
            <w:pPr>
              <w:pStyle w:val="InstructionsText2"/>
              <w:rPr>
                <w:rStyle w:val="InstructionsTabelleberschrift"/>
                <w:rFonts w:asciiTheme="minorHAnsi" w:hAnsiTheme="minorHAnsi"/>
                <w:b w:val="0"/>
                <w:bCs w:val="0"/>
                <w:u w:val="none"/>
              </w:rPr>
            </w:pPr>
            <w:r w:rsidRPr="004835A7">
              <w:rPr>
                <w:rFonts w:asciiTheme="minorHAnsi" w:hAnsiTheme="minorHAnsi"/>
                <w:bCs/>
                <w:sz w:val="20"/>
                <w:lang w:val="en-IE"/>
              </w:rPr>
              <w:t xml:space="preserve">Indicate </w:t>
            </w:r>
            <w:r w:rsidR="00474E62" w:rsidRPr="004835A7">
              <w:rPr>
                <w:rFonts w:asciiTheme="minorHAnsi" w:hAnsiTheme="minorHAnsi"/>
                <w:bCs/>
                <w:sz w:val="20"/>
                <w:lang w:val="en-IE"/>
              </w:rPr>
              <w:t xml:space="preserve">the total value of </w:t>
            </w:r>
            <w:r w:rsidRPr="004835A7">
              <w:rPr>
                <w:rFonts w:asciiTheme="minorHAnsi" w:hAnsiTheme="minorHAnsi"/>
                <w:bCs/>
                <w:sz w:val="20"/>
                <w:lang w:val="en-IE"/>
              </w:rPr>
              <w:t xml:space="preserve">Money Remittance </w:t>
            </w:r>
            <w:r w:rsidR="00474E62" w:rsidRPr="004835A7">
              <w:rPr>
                <w:rFonts w:asciiTheme="minorHAnsi" w:hAnsiTheme="minorHAnsi"/>
                <w:bCs/>
                <w:sz w:val="20"/>
                <w:lang w:val="en-IE"/>
              </w:rPr>
              <w:t xml:space="preserve">payments </w:t>
            </w:r>
            <w:r w:rsidRPr="004835A7">
              <w:rPr>
                <w:rFonts w:asciiTheme="minorHAnsi" w:hAnsiTheme="minorHAnsi"/>
                <w:bCs/>
                <w:sz w:val="20"/>
                <w:lang w:val="en-IE"/>
              </w:rPr>
              <w:t xml:space="preserve">(Outgoing) </w:t>
            </w:r>
            <w:r w:rsidR="007175B5">
              <w:rPr>
                <w:rFonts w:asciiTheme="minorHAnsi" w:hAnsiTheme="minorHAnsi"/>
                <w:bCs/>
                <w:sz w:val="20"/>
                <w:lang w:val="en-IE"/>
              </w:rPr>
              <w:t>processed and executed</w:t>
            </w:r>
            <w:r w:rsidR="007175B5" w:rsidRPr="004835A7">
              <w:rPr>
                <w:rFonts w:asciiTheme="minorHAnsi" w:hAnsiTheme="minorHAnsi"/>
                <w:bCs/>
                <w:sz w:val="20"/>
                <w:lang w:val="en-IE"/>
              </w:rPr>
              <w:t xml:space="preserve"> </w:t>
            </w:r>
            <w:r w:rsidRPr="004835A7">
              <w:rPr>
                <w:rFonts w:asciiTheme="minorHAnsi" w:hAnsiTheme="minorHAnsi"/>
                <w:bCs/>
                <w:sz w:val="20"/>
                <w:lang w:val="en-IE"/>
              </w:rPr>
              <w:t>during the reference year.</w:t>
            </w:r>
          </w:p>
        </w:tc>
      </w:tr>
      <w:tr w:rsidR="005E211E" w:rsidRPr="009B282E" w14:paraId="43894591" w14:textId="77777777" w:rsidTr="006F6E2C">
        <w:tc>
          <w:tcPr>
            <w:tcW w:w="1673" w:type="dxa"/>
            <w:tcBorders>
              <w:top w:val="single" w:sz="4" w:space="0" w:color="auto"/>
              <w:left w:val="single" w:sz="4" w:space="0" w:color="auto"/>
              <w:bottom w:val="single" w:sz="4" w:space="0" w:color="auto"/>
              <w:right w:val="single" w:sz="4" w:space="0" w:color="auto"/>
            </w:tcBorders>
            <w:vAlign w:val="center"/>
          </w:tcPr>
          <w:p w14:paraId="01D42418" w14:textId="01648B8C" w:rsidR="006F5BE3" w:rsidRPr="009275BC" w:rsidRDefault="00A87BEC"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C0050</w:t>
            </w:r>
          </w:p>
        </w:tc>
        <w:tc>
          <w:tcPr>
            <w:tcW w:w="7616" w:type="dxa"/>
            <w:tcBorders>
              <w:top w:val="nil"/>
              <w:left w:val="single" w:sz="4" w:space="0" w:color="auto"/>
              <w:bottom w:val="single" w:sz="4" w:space="0" w:color="auto"/>
              <w:right w:val="single" w:sz="4" w:space="0" w:color="auto"/>
            </w:tcBorders>
            <w:vAlign w:val="center"/>
          </w:tcPr>
          <w:p w14:paraId="67890ECE" w14:textId="6EA24A0C" w:rsidR="00491899" w:rsidRDefault="00491899" w:rsidP="006F5BE3">
            <w:pPr>
              <w:pStyle w:val="InstructionsText2"/>
              <w:rPr>
                <w:rFonts w:asciiTheme="minorHAnsi" w:hAnsiTheme="minorHAnsi"/>
                <w:sz w:val="20"/>
                <w:szCs w:val="20"/>
                <w:lang w:val="en-IE"/>
              </w:rPr>
            </w:pPr>
            <w:r w:rsidRPr="004101DD">
              <w:rPr>
                <w:rFonts w:ascii="Aptos" w:hAnsi="Aptos"/>
                <w:b/>
                <w:sz w:val="20"/>
                <w:szCs w:val="20"/>
                <w:u w:val="single"/>
                <w:lang w:val="en-IE"/>
              </w:rPr>
              <w:t xml:space="preserve">Money Remittance (Incoming) &gt; EUR 1000 - </w:t>
            </w:r>
            <w:r w:rsidR="00474E62">
              <w:rPr>
                <w:rFonts w:ascii="Aptos" w:hAnsi="Aptos"/>
                <w:b/>
                <w:sz w:val="20"/>
                <w:szCs w:val="20"/>
                <w:u w:val="single"/>
                <w:lang w:val="en-IE"/>
              </w:rPr>
              <w:t>Number</w:t>
            </w:r>
          </w:p>
          <w:p w14:paraId="649245C6" w14:textId="148A62C6" w:rsidR="00491899" w:rsidRDefault="00D14CF1" w:rsidP="00D14CF1">
            <w:pPr>
              <w:pStyle w:val="InstructionsText2"/>
              <w:rPr>
                <w:rFonts w:asciiTheme="minorHAnsi" w:hAnsiTheme="minorHAnsi"/>
                <w:sz w:val="20"/>
                <w:szCs w:val="20"/>
                <w:lang w:val="en-IE"/>
              </w:rPr>
            </w:pPr>
            <w:r w:rsidRPr="451D99F9">
              <w:rPr>
                <w:rFonts w:asciiTheme="minorHAnsi" w:hAnsiTheme="minorHAnsi"/>
                <w:sz w:val="20"/>
                <w:szCs w:val="20"/>
                <w:lang w:val="en-IE"/>
              </w:rPr>
              <w:t xml:space="preserve">Transaction value </w:t>
            </w:r>
            <w:r w:rsidR="008702F1" w:rsidRPr="451D99F9">
              <w:rPr>
                <w:rFonts w:asciiTheme="minorHAnsi" w:hAnsiTheme="minorHAnsi"/>
                <w:sz w:val="20"/>
                <w:szCs w:val="20"/>
                <w:lang w:val="en-IE"/>
              </w:rPr>
              <w:t xml:space="preserve">should be intended as </w:t>
            </w:r>
            <w:r w:rsidRPr="451D99F9">
              <w:rPr>
                <w:rFonts w:asciiTheme="minorHAnsi" w:hAnsiTheme="minorHAnsi"/>
                <w:sz w:val="20"/>
                <w:szCs w:val="20"/>
                <w:lang w:val="en-IE"/>
              </w:rPr>
              <w:t>prior to the application of fees</w:t>
            </w:r>
            <w:r w:rsidR="008702F1" w:rsidRPr="451D99F9">
              <w:rPr>
                <w:rFonts w:asciiTheme="minorHAnsi" w:hAnsiTheme="minorHAnsi"/>
                <w:sz w:val="20"/>
                <w:szCs w:val="20"/>
                <w:lang w:val="en-IE"/>
              </w:rPr>
              <w:t>.</w:t>
            </w:r>
          </w:p>
          <w:p w14:paraId="393B5B4A" w14:textId="7EFCAB72" w:rsidR="00F7093A" w:rsidRDefault="008702F1" w:rsidP="00FE6F33">
            <w:pPr>
              <w:pStyle w:val="InstructionsText2"/>
              <w:rPr>
                <w:rStyle w:val="InstructionsTabelleberschrift"/>
                <w:rFonts w:asciiTheme="minorHAnsi" w:hAnsiTheme="minorHAnsi"/>
                <w:b w:val="0"/>
                <w:bCs w:val="0"/>
                <w:u w:val="none"/>
              </w:rPr>
            </w:pPr>
            <w:r w:rsidRPr="00B47825">
              <w:rPr>
                <w:rStyle w:val="InstructionsTabelleberschrift"/>
                <w:rFonts w:asciiTheme="minorHAnsi" w:hAnsiTheme="minorHAnsi"/>
                <w:b w:val="0"/>
                <w:bCs w:val="0"/>
                <w:u w:val="none"/>
              </w:rPr>
              <w:t xml:space="preserve">Indicate the total number of money remittance transactions </w:t>
            </w:r>
            <w:r w:rsidR="005A52AC">
              <w:rPr>
                <w:rFonts w:asciiTheme="minorHAnsi" w:hAnsiTheme="minorHAnsi"/>
                <w:bCs/>
                <w:sz w:val="20"/>
                <w:lang w:val="en-IE"/>
              </w:rPr>
              <w:t>processed and executed</w:t>
            </w:r>
            <w:r w:rsidR="005A52AC" w:rsidRPr="00B47825">
              <w:rPr>
                <w:rStyle w:val="InstructionsTabelleberschrift"/>
                <w:rFonts w:asciiTheme="minorHAnsi" w:hAnsiTheme="minorHAnsi"/>
                <w:b w:val="0"/>
                <w:bCs w:val="0"/>
                <w:u w:val="none"/>
              </w:rPr>
              <w:t xml:space="preserve"> </w:t>
            </w:r>
            <w:r w:rsidRPr="00B47825">
              <w:rPr>
                <w:rStyle w:val="InstructionsTabelleberschrift"/>
                <w:rFonts w:asciiTheme="minorHAnsi" w:hAnsiTheme="minorHAnsi"/>
                <w:b w:val="0"/>
                <w:bCs w:val="0"/>
                <w:u w:val="none"/>
              </w:rPr>
              <w:t xml:space="preserve">above </w:t>
            </w:r>
            <w:r w:rsidR="00BE50FB">
              <w:rPr>
                <w:rStyle w:val="InstructionsTabelleberschrift"/>
                <w:rFonts w:asciiTheme="minorHAnsi" w:hAnsiTheme="minorHAnsi"/>
                <w:b w:val="0"/>
                <w:bCs w:val="0"/>
                <w:u w:val="none"/>
              </w:rPr>
              <w:t>EUR</w:t>
            </w:r>
            <w:r w:rsidRPr="00B47825">
              <w:rPr>
                <w:rStyle w:val="InstructionsTabelleberschrift"/>
                <w:rFonts w:asciiTheme="minorHAnsi" w:hAnsiTheme="minorHAnsi"/>
                <w:b w:val="0"/>
                <w:bCs w:val="0"/>
                <w:u w:val="none"/>
              </w:rPr>
              <w:t xml:space="preserve"> 1</w:t>
            </w:r>
            <w:r w:rsidR="00BE50FB">
              <w:rPr>
                <w:rStyle w:val="InstructionsTabelleberschrift"/>
                <w:rFonts w:asciiTheme="minorHAnsi" w:hAnsiTheme="minorHAnsi"/>
                <w:b w:val="0"/>
                <w:bCs w:val="0"/>
                <w:u w:val="none"/>
              </w:rPr>
              <w:t>.</w:t>
            </w:r>
            <w:r w:rsidRPr="00B47825">
              <w:rPr>
                <w:rStyle w:val="InstructionsTabelleberschrift"/>
                <w:rFonts w:asciiTheme="minorHAnsi" w:hAnsiTheme="minorHAnsi"/>
                <w:b w:val="0"/>
                <w:bCs w:val="0"/>
                <w:u w:val="none"/>
              </w:rPr>
              <w:t>000 (incoming)</w:t>
            </w:r>
            <w:r w:rsidR="00450785">
              <w:rPr>
                <w:rStyle w:val="InstructionsTabelleberschrift"/>
                <w:rFonts w:asciiTheme="minorHAnsi" w:hAnsiTheme="minorHAnsi"/>
                <w:b w:val="0"/>
                <w:bCs w:val="0"/>
                <w:u w:val="none"/>
              </w:rPr>
              <w:t xml:space="preserve"> </w:t>
            </w:r>
            <w:r w:rsidR="00450785">
              <w:rPr>
                <w:rFonts w:asciiTheme="minorHAnsi" w:hAnsiTheme="minorHAnsi"/>
                <w:sz w:val="20"/>
                <w:lang w:val="en-IE"/>
              </w:rPr>
              <w:t>during the reference year</w:t>
            </w:r>
            <w:r w:rsidR="001E2B30" w:rsidRPr="00B47825">
              <w:rPr>
                <w:rStyle w:val="InstructionsTabelleberschrift"/>
                <w:rFonts w:asciiTheme="minorHAnsi" w:hAnsiTheme="minorHAnsi"/>
                <w:b w:val="0"/>
                <w:bCs w:val="0"/>
                <w:u w:val="none"/>
              </w:rPr>
              <w:t>.</w:t>
            </w:r>
          </w:p>
          <w:p w14:paraId="4279539B" w14:textId="079EBA44" w:rsidR="00F7093A" w:rsidRPr="00FE6F33" w:rsidRDefault="00F33B44" w:rsidP="00FE6F33">
            <w:pPr>
              <w:pStyle w:val="InstructionsText2"/>
              <w:rPr>
                <w:rStyle w:val="InstructionsTabelleberschrift"/>
                <w:rFonts w:asciiTheme="minorHAnsi" w:hAnsiTheme="minorHAnsi"/>
                <w:b w:val="0"/>
                <w:bCs w:val="0"/>
                <w:u w:val="none"/>
              </w:rPr>
            </w:pPr>
            <w:r w:rsidRPr="00F33B44">
              <w:rPr>
                <w:rStyle w:val="InstructionsTabelleberschrift"/>
                <w:rFonts w:asciiTheme="minorHAnsi" w:hAnsiTheme="minorHAnsi"/>
                <w:b w:val="0"/>
                <w:bCs w:val="0"/>
                <w:u w:val="none"/>
              </w:rPr>
              <w:t>Only individual outgoing money remittance transactions with a transaction amount over EUR 1</w:t>
            </w:r>
            <w:r w:rsidR="009A6999">
              <w:rPr>
                <w:rStyle w:val="InstructionsTabelleberschrift"/>
                <w:rFonts w:asciiTheme="minorHAnsi" w:hAnsiTheme="minorHAnsi"/>
                <w:b w:val="0"/>
                <w:bCs w:val="0"/>
                <w:u w:val="none"/>
              </w:rPr>
              <w:t>.</w:t>
            </w:r>
            <w:r w:rsidRPr="00F33B44">
              <w:rPr>
                <w:rStyle w:val="InstructionsTabelleberschrift"/>
                <w:rFonts w:asciiTheme="minorHAnsi" w:hAnsiTheme="minorHAnsi"/>
                <w:b w:val="0"/>
                <w:bCs w:val="0"/>
                <w:u w:val="none"/>
              </w:rPr>
              <w:t>000 should be counted. Aggregated or cumulative totals are not included.</w:t>
            </w:r>
          </w:p>
        </w:tc>
      </w:tr>
      <w:tr w:rsidR="005E211E" w:rsidRPr="009B282E" w14:paraId="6F439BF5" w14:textId="77777777" w:rsidTr="006F6E2C">
        <w:tc>
          <w:tcPr>
            <w:tcW w:w="1673" w:type="dxa"/>
            <w:tcBorders>
              <w:top w:val="single" w:sz="4" w:space="0" w:color="auto"/>
              <w:left w:val="single" w:sz="4" w:space="0" w:color="auto"/>
              <w:bottom w:val="single" w:sz="4" w:space="0" w:color="auto"/>
              <w:right w:val="single" w:sz="4" w:space="0" w:color="auto"/>
            </w:tcBorders>
            <w:vAlign w:val="center"/>
          </w:tcPr>
          <w:p w14:paraId="043E9782" w14:textId="53F8279F" w:rsidR="006F5BE3" w:rsidRPr="009275BC" w:rsidRDefault="00A87BEC" w:rsidP="00F32516">
            <w:pPr>
              <w:pStyle w:val="InstructionsText"/>
              <w:rPr>
                <w:rStyle w:val="FormatvorlageInstructionsTabelleText"/>
                <w:rFonts w:asciiTheme="minorHAnsi" w:hAnsiTheme="minorHAnsi"/>
                <w:bCs/>
              </w:rPr>
            </w:pPr>
            <w:r w:rsidRPr="009275BC">
              <w:rPr>
                <w:rStyle w:val="FormatvorlageInstructionsTabelleText"/>
                <w:rFonts w:asciiTheme="minorHAnsi" w:hAnsiTheme="minorHAnsi"/>
              </w:rPr>
              <w:t>C00</w:t>
            </w:r>
            <w:r w:rsidR="00AC2E7F" w:rsidRPr="009275BC">
              <w:rPr>
                <w:rStyle w:val="FormatvorlageInstructionsTabelleText"/>
                <w:rFonts w:asciiTheme="minorHAnsi" w:hAnsiTheme="minorHAnsi"/>
              </w:rPr>
              <w:t>6</w:t>
            </w:r>
            <w:r w:rsidRPr="009275BC">
              <w:rPr>
                <w:rStyle w:val="FormatvorlageInstructionsTabelleText"/>
                <w:rFonts w:asciiTheme="minorHAnsi" w:hAnsiTheme="minorHAnsi"/>
              </w:rPr>
              <w:t>0</w:t>
            </w:r>
          </w:p>
        </w:tc>
        <w:tc>
          <w:tcPr>
            <w:tcW w:w="7616" w:type="dxa"/>
            <w:tcBorders>
              <w:top w:val="nil"/>
              <w:left w:val="single" w:sz="4" w:space="0" w:color="auto"/>
              <w:bottom w:val="single" w:sz="8" w:space="0" w:color="auto"/>
              <w:right w:val="single" w:sz="4" w:space="0" w:color="auto"/>
            </w:tcBorders>
            <w:vAlign w:val="center"/>
          </w:tcPr>
          <w:p w14:paraId="2A009CD6" w14:textId="3004CCE6" w:rsidR="00491899" w:rsidRDefault="00491899" w:rsidP="006F5BE3">
            <w:pPr>
              <w:pStyle w:val="InstructionsText2"/>
              <w:rPr>
                <w:rFonts w:asciiTheme="minorHAnsi" w:hAnsiTheme="minorHAnsi"/>
                <w:sz w:val="20"/>
                <w:szCs w:val="20"/>
                <w:lang w:val="en-IE"/>
              </w:rPr>
            </w:pPr>
            <w:r w:rsidRPr="004101DD">
              <w:rPr>
                <w:rFonts w:ascii="Aptos" w:hAnsi="Aptos"/>
                <w:b/>
                <w:sz w:val="20"/>
                <w:szCs w:val="20"/>
                <w:u w:val="single"/>
                <w:lang w:val="en-IE"/>
              </w:rPr>
              <w:t>Money Remittance (Outgoing) &gt; EUR 1000 - Volume</w:t>
            </w:r>
          </w:p>
          <w:p w14:paraId="742001C7" w14:textId="7E05B438" w:rsidR="00491899" w:rsidRDefault="00D14CF1" w:rsidP="00D14CF1">
            <w:pPr>
              <w:pStyle w:val="InstructionsText2"/>
              <w:rPr>
                <w:rFonts w:asciiTheme="minorHAnsi" w:hAnsiTheme="minorHAnsi"/>
                <w:sz w:val="20"/>
                <w:szCs w:val="20"/>
                <w:lang w:val="en-IE"/>
              </w:rPr>
            </w:pPr>
            <w:r w:rsidRPr="478281BF">
              <w:rPr>
                <w:rFonts w:asciiTheme="minorHAnsi" w:hAnsiTheme="minorHAnsi"/>
                <w:sz w:val="20"/>
                <w:szCs w:val="20"/>
                <w:lang w:val="en-IE"/>
              </w:rPr>
              <w:t xml:space="preserve">Transaction </w:t>
            </w:r>
            <w:r w:rsidR="005C61AC" w:rsidRPr="478281BF">
              <w:rPr>
                <w:rFonts w:asciiTheme="minorHAnsi" w:hAnsiTheme="minorHAnsi"/>
                <w:sz w:val="20"/>
                <w:szCs w:val="20"/>
                <w:lang w:val="en-IE"/>
              </w:rPr>
              <w:t xml:space="preserve">value should be intended </w:t>
            </w:r>
            <w:r w:rsidRPr="478281BF">
              <w:rPr>
                <w:rFonts w:asciiTheme="minorHAnsi" w:hAnsiTheme="minorHAnsi"/>
                <w:sz w:val="20"/>
                <w:szCs w:val="20"/>
                <w:lang w:val="en-IE"/>
              </w:rPr>
              <w:t>prior to the application of fees</w:t>
            </w:r>
            <w:r w:rsidR="005C61AC" w:rsidRPr="478281BF">
              <w:rPr>
                <w:rFonts w:asciiTheme="minorHAnsi" w:hAnsiTheme="minorHAnsi"/>
                <w:sz w:val="20"/>
                <w:szCs w:val="20"/>
                <w:lang w:val="en-IE"/>
              </w:rPr>
              <w:t>.</w:t>
            </w:r>
          </w:p>
          <w:p w14:paraId="78C582C1" w14:textId="607A4857" w:rsidR="00D14CF1" w:rsidRDefault="00450785" w:rsidP="00450785">
            <w:pPr>
              <w:pStyle w:val="InstructionsText2"/>
              <w:rPr>
                <w:rStyle w:val="InstructionsTabelleberschrift"/>
                <w:rFonts w:asciiTheme="minorHAnsi" w:hAnsiTheme="minorHAnsi"/>
                <w:b w:val="0"/>
                <w:bCs w:val="0"/>
                <w:u w:val="none"/>
              </w:rPr>
            </w:pPr>
            <w:r w:rsidRPr="00BA007F">
              <w:rPr>
                <w:rStyle w:val="InstructionsTabelleberschrift"/>
                <w:rFonts w:asciiTheme="minorHAnsi" w:hAnsiTheme="minorHAnsi"/>
                <w:b w:val="0"/>
                <w:bCs w:val="0"/>
                <w:u w:val="none"/>
              </w:rPr>
              <w:t xml:space="preserve">Indicate the total number of money remittance transactions </w:t>
            </w:r>
            <w:r w:rsidR="005A52AC">
              <w:rPr>
                <w:rFonts w:asciiTheme="minorHAnsi" w:hAnsiTheme="minorHAnsi"/>
                <w:bCs/>
                <w:sz w:val="20"/>
                <w:lang w:val="en-IE"/>
              </w:rPr>
              <w:t>processed and executed</w:t>
            </w:r>
            <w:r w:rsidR="005A52AC" w:rsidRPr="00BA007F">
              <w:rPr>
                <w:rStyle w:val="InstructionsTabelleberschrift"/>
                <w:rFonts w:asciiTheme="minorHAnsi" w:hAnsiTheme="minorHAnsi"/>
                <w:b w:val="0"/>
                <w:bCs w:val="0"/>
                <w:u w:val="none"/>
              </w:rPr>
              <w:t xml:space="preserve"> </w:t>
            </w:r>
            <w:r w:rsidRPr="00BA007F">
              <w:rPr>
                <w:rStyle w:val="InstructionsTabelleberschrift"/>
                <w:rFonts w:asciiTheme="minorHAnsi" w:hAnsiTheme="minorHAnsi"/>
                <w:b w:val="0"/>
                <w:bCs w:val="0"/>
                <w:u w:val="none"/>
              </w:rPr>
              <w:t xml:space="preserve">above </w:t>
            </w:r>
            <w:r w:rsidR="00E075A4">
              <w:rPr>
                <w:rStyle w:val="InstructionsTabelleberschrift"/>
                <w:rFonts w:asciiTheme="minorHAnsi" w:hAnsiTheme="minorHAnsi"/>
                <w:b w:val="0"/>
                <w:bCs w:val="0"/>
                <w:u w:val="none"/>
              </w:rPr>
              <w:t xml:space="preserve">EUR </w:t>
            </w:r>
            <w:r w:rsidRPr="00BA007F">
              <w:rPr>
                <w:rStyle w:val="InstructionsTabelleberschrift"/>
                <w:rFonts w:asciiTheme="minorHAnsi" w:hAnsiTheme="minorHAnsi"/>
                <w:b w:val="0"/>
                <w:bCs w:val="0"/>
                <w:u w:val="none"/>
              </w:rPr>
              <w:t>1</w:t>
            </w:r>
            <w:r w:rsidR="00E075A4">
              <w:rPr>
                <w:rStyle w:val="InstructionsTabelleberschrift"/>
                <w:rFonts w:asciiTheme="minorHAnsi" w:hAnsiTheme="minorHAnsi"/>
                <w:b w:val="0"/>
                <w:bCs w:val="0"/>
                <w:u w:val="none"/>
              </w:rPr>
              <w:t>.</w:t>
            </w:r>
            <w:r w:rsidRPr="00BA007F">
              <w:rPr>
                <w:rStyle w:val="InstructionsTabelleberschrift"/>
                <w:rFonts w:asciiTheme="minorHAnsi" w:hAnsiTheme="minorHAnsi"/>
                <w:b w:val="0"/>
                <w:bCs w:val="0"/>
                <w:u w:val="none"/>
              </w:rPr>
              <w:t>000 (</w:t>
            </w:r>
            <w:r>
              <w:rPr>
                <w:rStyle w:val="InstructionsTabelleberschrift"/>
                <w:rFonts w:asciiTheme="minorHAnsi" w:hAnsiTheme="minorHAnsi"/>
                <w:b w:val="0"/>
                <w:bCs w:val="0"/>
                <w:u w:val="none"/>
              </w:rPr>
              <w:t>Outgoing</w:t>
            </w:r>
            <w:r w:rsidRPr="00BA007F">
              <w:rPr>
                <w:rStyle w:val="InstructionsTabelleberschrift"/>
                <w:rFonts w:asciiTheme="minorHAnsi" w:hAnsiTheme="minorHAnsi"/>
                <w:b w:val="0"/>
                <w:bCs w:val="0"/>
                <w:u w:val="none"/>
              </w:rPr>
              <w:t>)</w:t>
            </w:r>
            <w:r>
              <w:rPr>
                <w:rStyle w:val="InstructionsTabelleberschrift"/>
                <w:rFonts w:asciiTheme="minorHAnsi" w:hAnsiTheme="minorHAnsi"/>
                <w:b w:val="0"/>
                <w:bCs w:val="0"/>
                <w:u w:val="none"/>
              </w:rPr>
              <w:t xml:space="preserve"> </w:t>
            </w:r>
            <w:r>
              <w:rPr>
                <w:rFonts w:asciiTheme="minorHAnsi" w:hAnsiTheme="minorHAnsi"/>
                <w:sz w:val="20"/>
                <w:lang w:val="en-IE"/>
              </w:rPr>
              <w:t>during the reference year</w:t>
            </w:r>
            <w:r w:rsidRPr="00BA007F">
              <w:rPr>
                <w:rStyle w:val="InstructionsTabelleberschrift"/>
                <w:rFonts w:asciiTheme="minorHAnsi" w:hAnsiTheme="minorHAnsi"/>
                <w:b w:val="0"/>
                <w:bCs w:val="0"/>
                <w:u w:val="none"/>
              </w:rPr>
              <w:t>.</w:t>
            </w:r>
          </w:p>
          <w:p w14:paraId="704702CE" w14:textId="152801A9" w:rsidR="00D14CF1" w:rsidRPr="00F7093A" w:rsidRDefault="00F33B44" w:rsidP="00450785">
            <w:pPr>
              <w:pStyle w:val="InstructionsText2"/>
              <w:rPr>
                <w:rStyle w:val="InstructionsTabelleberschrift"/>
                <w:rFonts w:asciiTheme="minorHAnsi" w:hAnsiTheme="minorHAnsi"/>
                <w:b w:val="0"/>
                <w:bCs w:val="0"/>
                <w:u w:val="none"/>
              </w:rPr>
            </w:pPr>
            <w:r w:rsidRPr="00F33B44">
              <w:rPr>
                <w:rStyle w:val="InstructionsTabelleberschrift"/>
                <w:rFonts w:asciiTheme="minorHAnsi" w:hAnsiTheme="minorHAnsi"/>
                <w:b w:val="0"/>
                <w:bCs w:val="0"/>
                <w:u w:val="none"/>
              </w:rPr>
              <w:t>Only individual outgoing money remittance transactions with a transaction amount over EUR 1</w:t>
            </w:r>
            <w:r w:rsidR="00E075A4">
              <w:rPr>
                <w:rStyle w:val="InstructionsTabelleberschrift"/>
                <w:rFonts w:asciiTheme="minorHAnsi" w:hAnsiTheme="minorHAnsi"/>
                <w:b w:val="0"/>
                <w:bCs w:val="0"/>
                <w:u w:val="none"/>
              </w:rPr>
              <w:t>.</w:t>
            </w:r>
            <w:r w:rsidRPr="00F33B44">
              <w:rPr>
                <w:rStyle w:val="InstructionsTabelleberschrift"/>
                <w:rFonts w:asciiTheme="minorHAnsi" w:hAnsiTheme="minorHAnsi"/>
                <w:b w:val="0"/>
                <w:bCs w:val="0"/>
                <w:u w:val="none"/>
              </w:rPr>
              <w:t>000 should be counted. Aggregated or cumulative totals are not included.</w:t>
            </w:r>
          </w:p>
        </w:tc>
      </w:tr>
    </w:tbl>
    <w:p w14:paraId="16BF47B8" w14:textId="0328F377" w:rsidR="00F84E76" w:rsidRPr="009B282E" w:rsidRDefault="00AC2E7F" w:rsidP="00CB14A2">
      <w:pPr>
        <w:pStyle w:val="Heading3"/>
        <w:rPr>
          <w:lang w:val="en-GB"/>
        </w:rPr>
      </w:pPr>
      <w:bookmarkStart w:id="156" w:name="_Toc223018909"/>
      <w:bookmarkStart w:id="157" w:name="_Toc223021707"/>
      <w:bookmarkStart w:id="158" w:name="_Toc223086557"/>
      <w:bookmarkStart w:id="159" w:name="_Toc223086651"/>
      <w:bookmarkStart w:id="160" w:name="_Toc223086745"/>
      <w:bookmarkStart w:id="161" w:name="_Toc223086839"/>
      <w:bookmarkStart w:id="162" w:name="_Toc221355979"/>
      <w:bookmarkStart w:id="163" w:name="_Toc223104845"/>
      <w:bookmarkEnd w:id="156"/>
      <w:bookmarkEnd w:id="157"/>
      <w:bookmarkEnd w:id="158"/>
      <w:bookmarkEnd w:id="159"/>
      <w:bookmarkEnd w:id="160"/>
      <w:bookmarkEnd w:id="161"/>
      <w:r w:rsidRPr="009B282E">
        <w:rPr>
          <w:lang w:val="en-GB"/>
        </w:rPr>
        <w:t xml:space="preserve">AML.04.03 </w:t>
      </w:r>
      <w:r w:rsidR="00F84E76" w:rsidRPr="009B282E">
        <w:rPr>
          <w:lang w:val="en-GB"/>
        </w:rPr>
        <w:t>Wealth Management</w:t>
      </w:r>
      <w:bookmarkEnd w:id="162"/>
      <w:bookmarkEnd w:id="163"/>
    </w:p>
    <w:p w14:paraId="5B658E4A" w14:textId="77777777" w:rsidR="006B6D53" w:rsidRPr="00A017EB" w:rsidRDefault="006B6D53" w:rsidP="006B6D53">
      <w:pPr>
        <w:rPr>
          <w:rFonts w:asciiTheme="minorHAnsi" w:hAnsiTheme="minorHAnsi"/>
          <w:b/>
          <w:bCs/>
          <w:iCs/>
        </w:rPr>
      </w:pPr>
      <w:r w:rsidRPr="00A017EB">
        <w:rPr>
          <w:rFonts w:asciiTheme="minorHAnsi" w:hAnsiTheme="minorHAnsi"/>
          <w:b/>
          <w:bCs/>
          <w:iCs/>
        </w:rPr>
        <w:t>Template Remarks</w:t>
      </w:r>
    </w:p>
    <w:p w14:paraId="62108931" w14:textId="5245E529" w:rsidR="006B6D53" w:rsidRDefault="006B6D53" w:rsidP="006B6D53">
      <w:pPr>
        <w:jc w:val="both"/>
        <w:rPr>
          <w:rFonts w:asciiTheme="minorHAnsi" w:hAnsiTheme="minorHAnsi"/>
          <w:bCs/>
          <w:iCs/>
        </w:rPr>
      </w:pPr>
      <w:r w:rsidRPr="00A017EB">
        <w:rPr>
          <w:rFonts w:asciiTheme="minorHAnsi" w:hAnsiTheme="minorHAnsi"/>
          <w:lang w:val="en-GB"/>
        </w:rPr>
        <w:t xml:space="preserve">Fill out this template if you </w:t>
      </w:r>
      <w:r w:rsidRPr="00A017EB">
        <w:rPr>
          <w:rFonts w:asciiTheme="minorHAnsi" w:hAnsiTheme="minorHAnsi"/>
        </w:rPr>
        <w:t xml:space="preserve">offer some of these services and/or products, normally this template is applicable for </w:t>
      </w:r>
      <w:r w:rsidRPr="003B7B62">
        <w:rPr>
          <w:rFonts w:asciiTheme="minorHAnsi" w:hAnsiTheme="minorHAnsi"/>
          <w:bCs/>
          <w:iCs/>
        </w:rPr>
        <w:t xml:space="preserve">CI, </w:t>
      </w:r>
      <w:r>
        <w:rPr>
          <w:rFonts w:asciiTheme="minorHAnsi" w:hAnsiTheme="minorHAnsi"/>
          <w:bCs/>
          <w:iCs/>
        </w:rPr>
        <w:t>LI, IF and CASP</w:t>
      </w:r>
      <w:r w:rsidRPr="00A017EB">
        <w:rPr>
          <w:rFonts w:asciiTheme="minorHAnsi" w:hAnsiTheme="minorHAnsi"/>
        </w:rPr>
        <w:t>.</w:t>
      </w:r>
    </w:p>
    <w:p w14:paraId="38F5B0BC" w14:textId="77777777" w:rsidR="007A1E8C" w:rsidRDefault="00DD6856" w:rsidP="0059437C">
      <w:pPr>
        <w:rPr>
          <w:rFonts w:asciiTheme="minorHAnsi" w:hAnsiTheme="minorHAnsi"/>
          <w:lang w:val="en-GB"/>
        </w:rPr>
      </w:pPr>
      <w:r w:rsidRPr="00D14CF1">
        <w:rPr>
          <w:rFonts w:asciiTheme="minorHAnsi" w:hAnsiTheme="minorHAnsi"/>
          <w:lang w:val="en-GB"/>
        </w:rPr>
        <w:t>Wealth management encompasses all ‘banking and other financial services to high-net worth individuals and their families or businesses’, according to the</w:t>
      </w:r>
      <w:r w:rsidR="00555393" w:rsidRPr="00555393">
        <w:rPr>
          <w:rFonts w:asciiTheme="minorHAnsi" w:hAnsiTheme="minorHAnsi"/>
          <w:lang w:val="en-GB"/>
        </w:rPr>
        <w:t xml:space="preserve"> </w:t>
      </w:r>
      <w:r w:rsidR="005A0D6D">
        <w:rPr>
          <w:rFonts w:asciiTheme="minorHAnsi" w:hAnsiTheme="minorHAnsi"/>
          <w:lang w:val="en-GB"/>
        </w:rPr>
        <w:t xml:space="preserve">ML/TF </w:t>
      </w:r>
      <w:r w:rsidRPr="00D14CF1">
        <w:rPr>
          <w:rFonts w:asciiTheme="minorHAnsi" w:hAnsiTheme="minorHAnsi"/>
          <w:lang w:val="en-GB"/>
        </w:rPr>
        <w:t>Risk Factor Guidelines (RFLGs)</w:t>
      </w:r>
      <w:r w:rsidR="00EE3922">
        <w:rPr>
          <w:rFonts w:asciiTheme="minorHAnsi" w:hAnsiTheme="minorHAnsi"/>
          <w:lang w:val="en-GB"/>
        </w:rPr>
        <w:t>,</w:t>
      </w:r>
      <w:r w:rsidRPr="00D14CF1">
        <w:rPr>
          <w:rFonts w:asciiTheme="minorHAnsi" w:hAnsiTheme="minorHAnsi"/>
          <w:lang w:val="en-GB"/>
        </w:rPr>
        <w:t xml:space="preserve"> </w:t>
      </w:r>
      <w:r w:rsidR="00555393" w:rsidRPr="00555393">
        <w:rPr>
          <w:rFonts w:asciiTheme="minorHAnsi" w:hAnsiTheme="minorHAnsi"/>
          <w:lang w:val="en-GB"/>
        </w:rPr>
        <w:t>Guideline 12</w:t>
      </w:r>
      <w:r w:rsidR="00555393">
        <w:rPr>
          <w:rFonts w:asciiTheme="minorHAnsi" w:hAnsiTheme="minorHAnsi"/>
          <w:lang w:val="en-GB"/>
        </w:rPr>
        <w:t xml:space="preserve">, </w:t>
      </w:r>
      <w:r w:rsidRPr="00D14CF1">
        <w:rPr>
          <w:rFonts w:asciiTheme="minorHAnsi" w:hAnsiTheme="minorHAnsi"/>
          <w:lang w:val="en-GB"/>
        </w:rPr>
        <w:t>EBA/GL/2021/02</w:t>
      </w:r>
      <w:r w:rsidR="00EE3922">
        <w:rPr>
          <w:rFonts w:asciiTheme="minorHAnsi" w:hAnsiTheme="minorHAnsi"/>
          <w:lang w:val="en-GB"/>
        </w:rPr>
        <w:t>.</w:t>
      </w:r>
    </w:p>
    <w:p w14:paraId="17A844F4" w14:textId="1FD6A36C" w:rsidR="00153598" w:rsidRPr="00135B9D" w:rsidRDefault="00B4291F" w:rsidP="00153598">
      <w:pPr>
        <w:rPr>
          <w:rFonts w:asciiTheme="minorHAnsi" w:hAnsiTheme="minorHAnsi"/>
          <w:lang w:val="en-IE"/>
        </w:rPr>
      </w:pPr>
      <w:r>
        <w:rPr>
          <w:rFonts w:asciiTheme="minorHAnsi" w:hAnsiTheme="minorHAnsi"/>
          <w:lang w:val="en-GB"/>
        </w:rPr>
        <w:t xml:space="preserve">The value of the </w:t>
      </w:r>
      <w:r w:rsidRPr="00B4291F">
        <w:rPr>
          <w:rFonts w:asciiTheme="minorHAnsi" w:hAnsiTheme="minorHAnsi"/>
          <w:lang w:val="en-GB"/>
        </w:rPr>
        <w:t xml:space="preserve">total assets </w:t>
      </w:r>
      <w:r>
        <w:rPr>
          <w:rFonts w:asciiTheme="minorHAnsi" w:hAnsiTheme="minorHAnsi"/>
          <w:lang w:val="en-GB"/>
        </w:rPr>
        <w:t>shall comprise all</w:t>
      </w:r>
      <w:r w:rsidRPr="00B4291F">
        <w:rPr>
          <w:rFonts w:asciiTheme="minorHAnsi" w:hAnsiTheme="minorHAnsi"/>
          <w:lang w:val="en-GB"/>
        </w:rPr>
        <w:t xml:space="preserve"> financial, investable or real estate assets, or a combination thereof, excluding that customer’s private residence</w:t>
      </w:r>
      <w:r w:rsidR="00BF59AD">
        <w:rPr>
          <w:rFonts w:asciiTheme="minorHAnsi" w:hAnsiTheme="minorHAnsi"/>
          <w:lang w:val="en-GB"/>
        </w:rPr>
        <w:t xml:space="preserve">, in accordance with Article </w:t>
      </w:r>
      <w:r w:rsidR="00331321">
        <w:rPr>
          <w:rFonts w:asciiTheme="minorHAnsi" w:hAnsiTheme="minorHAnsi"/>
          <w:lang w:val="en-GB"/>
        </w:rPr>
        <w:t>34(5) AMLR.</w:t>
      </w:r>
      <w:r w:rsidR="00DD6856" w:rsidRPr="00D14CF1">
        <w:rPr>
          <w:rFonts w:asciiTheme="minorHAnsi" w:hAnsiTheme="minorHAnsi"/>
          <w:lang w:val="en-GB"/>
        </w:rPr>
        <w:br/>
      </w:r>
      <w:r w:rsidR="00153598" w:rsidRPr="00135B9D">
        <w:rPr>
          <w:rFonts w:asciiTheme="minorHAnsi" w:hAnsiTheme="minorHAnsi"/>
          <w:lang w:val="en-IE"/>
        </w:rPr>
        <w:t>Discretionary management</w:t>
      </w:r>
      <w:r w:rsidR="00153598">
        <w:rPr>
          <w:rFonts w:asciiTheme="minorHAnsi" w:hAnsiTheme="minorHAnsi"/>
          <w:lang w:val="en-IE"/>
        </w:rPr>
        <w:t xml:space="preserve"> services should be accounted for.</w:t>
      </w:r>
      <w:r w:rsidR="00162DD2">
        <w:rPr>
          <w:rFonts w:asciiTheme="minorHAnsi" w:hAnsiTheme="minorHAnsi"/>
          <w:lang w:val="en-IE"/>
        </w:rPr>
        <w:t xml:space="preserve"> </w:t>
      </w:r>
    </w:p>
    <w:p w14:paraId="094771AA" w14:textId="3DF9C3D8" w:rsidR="0059437C" w:rsidRPr="00D14CF1" w:rsidRDefault="0059437C" w:rsidP="0059437C">
      <w:pPr>
        <w:rPr>
          <w:rFonts w:asciiTheme="minorHAnsi" w:hAnsiTheme="minorHAnsi"/>
          <w:lang w:val="en-GB"/>
        </w:rPr>
      </w:pPr>
      <w:r w:rsidRPr="00D14CF1">
        <w:rPr>
          <w:rFonts w:asciiTheme="minorHAnsi" w:hAnsiTheme="minorHAnsi"/>
          <w:b/>
          <w:bCs/>
          <w:lang w:val="en-GB"/>
        </w:rPr>
        <w:t>F</w:t>
      </w:r>
      <w:r w:rsidR="008E2785" w:rsidRPr="00D14CF1">
        <w:rPr>
          <w:rFonts w:asciiTheme="minorHAnsi" w:hAnsiTheme="minorHAnsi"/>
          <w:b/>
          <w:bCs/>
          <w:lang w:val="en-GB"/>
        </w:rPr>
        <w:t>or</w:t>
      </w:r>
      <w:r w:rsidRPr="00D14CF1">
        <w:rPr>
          <w:rFonts w:asciiTheme="minorHAnsi" w:hAnsiTheme="minorHAnsi"/>
          <w:b/>
          <w:bCs/>
          <w:lang w:val="en-GB"/>
        </w:rPr>
        <w:t xml:space="preserve"> LI:</w:t>
      </w:r>
      <w:r w:rsidRPr="00D14CF1">
        <w:rPr>
          <w:rFonts w:asciiTheme="minorHAnsi" w:hAnsiTheme="minorHAnsi"/>
          <w:lang w:val="en-GB"/>
        </w:rPr>
        <w:t xml:space="preserve"> This data point is requested for life insurance services provided to high-net-worth customers (NP).</w:t>
      </w:r>
    </w:p>
    <w:p w14:paraId="14E02C26" w14:textId="55AAAB61" w:rsidR="0059437C" w:rsidRPr="00D14CF1" w:rsidRDefault="0059437C" w:rsidP="004854E3">
      <w:pPr>
        <w:pStyle w:val="ListParagraph"/>
        <w:numPr>
          <w:ilvl w:val="0"/>
          <w:numId w:val="81"/>
        </w:numPr>
        <w:rPr>
          <w:rFonts w:asciiTheme="minorHAnsi" w:hAnsiTheme="minorHAnsi"/>
          <w:lang w:val="en-GB"/>
        </w:rPr>
      </w:pPr>
      <w:r w:rsidRPr="00D14CF1">
        <w:rPr>
          <w:rFonts w:asciiTheme="minorHAnsi" w:hAnsiTheme="minorHAnsi"/>
          <w:lang w:val="en-GB"/>
        </w:rPr>
        <w:t xml:space="preserve">In cases where the policyholder is a legal entity and the insured person is a natural person (for instance, in the case of group contracts), insured persons are to be considered customers even if they are not the policyholder. </w:t>
      </w:r>
    </w:p>
    <w:p w14:paraId="66C4D7A6" w14:textId="77777777" w:rsidR="00007019" w:rsidRPr="00D14CF1" w:rsidRDefault="0059437C" w:rsidP="004854E3">
      <w:pPr>
        <w:pStyle w:val="ListParagraph"/>
        <w:numPr>
          <w:ilvl w:val="0"/>
          <w:numId w:val="81"/>
        </w:numPr>
        <w:rPr>
          <w:rFonts w:asciiTheme="minorHAnsi" w:hAnsiTheme="minorHAnsi"/>
          <w:lang w:val="en-GB"/>
        </w:rPr>
      </w:pPr>
      <w:r w:rsidRPr="00D14CF1">
        <w:rPr>
          <w:rFonts w:asciiTheme="minorHAnsi" w:hAnsiTheme="minorHAnsi"/>
          <w:lang w:val="en-GB"/>
        </w:rPr>
        <w:t>For contracts which have two policyholders, both should be considered. The amount should not be divided.</w:t>
      </w:r>
    </w:p>
    <w:p w14:paraId="20D94FD8" w14:textId="51145E26" w:rsidR="00DD05B0" w:rsidRPr="00D14CF1" w:rsidRDefault="00B01262" w:rsidP="00135B9D">
      <w:pPr>
        <w:pStyle w:val="ListParagraph"/>
        <w:numPr>
          <w:ilvl w:val="0"/>
          <w:numId w:val="81"/>
        </w:numPr>
        <w:rPr>
          <w:rFonts w:asciiTheme="minorHAnsi" w:hAnsiTheme="minorHAnsi"/>
          <w:lang w:val="en-GB"/>
        </w:rPr>
      </w:pPr>
      <w:r w:rsidRPr="00D14CF1">
        <w:rPr>
          <w:rFonts w:asciiTheme="minorHAnsi" w:hAnsiTheme="minorHAnsi"/>
          <w:lang w:val="en-GB"/>
        </w:rPr>
        <w:t xml:space="preserve">AUM </w:t>
      </w:r>
      <w:r w:rsidR="00007019" w:rsidRPr="00D14CF1">
        <w:rPr>
          <w:rFonts w:asciiTheme="minorHAnsi" w:hAnsiTheme="minorHAnsi"/>
          <w:lang w:val="en-GB"/>
        </w:rPr>
        <w:t>For LI: Surrender value for life insurance undertakings.</w:t>
      </w:r>
      <w:r w:rsidR="002E594D" w:rsidRPr="00D14CF1">
        <w:rPr>
          <w:rFonts w:asciiTheme="minorHAnsi" w:eastAsia="Times New Roman" w:hAnsiTheme="minorHAnsi"/>
          <w:color w:val="000000" w:themeColor="text1"/>
          <w:kern w:val="0"/>
          <w:sz w:val="16"/>
          <w:szCs w:val="16"/>
          <w:lang w:val="en-GB" w:eastAsia="en-GB"/>
        </w:rPr>
        <w:t xml:space="preserve"> </w:t>
      </w:r>
      <w:r w:rsidR="002E594D" w:rsidRPr="00D14CF1">
        <w:rPr>
          <w:rFonts w:asciiTheme="minorHAnsi" w:hAnsiTheme="minorHAnsi"/>
          <w:lang w:val="en-GB"/>
        </w:rPr>
        <w:t>The surrender value should reflect the amount, defined contractually, paid to the policyholder in case of early termination of the contract (i.e.</w:t>
      </w:r>
      <w:r w:rsidR="00AB254F">
        <w:rPr>
          <w:rFonts w:asciiTheme="minorHAnsi" w:hAnsiTheme="minorHAnsi"/>
          <w:lang w:val="en-GB"/>
        </w:rPr>
        <w:t>,</w:t>
      </w:r>
      <w:r w:rsidR="002E594D" w:rsidRPr="00D14CF1">
        <w:rPr>
          <w:rFonts w:asciiTheme="minorHAnsi" w:hAnsiTheme="minorHAnsi"/>
          <w:lang w:val="en-GB"/>
        </w:rPr>
        <w:t xml:space="preserve"> before it becomes payable by maturity or occurrence of the insured event, such as death), net of charges and policy loans. It includes surrender values guaranteed and not guaranteed.</w:t>
      </w:r>
    </w:p>
    <w:tbl>
      <w:tblPr>
        <w:tblW w:w="92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3"/>
        <w:gridCol w:w="7616"/>
      </w:tblGrid>
      <w:tr w:rsidR="005E211E" w:rsidRPr="009B282E" w14:paraId="59890138" w14:textId="77777777" w:rsidTr="783B8770">
        <w:tc>
          <w:tcPr>
            <w:tcW w:w="16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EC83E6" w14:textId="77777777" w:rsidR="0097506C" w:rsidRPr="009275BC" w:rsidRDefault="0097506C" w:rsidP="00F32516">
            <w:pPr>
              <w:pStyle w:val="InstructionsText"/>
              <w:rPr>
                <w:rStyle w:val="InstructionsTabelleText"/>
                <w:rFonts w:asciiTheme="minorHAnsi" w:hAnsiTheme="minorHAnsi"/>
                <w:bCs w:val="0"/>
                <w:lang w:eastAsia="en-US"/>
              </w:rPr>
            </w:pPr>
            <w:r w:rsidRPr="009275BC">
              <w:rPr>
                <w:rStyle w:val="InstructionsTabelleText"/>
                <w:rFonts w:asciiTheme="minorHAnsi" w:hAnsiTheme="minorHAnsi"/>
              </w:rPr>
              <w:t>Column code</w:t>
            </w:r>
          </w:p>
        </w:tc>
        <w:tc>
          <w:tcPr>
            <w:tcW w:w="76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8CD309" w14:textId="77777777" w:rsidR="0097506C" w:rsidRPr="009275BC" w:rsidRDefault="0097506C" w:rsidP="00F32516">
            <w:pPr>
              <w:pStyle w:val="InstructionsText"/>
              <w:rPr>
                <w:rStyle w:val="InstructionsTabelleText"/>
                <w:rFonts w:asciiTheme="minorHAnsi" w:hAnsiTheme="minorHAnsi"/>
                <w:bCs w:val="0"/>
                <w:lang w:eastAsia="en-US"/>
              </w:rPr>
            </w:pPr>
            <w:r w:rsidRPr="009275BC">
              <w:rPr>
                <w:rStyle w:val="InstructionsTabelleText"/>
                <w:rFonts w:asciiTheme="minorHAnsi" w:hAnsiTheme="minorHAnsi"/>
              </w:rPr>
              <w:t>Legal references and instructions</w:t>
            </w:r>
          </w:p>
        </w:tc>
      </w:tr>
      <w:tr w:rsidR="005E211E" w:rsidRPr="009B282E" w14:paraId="3D3551E2" w14:textId="77777777" w:rsidTr="0096282B">
        <w:tc>
          <w:tcPr>
            <w:tcW w:w="1673" w:type="dxa"/>
            <w:tcBorders>
              <w:top w:val="single" w:sz="4" w:space="0" w:color="auto"/>
              <w:left w:val="single" w:sz="4" w:space="0" w:color="auto"/>
              <w:bottom w:val="single" w:sz="4" w:space="0" w:color="auto"/>
              <w:right w:val="single" w:sz="4" w:space="0" w:color="auto"/>
            </w:tcBorders>
            <w:vAlign w:val="center"/>
          </w:tcPr>
          <w:p w14:paraId="7800B268" w14:textId="6AC82801" w:rsidR="00C07EBC" w:rsidRPr="009275BC" w:rsidRDefault="005D3481"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C0010</w:t>
            </w:r>
          </w:p>
        </w:tc>
        <w:tc>
          <w:tcPr>
            <w:tcW w:w="7616" w:type="dxa"/>
            <w:tcBorders>
              <w:top w:val="single" w:sz="8" w:space="0" w:color="auto"/>
              <w:left w:val="single" w:sz="4" w:space="0" w:color="auto"/>
              <w:bottom w:val="single" w:sz="4" w:space="0" w:color="auto"/>
              <w:right w:val="single" w:sz="4" w:space="0" w:color="auto"/>
            </w:tcBorders>
            <w:vAlign w:val="center"/>
          </w:tcPr>
          <w:p w14:paraId="179C9048" w14:textId="60548AF1" w:rsidR="00491899" w:rsidRDefault="00491899" w:rsidP="00C07EBC">
            <w:pPr>
              <w:pStyle w:val="InstructionsText2"/>
              <w:rPr>
                <w:rStyle w:val="InstructionsTabelleberschrift"/>
                <w:rFonts w:asciiTheme="minorHAnsi" w:hAnsiTheme="minorHAnsi"/>
              </w:rPr>
            </w:pPr>
            <w:r w:rsidRPr="00F6486B">
              <w:rPr>
                <w:rStyle w:val="InstructionsTabelleberschrift"/>
                <w:rFonts w:ascii="Aptos" w:hAnsi="Aptos"/>
              </w:rPr>
              <w:t xml:space="preserve">Customers with </w:t>
            </w:r>
            <w:r w:rsidR="003F3E1B">
              <w:rPr>
                <w:rStyle w:val="InstructionsTabelleberschrift"/>
                <w:rFonts w:ascii="Aptos" w:hAnsi="Aptos"/>
              </w:rPr>
              <w:t>AUM</w:t>
            </w:r>
            <w:r w:rsidRPr="00F6486B">
              <w:rPr>
                <w:rStyle w:val="InstructionsTabelleberschrift"/>
                <w:rFonts w:ascii="Aptos" w:hAnsi="Aptos"/>
              </w:rPr>
              <w:t xml:space="preserve"> &gt;= EUR 5M and </w:t>
            </w:r>
            <w:r w:rsidR="00470D22">
              <w:rPr>
                <w:rStyle w:val="InstructionsTabelleberschrift"/>
                <w:rFonts w:ascii="Aptos" w:hAnsi="Aptos"/>
              </w:rPr>
              <w:t xml:space="preserve">total assets </w:t>
            </w:r>
            <w:r w:rsidRPr="003F046A">
              <w:rPr>
                <w:rStyle w:val="InstructionsTabelleberschrift"/>
                <w:rFonts w:ascii="Aptos" w:hAnsi="Aptos"/>
              </w:rPr>
              <w:t>&gt;= EUR 50M</w:t>
            </w:r>
          </w:p>
          <w:p w14:paraId="17A27890" w14:textId="59E844E9" w:rsidR="00491899" w:rsidRPr="003F046A" w:rsidRDefault="00546224" w:rsidP="00C07EBC">
            <w:pPr>
              <w:pStyle w:val="InstructionsText2"/>
              <w:rPr>
                <w:rStyle w:val="InstructionsTabelleberschrift"/>
                <w:rFonts w:asciiTheme="minorHAnsi" w:hAnsiTheme="minorHAnsi"/>
                <w:b w:val="0"/>
                <w:bCs w:val="0"/>
                <w:u w:val="none"/>
              </w:rPr>
            </w:pPr>
            <w:r w:rsidRPr="003F046A">
              <w:rPr>
                <w:rStyle w:val="InstructionsTabelleberschrift"/>
                <w:rFonts w:asciiTheme="minorHAnsi" w:hAnsiTheme="minorHAnsi"/>
                <w:b w:val="0"/>
                <w:bCs w:val="0"/>
                <w:u w:val="none"/>
              </w:rPr>
              <w:t>Indicate number</w:t>
            </w:r>
            <w:r w:rsidR="00491899" w:rsidRPr="003F046A">
              <w:rPr>
                <w:rStyle w:val="InstructionsTabelleberschrift"/>
                <w:rFonts w:asciiTheme="minorHAnsi" w:hAnsiTheme="minorHAnsi"/>
                <w:b w:val="0"/>
                <w:bCs w:val="0"/>
                <w:u w:val="none"/>
              </w:rPr>
              <w:t xml:space="preserve"> of unique customers as of end of the reference year.</w:t>
            </w:r>
          </w:p>
          <w:p w14:paraId="4DC943A8" w14:textId="2ED5A934" w:rsidR="00C07EBC" w:rsidRPr="0096282B" w:rsidRDefault="00470D22" w:rsidP="00470D22">
            <w:pPr>
              <w:pStyle w:val="InstructionsText2"/>
              <w:rPr>
                <w:rStyle w:val="InstructionsTabelleberschrift"/>
                <w:rFonts w:asciiTheme="minorHAnsi" w:hAnsiTheme="minorHAnsi"/>
              </w:rPr>
            </w:pPr>
            <w:r w:rsidRPr="003F046A">
              <w:rPr>
                <w:rStyle w:val="InstructionsTabelleberschrift"/>
                <w:rFonts w:asciiTheme="minorHAnsi" w:hAnsiTheme="minorHAnsi"/>
                <w:b w:val="0"/>
                <w:bCs w:val="0"/>
                <w:u w:val="none"/>
              </w:rPr>
              <w:t>The reference should be to the n</w:t>
            </w:r>
            <w:r w:rsidR="0006142E" w:rsidRPr="003F046A">
              <w:rPr>
                <w:rStyle w:val="InstructionsTabelleberschrift"/>
                <w:rFonts w:asciiTheme="minorHAnsi" w:hAnsiTheme="minorHAnsi"/>
                <w:b w:val="0"/>
                <w:bCs w:val="0"/>
                <w:u w:val="none"/>
              </w:rPr>
              <w:t xml:space="preserve">umber of customers (NP) with total assets under management </w:t>
            </w:r>
            <w:r w:rsidR="00AF2C27" w:rsidRPr="00135B9D">
              <w:rPr>
                <w:rStyle w:val="InstructionsTabelleberschrift"/>
                <w:rFonts w:asciiTheme="minorHAnsi" w:hAnsiTheme="minorHAnsi"/>
                <w:b w:val="0"/>
                <w:bCs w:val="0"/>
              </w:rPr>
              <w:t xml:space="preserve">by the </w:t>
            </w:r>
            <w:r w:rsidR="00CF56A6">
              <w:rPr>
                <w:rStyle w:val="InstructionsTabelleberschrift"/>
                <w:rFonts w:asciiTheme="minorHAnsi" w:hAnsiTheme="minorHAnsi"/>
                <w:b w:val="0"/>
                <w:bCs w:val="0"/>
              </w:rPr>
              <w:t>r</w:t>
            </w:r>
            <w:r w:rsidR="00CF56A6" w:rsidRPr="00135B9D">
              <w:rPr>
                <w:rStyle w:val="InstructionsTabelleberschrift"/>
                <w:rFonts w:asciiTheme="minorHAnsi" w:hAnsiTheme="minorHAnsi"/>
                <w:b w:val="0"/>
                <w:bCs w:val="0"/>
              </w:rPr>
              <w:t xml:space="preserve">eporting </w:t>
            </w:r>
            <w:r w:rsidR="00AF2C27" w:rsidRPr="00135B9D">
              <w:rPr>
                <w:rStyle w:val="InstructionsTabelleberschrift"/>
                <w:rFonts w:asciiTheme="minorHAnsi" w:hAnsiTheme="minorHAnsi"/>
                <w:b w:val="0"/>
                <w:bCs w:val="0"/>
              </w:rPr>
              <w:t>obliged entity</w:t>
            </w:r>
            <w:r w:rsidR="0006142E" w:rsidRPr="003F046A">
              <w:rPr>
                <w:rStyle w:val="InstructionsTabelleberschrift"/>
                <w:rFonts w:asciiTheme="minorHAnsi" w:hAnsiTheme="minorHAnsi"/>
                <w:b w:val="0"/>
                <w:bCs w:val="0"/>
                <w:u w:val="none"/>
              </w:rPr>
              <w:t xml:space="preserve"> over a value of at least EUR 5</w:t>
            </w:r>
            <w:r w:rsidR="00E075A4">
              <w:rPr>
                <w:rStyle w:val="InstructionsTabelleberschrift"/>
                <w:rFonts w:asciiTheme="minorHAnsi" w:hAnsiTheme="minorHAnsi"/>
                <w:b w:val="0"/>
                <w:bCs w:val="0"/>
                <w:u w:val="none"/>
              </w:rPr>
              <w:t>.</w:t>
            </w:r>
            <w:r w:rsidR="0006142E" w:rsidRPr="003F046A">
              <w:rPr>
                <w:rStyle w:val="InstructionsTabelleberschrift"/>
                <w:rFonts w:asciiTheme="minorHAnsi" w:hAnsiTheme="minorHAnsi"/>
                <w:b w:val="0"/>
                <w:bCs w:val="0"/>
                <w:u w:val="none"/>
              </w:rPr>
              <w:t>000</w:t>
            </w:r>
            <w:r w:rsidR="00E075A4">
              <w:rPr>
                <w:rStyle w:val="InstructionsTabelleberschrift"/>
                <w:rFonts w:asciiTheme="minorHAnsi" w:hAnsiTheme="minorHAnsi"/>
                <w:b w:val="0"/>
                <w:bCs w:val="0"/>
                <w:u w:val="none"/>
              </w:rPr>
              <w:t>.</w:t>
            </w:r>
            <w:r w:rsidR="0006142E" w:rsidRPr="003F046A">
              <w:rPr>
                <w:rStyle w:val="InstructionsTabelleberschrift"/>
                <w:rFonts w:asciiTheme="minorHAnsi" w:hAnsiTheme="minorHAnsi"/>
                <w:b w:val="0"/>
                <w:bCs w:val="0"/>
                <w:u w:val="none"/>
              </w:rPr>
              <w:t xml:space="preserve">000 AND with total assets </w:t>
            </w:r>
            <w:r w:rsidR="00883E6A" w:rsidRPr="00883E6A">
              <w:rPr>
                <w:rStyle w:val="InstructionsTabelleberschrift"/>
                <w:rFonts w:asciiTheme="minorHAnsi" w:hAnsiTheme="minorHAnsi"/>
                <w:b w:val="0"/>
                <w:bCs w:val="0"/>
                <w:u w:val="none"/>
              </w:rPr>
              <w:t>estimated or declared by the customer</w:t>
            </w:r>
            <w:r w:rsidR="00883E6A">
              <w:rPr>
                <w:rStyle w:val="InstructionsTabelleberschrift"/>
                <w:rFonts w:asciiTheme="minorHAnsi" w:hAnsiTheme="minorHAnsi"/>
                <w:b w:val="0"/>
                <w:bCs w:val="0"/>
                <w:u w:val="none"/>
              </w:rPr>
              <w:t xml:space="preserve"> </w:t>
            </w:r>
            <w:r w:rsidR="0006142E" w:rsidRPr="003F046A">
              <w:rPr>
                <w:rStyle w:val="InstructionsTabelleberschrift"/>
                <w:rFonts w:asciiTheme="minorHAnsi" w:hAnsiTheme="minorHAnsi"/>
                <w:b w:val="0"/>
                <w:bCs w:val="0"/>
                <w:u w:val="none"/>
              </w:rPr>
              <w:t>over a value of at least EUR 5</w:t>
            </w:r>
            <w:r w:rsidR="00E075A4">
              <w:rPr>
                <w:rStyle w:val="InstructionsTabelleberschrift"/>
                <w:rFonts w:asciiTheme="minorHAnsi" w:hAnsiTheme="minorHAnsi"/>
                <w:b w:val="0"/>
                <w:bCs w:val="0"/>
                <w:u w:val="none"/>
              </w:rPr>
              <w:t>.</w:t>
            </w:r>
            <w:r w:rsidR="0006142E" w:rsidRPr="003F046A">
              <w:rPr>
                <w:rStyle w:val="InstructionsTabelleberschrift"/>
                <w:rFonts w:asciiTheme="minorHAnsi" w:hAnsiTheme="minorHAnsi"/>
                <w:b w:val="0"/>
                <w:bCs w:val="0"/>
                <w:u w:val="none"/>
              </w:rPr>
              <w:t>000</w:t>
            </w:r>
            <w:r w:rsidR="00E075A4">
              <w:rPr>
                <w:rStyle w:val="InstructionsTabelleberschrift"/>
                <w:rFonts w:asciiTheme="minorHAnsi" w:hAnsiTheme="minorHAnsi"/>
                <w:b w:val="0"/>
                <w:bCs w:val="0"/>
                <w:u w:val="none"/>
              </w:rPr>
              <w:t>.</w:t>
            </w:r>
            <w:r w:rsidR="0006142E" w:rsidRPr="003F046A">
              <w:rPr>
                <w:rStyle w:val="InstructionsTabelleberschrift"/>
                <w:rFonts w:asciiTheme="minorHAnsi" w:hAnsiTheme="minorHAnsi"/>
                <w:b w:val="0"/>
                <w:bCs w:val="0"/>
                <w:u w:val="none"/>
              </w:rPr>
              <w:t>000</w:t>
            </w:r>
            <w:r w:rsidRPr="003F046A">
              <w:rPr>
                <w:rStyle w:val="InstructionsTabelleberschrift"/>
                <w:rFonts w:asciiTheme="minorHAnsi" w:hAnsiTheme="minorHAnsi"/>
                <w:b w:val="0"/>
                <w:bCs w:val="0"/>
                <w:u w:val="none"/>
              </w:rPr>
              <w:t>.</w:t>
            </w:r>
          </w:p>
        </w:tc>
      </w:tr>
      <w:tr w:rsidR="005E211E" w:rsidRPr="009B282E" w14:paraId="7CA92882" w14:textId="77777777" w:rsidTr="0096282B">
        <w:tc>
          <w:tcPr>
            <w:tcW w:w="1673" w:type="dxa"/>
            <w:tcBorders>
              <w:top w:val="single" w:sz="4" w:space="0" w:color="auto"/>
              <w:left w:val="single" w:sz="4" w:space="0" w:color="auto"/>
              <w:bottom w:val="single" w:sz="4" w:space="0" w:color="auto"/>
              <w:right w:val="single" w:sz="4" w:space="0" w:color="auto"/>
            </w:tcBorders>
            <w:vAlign w:val="center"/>
          </w:tcPr>
          <w:p w14:paraId="41931A60" w14:textId="619410C8" w:rsidR="00C07EBC" w:rsidRPr="009275BC" w:rsidRDefault="005D3481"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C0020</w:t>
            </w:r>
          </w:p>
        </w:tc>
        <w:tc>
          <w:tcPr>
            <w:tcW w:w="7616" w:type="dxa"/>
            <w:tcBorders>
              <w:top w:val="nil"/>
              <w:left w:val="single" w:sz="4" w:space="0" w:color="auto"/>
              <w:bottom w:val="single" w:sz="8" w:space="0" w:color="auto"/>
              <w:right w:val="single" w:sz="4" w:space="0" w:color="auto"/>
            </w:tcBorders>
            <w:vAlign w:val="center"/>
          </w:tcPr>
          <w:p w14:paraId="1AA0E865" w14:textId="2A131CBF" w:rsidR="00491899" w:rsidRDefault="00491899" w:rsidP="00C07EBC">
            <w:pPr>
              <w:pStyle w:val="InstructionsText2"/>
              <w:rPr>
                <w:rStyle w:val="InstructionsTabelleberschrift"/>
                <w:rFonts w:asciiTheme="minorHAnsi" w:hAnsiTheme="minorHAnsi"/>
                <w:b w:val="0"/>
                <w:bCs w:val="0"/>
                <w:u w:val="none"/>
              </w:rPr>
            </w:pPr>
            <w:r w:rsidRPr="004632A8">
              <w:rPr>
                <w:rStyle w:val="InstructionsTabelleberschrift"/>
                <w:rFonts w:ascii="Aptos" w:hAnsi="Aptos"/>
                <w:bCs w:val="0"/>
              </w:rPr>
              <w:t>Private Banking Customers (EBA)</w:t>
            </w:r>
          </w:p>
          <w:p w14:paraId="7F85B8EF" w14:textId="77777777" w:rsidR="00585842" w:rsidRDefault="00585842" w:rsidP="00585842">
            <w:pPr>
              <w:pStyle w:val="InstructionsText2"/>
              <w:rPr>
                <w:rStyle w:val="InstructionsTabelleberschrift"/>
                <w:rFonts w:asciiTheme="minorHAnsi" w:hAnsiTheme="minorHAnsi"/>
                <w:b w:val="0"/>
                <w:u w:val="none"/>
              </w:rPr>
            </w:pPr>
            <w:r w:rsidRPr="00F6486B">
              <w:rPr>
                <w:rStyle w:val="InstructionsTabelleberschrift"/>
                <w:rFonts w:asciiTheme="minorHAnsi" w:hAnsiTheme="minorHAnsi"/>
                <w:b w:val="0"/>
                <w:u w:val="none"/>
              </w:rPr>
              <w:t>Indicate the total number of customers (NP) that fall under the definition of private banking (EBA Risk Factor Guidelines)</w:t>
            </w:r>
            <w:r w:rsidR="47AFD4F9" w:rsidRPr="7A2CE88F">
              <w:rPr>
                <w:rStyle w:val="InstructionsTabelleberschrift"/>
                <w:rFonts w:asciiTheme="minorHAnsi" w:hAnsiTheme="minorHAnsi"/>
                <w:b w:val="0"/>
                <w:u w:val="none"/>
              </w:rPr>
              <w:t>, as of end of the reference year.</w:t>
            </w:r>
          </w:p>
          <w:p w14:paraId="4367B575" w14:textId="03458139" w:rsidR="00F6486B" w:rsidRPr="00F6486B" w:rsidRDefault="00F6486B" w:rsidP="00585842">
            <w:pPr>
              <w:pStyle w:val="InstructionsText2"/>
              <w:rPr>
                <w:rStyle w:val="InstructionsTabelleberschrift"/>
                <w:rFonts w:asciiTheme="minorHAnsi" w:hAnsiTheme="minorHAnsi"/>
                <w:b w:val="0"/>
                <w:u w:val="none"/>
              </w:rPr>
            </w:pPr>
            <w:r w:rsidRPr="00F6486B">
              <w:rPr>
                <w:rFonts w:asciiTheme="minorHAnsi" w:hAnsiTheme="minorHAnsi"/>
                <w:bCs/>
                <w:sz w:val="20"/>
              </w:rPr>
              <w:t>For the purpose of this exercise, the threshold of total assets under management</w:t>
            </w:r>
            <w:r w:rsidR="00AE321F">
              <w:rPr>
                <w:rFonts w:asciiTheme="minorHAnsi" w:hAnsiTheme="minorHAnsi"/>
                <w:bCs/>
                <w:sz w:val="20"/>
              </w:rPr>
              <w:t xml:space="preserve"> </w:t>
            </w:r>
            <w:r w:rsidR="009012BE">
              <w:rPr>
                <w:rFonts w:asciiTheme="minorHAnsi" w:hAnsiTheme="minorHAnsi"/>
                <w:bCs/>
                <w:sz w:val="20"/>
              </w:rPr>
              <w:t>(</w:t>
            </w:r>
            <w:r w:rsidR="004D5859">
              <w:rPr>
                <w:rFonts w:asciiTheme="minorHAnsi" w:hAnsiTheme="minorHAnsi"/>
                <w:bCs/>
                <w:sz w:val="20"/>
              </w:rPr>
              <w:t>by</w:t>
            </w:r>
            <w:r w:rsidR="00A151E5">
              <w:rPr>
                <w:rFonts w:asciiTheme="minorHAnsi" w:hAnsiTheme="minorHAnsi"/>
                <w:bCs/>
                <w:sz w:val="20"/>
              </w:rPr>
              <w:t xml:space="preserve"> </w:t>
            </w:r>
            <w:r w:rsidR="009012BE">
              <w:rPr>
                <w:rFonts w:asciiTheme="minorHAnsi" w:hAnsiTheme="minorHAnsi"/>
                <w:bCs/>
                <w:sz w:val="20"/>
              </w:rPr>
              <w:t xml:space="preserve">the </w:t>
            </w:r>
            <w:r w:rsidR="00173498">
              <w:rPr>
                <w:rFonts w:asciiTheme="minorHAnsi" w:hAnsiTheme="minorHAnsi"/>
                <w:bCs/>
                <w:sz w:val="20"/>
              </w:rPr>
              <w:t>obliged entity</w:t>
            </w:r>
            <w:r w:rsidR="009012BE">
              <w:rPr>
                <w:rFonts w:asciiTheme="minorHAnsi" w:hAnsiTheme="minorHAnsi"/>
                <w:bCs/>
                <w:sz w:val="20"/>
              </w:rPr>
              <w:t>)</w:t>
            </w:r>
            <w:r w:rsidRPr="00F6486B">
              <w:rPr>
                <w:rFonts w:asciiTheme="minorHAnsi" w:hAnsiTheme="minorHAnsi"/>
                <w:bCs/>
                <w:sz w:val="20"/>
              </w:rPr>
              <w:t xml:space="preserve"> with a value of at least EUR 500.000 is used.</w:t>
            </w:r>
          </w:p>
        </w:tc>
      </w:tr>
    </w:tbl>
    <w:p w14:paraId="288E7788" w14:textId="4C9EDA92" w:rsidR="00F84E76" w:rsidRPr="009B282E" w:rsidRDefault="00CB0477" w:rsidP="00CB14A2">
      <w:pPr>
        <w:pStyle w:val="Heading3"/>
        <w:rPr>
          <w:lang w:val="en-GB"/>
        </w:rPr>
      </w:pPr>
      <w:bookmarkStart w:id="164" w:name="_Toc223086559"/>
      <w:bookmarkStart w:id="165" w:name="_Toc223086653"/>
      <w:bookmarkStart w:id="166" w:name="_Toc223086747"/>
      <w:bookmarkStart w:id="167" w:name="_Toc223086841"/>
      <w:bookmarkStart w:id="168" w:name="_Toc221355980"/>
      <w:bookmarkStart w:id="169" w:name="_Toc223104846"/>
      <w:bookmarkEnd w:id="164"/>
      <w:bookmarkEnd w:id="165"/>
      <w:bookmarkEnd w:id="166"/>
      <w:bookmarkEnd w:id="167"/>
      <w:r w:rsidRPr="009B282E">
        <w:rPr>
          <w:lang w:val="en-GB"/>
        </w:rPr>
        <w:t xml:space="preserve">AML.04.04 </w:t>
      </w:r>
      <w:r w:rsidR="00F84E76" w:rsidRPr="009B282E">
        <w:rPr>
          <w:lang w:val="en-GB"/>
        </w:rPr>
        <w:t>Correspondent Services</w:t>
      </w:r>
      <w:bookmarkEnd w:id="168"/>
      <w:bookmarkEnd w:id="169"/>
    </w:p>
    <w:p w14:paraId="37B656A5" w14:textId="77777777" w:rsidR="006B6D53" w:rsidRPr="00A017EB" w:rsidRDefault="006B6D53" w:rsidP="006B6D53">
      <w:pPr>
        <w:rPr>
          <w:rFonts w:asciiTheme="minorHAnsi" w:hAnsiTheme="minorHAnsi"/>
          <w:b/>
          <w:bCs/>
          <w:iCs/>
        </w:rPr>
      </w:pPr>
      <w:r w:rsidRPr="00A017EB">
        <w:rPr>
          <w:rFonts w:asciiTheme="minorHAnsi" w:hAnsiTheme="minorHAnsi"/>
          <w:b/>
          <w:bCs/>
          <w:iCs/>
        </w:rPr>
        <w:t>Template Remarks</w:t>
      </w:r>
    </w:p>
    <w:p w14:paraId="6926DB85" w14:textId="53B64CC9" w:rsidR="006B6D53" w:rsidRDefault="006B6D53" w:rsidP="006B6D53">
      <w:pPr>
        <w:jc w:val="both"/>
        <w:rPr>
          <w:rFonts w:asciiTheme="minorHAnsi" w:hAnsiTheme="minorHAnsi"/>
          <w:bCs/>
          <w:iCs/>
        </w:rPr>
      </w:pPr>
      <w:r w:rsidRPr="00A017EB">
        <w:rPr>
          <w:rFonts w:asciiTheme="minorHAnsi" w:hAnsiTheme="minorHAnsi"/>
          <w:lang w:val="en-GB"/>
        </w:rPr>
        <w:t xml:space="preserve">Fill out this template if you </w:t>
      </w:r>
      <w:r w:rsidRPr="00A017EB">
        <w:rPr>
          <w:rFonts w:asciiTheme="minorHAnsi" w:hAnsiTheme="minorHAnsi"/>
        </w:rPr>
        <w:t xml:space="preserve">offer some of these services and/or products, normally this template is applicable for </w:t>
      </w:r>
      <w:r w:rsidRPr="003B7B62">
        <w:rPr>
          <w:rFonts w:asciiTheme="minorHAnsi" w:hAnsiTheme="minorHAnsi"/>
          <w:bCs/>
          <w:iCs/>
        </w:rPr>
        <w:t>CI, PI</w:t>
      </w:r>
      <w:r>
        <w:rPr>
          <w:rFonts w:asciiTheme="minorHAnsi" w:hAnsiTheme="minorHAnsi"/>
          <w:bCs/>
          <w:iCs/>
        </w:rPr>
        <w:t xml:space="preserve"> and CASP</w:t>
      </w:r>
      <w:r w:rsidRPr="00A017EB">
        <w:rPr>
          <w:rFonts w:asciiTheme="minorHAnsi" w:hAnsiTheme="minorHAnsi"/>
        </w:rPr>
        <w:t>.</w:t>
      </w:r>
    </w:p>
    <w:p w14:paraId="4F732680" w14:textId="798EB316" w:rsidR="008D19DB" w:rsidRPr="00C721D9" w:rsidRDefault="00EB3211" w:rsidP="00135B9D">
      <w:pPr>
        <w:jc w:val="both"/>
        <w:rPr>
          <w:rFonts w:asciiTheme="minorHAnsi" w:hAnsiTheme="minorHAnsi"/>
        </w:rPr>
      </w:pPr>
      <w:r w:rsidRPr="4EE85BFC">
        <w:rPr>
          <w:rFonts w:asciiTheme="minorHAnsi" w:hAnsiTheme="minorHAnsi"/>
        </w:rPr>
        <w:t>Reporting o</w:t>
      </w:r>
      <w:r w:rsidR="00822861" w:rsidRPr="4EE85BFC">
        <w:rPr>
          <w:rFonts w:asciiTheme="minorHAnsi" w:hAnsiTheme="minorHAnsi"/>
        </w:rPr>
        <w:t>bliged entities should refer to c</w:t>
      </w:r>
      <w:r w:rsidR="006E0C72" w:rsidRPr="4EE85BFC">
        <w:rPr>
          <w:rFonts w:asciiTheme="minorHAnsi" w:hAnsiTheme="minorHAnsi"/>
        </w:rPr>
        <w:t xml:space="preserve">orrespondent </w:t>
      </w:r>
      <w:r w:rsidR="000244A8" w:rsidRPr="4EE85BFC">
        <w:rPr>
          <w:rFonts w:asciiTheme="minorHAnsi" w:hAnsiTheme="minorHAnsi"/>
        </w:rPr>
        <w:t xml:space="preserve">relationship </w:t>
      </w:r>
      <w:r w:rsidR="00C67872" w:rsidRPr="4EE85BFC">
        <w:rPr>
          <w:rFonts w:asciiTheme="minorHAnsi" w:hAnsiTheme="minorHAnsi"/>
        </w:rPr>
        <w:t>definition provided for</w:t>
      </w:r>
      <w:r w:rsidR="00AC6AB5" w:rsidRPr="4EE85BFC">
        <w:rPr>
          <w:rFonts w:asciiTheme="minorHAnsi" w:hAnsiTheme="minorHAnsi"/>
        </w:rPr>
        <w:t xml:space="preserve"> in </w:t>
      </w:r>
      <w:r w:rsidR="007858DC" w:rsidRPr="4EE85BFC">
        <w:rPr>
          <w:rFonts w:asciiTheme="minorHAnsi" w:hAnsiTheme="minorHAnsi"/>
        </w:rPr>
        <w:t xml:space="preserve">Article </w:t>
      </w:r>
      <w:r w:rsidR="00095A81" w:rsidRPr="4EE85BFC">
        <w:rPr>
          <w:rFonts w:asciiTheme="minorHAnsi" w:hAnsiTheme="minorHAnsi"/>
        </w:rPr>
        <w:t>2</w:t>
      </w:r>
      <w:r w:rsidR="006A7B00" w:rsidRPr="4EE85BFC">
        <w:rPr>
          <w:rFonts w:asciiTheme="minorHAnsi" w:hAnsiTheme="minorHAnsi"/>
        </w:rPr>
        <w:t>(</w:t>
      </w:r>
      <w:r w:rsidR="00095A81" w:rsidRPr="4EE85BFC">
        <w:rPr>
          <w:rFonts w:asciiTheme="minorHAnsi" w:hAnsiTheme="minorHAnsi"/>
        </w:rPr>
        <w:t>1</w:t>
      </w:r>
      <w:r w:rsidR="006A7B00" w:rsidRPr="4EE85BFC">
        <w:rPr>
          <w:rFonts w:asciiTheme="minorHAnsi" w:hAnsiTheme="minorHAnsi"/>
        </w:rPr>
        <w:t>)</w:t>
      </w:r>
      <w:r w:rsidR="00095A81" w:rsidRPr="4EE85BFC">
        <w:rPr>
          <w:rFonts w:asciiTheme="minorHAnsi" w:hAnsiTheme="minorHAnsi"/>
        </w:rPr>
        <w:t xml:space="preserve">(22) </w:t>
      </w:r>
      <w:r w:rsidR="00632313" w:rsidRPr="4EE85BFC">
        <w:rPr>
          <w:rFonts w:asciiTheme="minorHAnsi" w:hAnsiTheme="minorHAnsi"/>
        </w:rPr>
        <w:t>AMLR</w:t>
      </w:r>
      <w:r w:rsidR="00215C98" w:rsidRPr="4EE85BFC">
        <w:rPr>
          <w:rFonts w:asciiTheme="minorHAnsi" w:hAnsiTheme="minorHAnsi"/>
        </w:rPr>
        <w:t>.</w:t>
      </w:r>
      <w:r w:rsidR="00E933AA" w:rsidRPr="4EE85BFC">
        <w:rPr>
          <w:rFonts w:asciiTheme="minorHAnsi" w:hAnsiTheme="minorHAnsi"/>
        </w:rPr>
        <w:t xml:space="preserve"> </w:t>
      </w:r>
    </w:p>
    <w:p w14:paraId="236CF3F1" w14:textId="495E57D2" w:rsidR="00913F89" w:rsidRPr="00C721D9" w:rsidRDefault="00913F89" w:rsidP="00135B9D">
      <w:pPr>
        <w:jc w:val="both"/>
        <w:rPr>
          <w:rFonts w:asciiTheme="minorHAnsi" w:hAnsiTheme="minorHAnsi"/>
          <w:lang w:val="en-GB"/>
        </w:rPr>
      </w:pPr>
      <w:r w:rsidRPr="00C721D9">
        <w:rPr>
          <w:rFonts w:asciiTheme="minorHAnsi" w:hAnsiTheme="minorHAnsi"/>
          <w:lang w:val="en-GB"/>
        </w:rPr>
        <w:t>Payable through accounts</w:t>
      </w:r>
      <w:r w:rsidR="00B8654B" w:rsidRPr="00C721D9">
        <w:rPr>
          <w:rFonts w:asciiTheme="minorHAnsi" w:hAnsiTheme="minorHAnsi"/>
          <w:lang w:val="en-GB"/>
        </w:rPr>
        <w:t xml:space="preserve"> are c</w:t>
      </w:r>
      <w:r w:rsidRPr="00C721D9">
        <w:rPr>
          <w:rFonts w:asciiTheme="minorHAnsi" w:hAnsiTheme="minorHAnsi"/>
          <w:lang w:val="en-GB"/>
        </w:rPr>
        <w:t>orrespondent accounts established by a respondent institution with a correspondent institution that are used directly by third parties to transact business on their own behalf.</w:t>
      </w:r>
    </w:p>
    <w:p w14:paraId="7F9AC708" w14:textId="086A0C04" w:rsidR="004E4A06" w:rsidRPr="00C721D9" w:rsidRDefault="004E4A06" w:rsidP="00135B9D">
      <w:pPr>
        <w:jc w:val="both"/>
        <w:rPr>
          <w:rFonts w:asciiTheme="minorHAnsi" w:hAnsiTheme="minorHAnsi"/>
          <w:lang w:val="en-GB"/>
        </w:rPr>
      </w:pPr>
      <w:r w:rsidRPr="00C721D9">
        <w:rPr>
          <w:rFonts w:asciiTheme="minorHAnsi" w:hAnsiTheme="minorHAnsi"/>
          <w:lang w:val="en-GB"/>
        </w:rPr>
        <w:t>Nested account</w:t>
      </w:r>
      <w:r w:rsidR="00DC308F" w:rsidRPr="00C721D9">
        <w:rPr>
          <w:rFonts w:asciiTheme="minorHAnsi" w:hAnsiTheme="minorHAnsi"/>
          <w:lang w:val="en-GB"/>
        </w:rPr>
        <w:t xml:space="preserve"> are a</w:t>
      </w:r>
      <w:r w:rsidRPr="00C721D9">
        <w:rPr>
          <w:rFonts w:asciiTheme="minorHAnsi" w:hAnsiTheme="minorHAnsi"/>
          <w:lang w:val="en-GB"/>
        </w:rPr>
        <w:t>ccount</w:t>
      </w:r>
      <w:r w:rsidR="0039316B" w:rsidRPr="00C721D9">
        <w:rPr>
          <w:rFonts w:asciiTheme="minorHAnsi" w:hAnsiTheme="minorHAnsi"/>
          <w:lang w:val="en-GB"/>
        </w:rPr>
        <w:t>s</w:t>
      </w:r>
      <w:r w:rsidRPr="00C721D9">
        <w:rPr>
          <w:rFonts w:asciiTheme="minorHAnsi" w:hAnsiTheme="minorHAnsi"/>
          <w:lang w:val="en-GB"/>
        </w:rPr>
        <w:t xml:space="preserve"> where a financial institution (the nested financial institution) gains indirect access to</w:t>
      </w:r>
      <w:r w:rsidRPr="00C721D9">
        <w:rPr>
          <w:rFonts w:asciiTheme="minorHAnsi" w:hAnsiTheme="minorHAnsi"/>
        </w:rPr>
        <w:t xml:space="preserve"> conduct transactions and obtain access to other financial services</w:t>
      </w:r>
      <w:r w:rsidRPr="00C721D9">
        <w:rPr>
          <w:rFonts w:asciiTheme="minorHAnsi" w:hAnsiTheme="minorHAnsi"/>
          <w:lang w:val="en-GB"/>
        </w:rPr>
        <w:t xml:space="preserve"> by transacting through another financial institution’s (the respondent institution) correspondent account.</w:t>
      </w:r>
    </w:p>
    <w:tbl>
      <w:tblPr>
        <w:tblW w:w="92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3"/>
        <w:gridCol w:w="7616"/>
      </w:tblGrid>
      <w:tr w:rsidR="005E211E" w:rsidRPr="009B282E" w14:paraId="0FF1CA99" w14:textId="77777777" w:rsidTr="467A3946">
        <w:tc>
          <w:tcPr>
            <w:tcW w:w="16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924B4C" w14:textId="77777777" w:rsidR="0097506C" w:rsidRPr="009275BC" w:rsidRDefault="0097506C" w:rsidP="00F32516">
            <w:pPr>
              <w:pStyle w:val="InstructionsText"/>
              <w:rPr>
                <w:rStyle w:val="InstructionsTabelleText"/>
                <w:rFonts w:asciiTheme="minorHAnsi" w:hAnsiTheme="minorHAnsi"/>
                <w:bCs w:val="0"/>
                <w:lang w:eastAsia="en-US"/>
              </w:rPr>
            </w:pPr>
            <w:r w:rsidRPr="009275BC">
              <w:rPr>
                <w:rStyle w:val="InstructionsTabelleText"/>
                <w:rFonts w:asciiTheme="minorHAnsi" w:hAnsiTheme="minorHAnsi"/>
              </w:rPr>
              <w:t>Column code</w:t>
            </w:r>
          </w:p>
        </w:tc>
        <w:tc>
          <w:tcPr>
            <w:tcW w:w="76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5F5FFA" w14:textId="77777777" w:rsidR="0097506C" w:rsidRPr="009275BC" w:rsidRDefault="0097506C" w:rsidP="00F32516">
            <w:pPr>
              <w:pStyle w:val="InstructionsText"/>
              <w:rPr>
                <w:rStyle w:val="InstructionsTabelleText"/>
                <w:rFonts w:asciiTheme="minorHAnsi" w:hAnsiTheme="minorHAnsi"/>
                <w:bCs w:val="0"/>
                <w:lang w:eastAsia="en-US"/>
              </w:rPr>
            </w:pPr>
            <w:r w:rsidRPr="009275BC">
              <w:rPr>
                <w:rStyle w:val="InstructionsTabelleText"/>
                <w:rFonts w:asciiTheme="minorHAnsi" w:hAnsiTheme="minorHAnsi"/>
              </w:rPr>
              <w:t>Legal references and instructions</w:t>
            </w:r>
          </w:p>
        </w:tc>
      </w:tr>
      <w:tr w:rsidR="005E211E" w:rsidRPr="009B282E" w14:paraId="647B7D5D" w14:textId="77777777" w:rsidTr="00A1493E">
        <w:tc>
          <w:tcPr>
            <w:tcW w:w="1673" w:type="dxa"/>
            <w:tcBorders>
              <w:top w:val="single" w:sz="4" w:space="0" w:color="auto"/>
              <w:left w:val="single" w:sz="4" w:space="0" w:color="auto"/>
              <w:bottom w:val="single" w:sz="4" w:space="0" w:color="auto"/>
              <w:right w:val="single" w:sz="4" w:space="0" w:color="auto"/>
            </w:tcBorders>
            <w:vAlign w:val="center"/>
          </w:tcPr>
          <w:p w14:paraId="49F5FBB7" w14:textId="4F324AF6" w:rsidR="002A02ED" w:rsidRPr="009275BC" w:rsidRDefault="00CB0477"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C0010</w:t>
            </w:r>
          </w:p>
        </w:tc>
        <w:tc>
          <w:tcPr>
            <w:tcW w:w="7616" w:type="dxa"/>
            <w:tcBorders>
              <w:top w:val="single" w:sz="8" w:space="0" w:color="auto"/>
              <w:left w:val="single" w:sz="4" w:space="0" w:color="auto"/>
              <w:bottom w:val="single" w:sz="4" w:space="0" w:color="auto"/>
              <w:right w:val="single" w:sz="4" w:space="0" w:color="auto"/>
            </w:tcBorders>
            <w:vAlign w:val="center"/>
          </w:tcPr>
          <w:p w14:paraId="112DAAC3" w14:textId="77777777" w:rsidR="00491899" w:rsidRDefault="00491899" w:rsidP="00A1493E">
            <w:pPr>
              <w:pStyle w:val="InstructionsText2"/>
              <w:rPr>
                <w:rFonts w:asciiTheme="minorHAnsi" w:hAnsiTheme="minorHAnsi"/>
                <w:sz w:val="20"/>
                <w:lang w:val="en-IE"/>
              </w:rPr>
            </w:pPr>
            <w:r w:rsidRPr="00011DE0">
              <w:rPr>
                <w:rFonts w:ascii="Aptos" w:hAnsi="Aptos"/>
                <w:b/>
                <w:sz w:val="20"/>
                <w:u w:val="single"/>
                <w:lang w:val="en-IE"/>
              </w:rPr>
              <w:t>Respondent Client Transactions (Incoming) - Value</w:t>
            </w:r>
          </w:p>
          <w:p w14:paraId="7CC674CB" w14:textId="4E90B4DE" w:rsidR="00A1493E" w:rsidRPr="00A1493E" w:rsidRDefault="00491899" w:rsidP="00A11F39">
            <w:pPr>
              <w:pStyle w:val="InstructionsText2"/>
              <w:rPr>
                <w:rStyle w:val="InstructionsTabelleberschrift"/>
                <w:rFonts w:asciiTheme="minorHAnsi" w:hAnsiTheme="minorHAnsi"/>
                <w:b w:val="0"/>
                <w:bCs w:val="0"/>
                <w:u w:val="none"/>
              </w:rPr>
            </w:pPr>
            <w:r w:rsidRPr="00EE290F">
              <w:rPr>
                <w:rFonts w:asciiTheme="minorHAnsi" w:hAnsiTheme="minorHAnsi"/>
                <w:sz w:val="20"/>
                <w:lang w:val="en-IE"/>
              </w:rPr>
              <w:t xml:space="preserve">Indicate </w:t>
            </w:r>
            <w:r w:rsidR="00400ACE">
              <w:rPr>
                <w:rFonts w:asciiTheme="minorHAnsi" w:hAnsiTheme="minorHAnsi"/>
                <w:sz w:val="20"/>
                <w:lang w:val="en-IE"/>
              </w:rPr>
              <w:t>the t</w:t>
            </w:r>
            <w:r w:rsidR="00F149FF" w:rsidRPr="00EE290F">
              <w:rPr>
                <w:rStyle w:val="InstructionsTabelleberschrift"/>
                <w:rFonts w:asciiTheme="minorHAnsi" w:hAnsiTheme="minorHAnsi"/>
                <w:b w:val="0"/>
                <w:u w:val="none"/>
              </w:rPr>
              <w:t xml:space="preserve">otal </w:t>
            </w:r>
            <w:r w:rsidR="00400ACE">
              <w:rPr>
                <w:rStyle w:val="InstructionsTabelleberschrift"/>
                <w:rFonts w:asciiTheme="minorHAnsi" w:hAnsiTheme="minorHAnsi"/>
                <w:b w:val="0"/>
                <w:u w:val="none"/>
              </w:rPr>
              <w:t>v</w:t>
            </w:r>
            <w:r w:rsidR="00F149FF" w:rsidRPr="00EE290F">
              <w:rPr>
                <w:rStyle w:val="InstructionsTabelleberschrift"/>
                <w:rFonts w:asciiTheme="minorHAnsi" w:hAnsiTheme="minorHAnsi"/>
                <w:b w:val="0"/>
                <w:u w:val="none"/>
              </w:rPr>
              <w:t>alue of transactions executed on behalf of the respondent client (</w:t>
            </w:r>
            <w:r w:rsidR="00860AC2">
              <w:rPr>
                <w:rStyle w:val="InstructionsTabelleberschrift"/>
                <w:rFonts w:asciiTheme="minorHAnsi" w:hAnsiTheme="minorHAnsi"/>
                <w:b w:val="0"/>
                <w:u w:val="none"/>
              </w:rPr>
              <w:t>I</w:t>
            </w:r>
            <w:r w:rsidR="00F149FF" w:rsidRPr="00EE290F">
              <w:rPr>
                <w:rStyle w:val="InstructionsTabelleberschrift"/>
                <w:rFonts w:asciiTheme="minorHAnsi" w:hAnsiTheme="minorHAnsi"/>
                <w:b w:val="0"/>
                <w:u w:val="none"/>
              </w:rPr>
              <w:t>ncoming)</w:t>
            </w:r>
            <w:r w:rsidRPr="00F149FF">
              <w:rPr>
                <w:rFonts w:asciiTheme="minorHAnsi" w:hAnsiTheme="minorHAnsi"/>
                <w:b/>
                <w:bCs/>
                <w:sz w:val="20"/>
                <w:lang w:val="en-IE"/>
              </w:rPr>
              <w:t xml:space="preserve"> </w:t>
            </w:r>
            <w:r w:rsidRPr="00EE290F">
              <w:rPr>
                <w:rFonts w:asciiTheme="minorHAnsi" w:hAnsiTheme="minorHAnsi"/>
                <w:sz w:val="20"/>
                <w:lang w:val="en-IE"/>
              </w:rPr>
              <w:t>during the reference year.</w:t>
            </w:r>
          </w:p>
        </w:tc>
      </w:tr>
      <w:tr w:rsidR="005E211E" w:rsidRPr="009B282E" w14:paraId="1AAE9B1A" w14:textId="77777777" w:rsidTr="00A1493E">
        <w:tc>
          <w:tcPr>
            <w:tcW w:w="1673" w:type="dxa"/>
            <w:tcBorders>
              <w:top w:val="single" w:sz="4" w:space="0" w:color="auto"/>
              <w:left w:val="single" w:sz="4" w:space="0" w:color="auto"/>
              <w:bottom w:val="single" w:sz="4" w:space="0" w:color="auto"/>
              <w:right w:val="single" w:sz="4" w:space="0" w:color="auto"/>
            </w:tcBorders>
            <w:vAlign w:val="center"/>
          </w:tcPr>
          <w:p w14:paraId="70854F18" w14:textId="02D73729" w:rsidR="002A02ED" w:rsidRPr="009275BC" w:rsidRDefault="00CB0477"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C0020</w:t>
            </w:r>
          </w:p>
        </w:tc>
        <w:tc>
          <w:tcPr>
            <w:tcW w:w="7616" w:type="dxa"/>
            <w:tcBorders>
              <w:top w:val="nil"/>
              <w:left w:val="single" w:sz="4" w:space="0" w:color="auto"/>
              <w:bottom w:val="single" w:sz="4" w:space="0" w:color="auto"/>
              <w:right w:val="single" w:sz="4" w:space="0" w:color="auto"/>
            </w:tcBorders>
            <w:vAlign w:val="center"/>
          </w:tcPr>
          <w:p w14:paraId="1A8CBD5C" w14:textId="77777777" w:rsidR="00491899" w:rsidRDefault="00491899" w:rsidP="002A02ED">
            <w:pPr>
              <w:pStyle w:val="InstructionsText2"/>
              <w:rPr>
                <w:rFonts w:asciiTheme="minorHAnsi" w:hAnsiTheme="minorHAnsi"/>
                <w:sz w:val="20"/>
                <w:lang w:val="en-IE"/>
              </w:rPr>
            </w:pPr>
            <w:r w:rsidRPr="00461F9C">
              <w:rPr>
                <w:rFonts w:ascii="Aptos" w:hAnsi="Aptos"/>
                <w:b/>
                <w:sz w:val="20"/>
                <w:u w:val="single"/>
                <w:lang w:val="en-IE"/>
              </w:rPr>
              <w:t>Respondent Client Transactions (Outgoing) - Value</w:t>
            </w:r>
          </w:p>
          <w:p w14:paraId="453844A7" w14:textId="4F260B7D" w:rsidR="00A1493E" w:rsidRPr="00A1493E" w:rsidRDefault="00860AC2" w:rsidP="00A11F39">
            <w:pPr>
              <w:pStyle w:val="InstructionsText2"/>
              <w:rPr>
                <w:rStyle w:val="InstructionsTabelleberschrift"/>
                <w:rFonts w:asciiTheme="minorHAnsi" w:hAnsiTheme="minorHAnsi"/>
                <w:u w:val="none"/>
                <w:lang w:val="en-IE"/>
              </w:rPr>
            </w:pPr>
            <w:r w:rsidRPr="00BA007F">
              <w:rPr>
                <w:rFonts w:asciiTheme="minorHAnsi" w:hAnsiTheme="minorHAnsi"/>
                <w:sz w:val="20"/>
                <w:lang w:val="en-IE"/>
              </w:rPr>
              <w:t xml:space="preserve">Indicate </w:t>
            </w:r>
            <w:r w:rsidR="00400ACE">
              <w:rPr>
                <w:rFonts w:asciiTheme="minorHAnsi" w:hAnsiTheme="minorHAnsi"/>
                <w:sz w:val="20"/>
                <w:lang w:val="en-IE"/>
              </w:rPr>
              <w:t>the total v</w:t>
            </w:r>
            <w:r w:rsidRPr="00BA007F">
              <w:rPr>
                <w:rStyle w:val="InstructionsTabelleberschrift"/>
                <w:rFonts w:asciiTheme="minorHAnsi" w:hAnsiTheme="minorHAnsi"/>
                <w:b w:val="0"/>
                <w:u w:val="none"/>
              </w:rPr>
              <w:t>alue of transactions executed on behalf of the respondent client (</w:t>
            </w:r>
            <w:r>
              <w:rPr>
                <w:rStyle w:val="InstructionsTabelleberschrift"/>
                <w:rFonts w:asciiTheme="minorHAnsi" w:hAnsiTheme="minorHAnsi"/>
                <w:b w:val="0"/>
                <w:u w:val="none"/>
              </w:rPr>
              <w:t>Outgoing</w:t>
            </w:r>
            <w:r w:rsidRPr="00BA007F">
              <w:rPr>
                <w:rStyle w:val="InstructionsTabelleberschrift"/>
                <w:rFonts w:asciiTheme="minorHAnsi" w:hAnsiTheme="minorHAnsi"/>
                <w:b w:val="0"/>
                <w:u w:val="none"/>
              </w:rPr>
              <w:t>)</w:t>
            </w:r>
            <w:r w:rsidRPr="00F149FF">
              <w:rPr>
                <w:rFonts w:asciiTheme="minorHAnsi" w:hAnsiTheme="minorHAnsi"/>
                <w:b/>
                <w:bCs/>
                <w:sz w:val="20"/>
                <w:lang w:val="en-IE"/>
              </w:rPr>
              <w:t xml:space="preserve"> </w:t>
            </w:r>
            <w:r w:rsidRPr="00BA007F">
              <w:rPr>
                <w:rFonts w:asciiTheme="minorHAnsi" w:hAnsiTheme="minorHAnsi"/>
                <w:sz w:val="20"/>
                <w:lang w:val="en-IE"/>
              </w:rPr>
              <w:t>during the reference year.</w:t>
            </w:r>
          </w:p>
        </w:tc>
      </w:tr>
      <w:tr w:rsidR="005E211E" w:rsidRPr="009B282E" w14:paraId="60FD43FB" w14:textId="77777777" w:rsidTr="00A1493E">
        <w:tc>
          <w:tcPr>
            <w:tcW w:w="1673" w:type="dxa"/>
            <w:tcBorders>
              <w:top w:val="single" w:sz="4" w:space="0" w:color="auto"/>
              <w:left w:val="single" w:sz="4" w:space="0" w:color="auto"/>
              <w:bottom w:val="single" w:sz="4" w:space="0" w:color="auto"/>
              <w:right w:val="single" w:sz="4" w:space="0" w:color="auto"/>
            </w:tcBorders>
            <w:vAlign w:val="center"/>
          </w:tcPr>
          <w:p w14:paraId="37810585" w14:textId="29047FC5" w:rsidR="002A02ED" w:rsidRPr="009275BC" w:rsidRDefault="00CB0477"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C0030</w:t>
            </w:r>
          </w:p>
        </w:tc>
        <w:tc>
          <w:tcPr>
            <w:tcW w:w="7616" w:type="dxa"/>
            <w:tcBorders>
              <w:top w:val="nil"/>
              <w:left w:val="single" w:sz="4" w:space="0" w:color="auto"/>
              <w:bottom w:val="single" w:sz="4" w:space="0" w:color="auto"/>
              <w:right w:val="single" w:sz="4" w:space="0" w:color="auto"/>
            </w:tcBorders>
            <w:vAlign w:val="center"/>
          </w:tcPr>
          <w:p w14:paraId="6FAC8C80" w14:textId="77777777" w:rsidR="00491899" w:rsidRDefault="00491899" w:rsidP="002A02ED">
            <w:pPr>
              <w:pStyle w:val="InstructionsText2"/>
              <w:rPr>
                <w:rFonts w:asciiTheme="minorHAnsi" w:hAnsiTheme="minorHAnsi"/>
                <w:sz w:val="20"/>
                <w:lang w:val="en-IE"/>
              </w:rPr>
            </w:pPr>
            <w:r w:rsidRPr="00291609">
              <w:rPr>
                <w:rFonts w:ascii="Aptos" w:hAnsi="Aptos"/>
                <w:b/>
                <w:sz w:val="20"/>
                <w:u w:val="single"/>
                <w:lang w:val="en-IE"/>
              </w:rPr>
              <w:t>Payable Through Accounts (Incoming) - Value</w:t>
            </w:r>
          </w:p>
          <w:p w14:paraId="6BBD8752" w14:textId="458CA12F" w:rsidR="00A1493E" w:rsidRPr="00A1493E" w:rsidRDefault="00491899" w:rsidP="00A11F39">
            <w:pPr>
              <w:pStyle w:val="InstructionsText2"/>
              <w:rPr>
                <w:rStyle w:val="InstructionsTabelleberschrift"/>
                <w:rFonts w:asciiTheme="minorHAnsi" w:hAnsiTheme="minorHAnsi"/>
                <w:u w:val="none"/>
                <w:lang w:val="en-IE"/>
              </w:rPr>
            </w:pPr>
            <w:r w:rsidRPr="00555273">
              <w:rPr>
                <w:rFonts w:asciiTheme="minorHAnsi" w:hAnsiTheme="minorHAnsi"/>
                <w:sz w:val="20"/>
                <w:lang w:val="en-IE"/>
              </w:rPr>
              <w:t xml:space="preserve">Indicate </w:t>
            </w:r>
            <w:r w:rsidR="00087B44" w:rsidRPr="00555273">
              <w:rPr>
                <w:rFonts w:asciiTheme="minorHAnsi" w:hAnsiTheme="minorHAnsi"/>
                <w:sz w:val="20"/>
                <w:lang w:val="en-IE"/>
              </w:rPr>
              <w:t>the t</w:t>
            </w:r>
            <w:r w:rsidR="00087B44" w:rsidRPr="00555273">
              <w:rPr>
                <w:rStyle w:val="InstructionsTabelleberschrift"/>
                <w:rFonts w:asciiTheme="minorHAnsi" w:hAnsiTheme="minorHAnsi"/>
                <w:b w:val="0"/>
                <w:u w:val="none"/>
              </w:rPr>
              <w:t>otal value of transactions gone through payable through accounts (</w:t>
            </w:r>
            <w:r w:rsidR="009A5272">
              <w:rPr>
                <w:rStyle w:val="InstructionsTabelleberschrift"/>
                <w:rFonts w:asciiTheme="minorHAnsi" w:hAnsiTheme="minorHAnsi"/>
                <w:b w:val="0"/>
                <w:u w:val="none"/>
              </w:rPr>
              <w:t>I</w:t>
            </w:r>
            <w:r w:rsidR="00087B44" w:rsidRPr="00555273">
              <w:rPr>
                <w:rStyle w:val="InstructionsTabelleberschrift"/>
                <w:rFonts w:asciiTheme="minorHAnsi" w:hAnsiTheme="minorHAnsi"/>
                <w:b w:val="0"/>
                <w:u w:val="none"/>
              </w:rPr>
              <w:t>ncoming)</w:t>
            </w:r>
            <w:r w:rsidRPr="0093551B">
              <w:rPr>
                <w:rFonts w:asciiTheme="minorHAnsi" w:hAnsiTheme="minorHAnsi"/>
                <w:sz w:val="20"/>
                <w:lang w:val="en-IE"/>
              </w:rPr>
              <w:t xml:space="preserve"> during the reference year.</w:t>
            </w:r>
          </w:p>
        </w:tc>
      </w:tr>
      <w:tr w:rsidR="005E211E" w:rsidRPr="009B282E" w14:paraId="2E3536AF" w14:textId="77777777" w:rsidTr="00A1493E">
        <w:tc>
          <w:tcPr>
            <w:tcW w:w="1673" w:type="dxa"/>
            <w:tcBorders>
              <w:top w:val="single" w:sz="4" w:space="0" w:color="auto"/>
              <w:left w:val="single" w:sz="4" w:space="0" w:color="auto"/>
              <w:bottom w:val="single" w:sz="4" w:space="0" w:color="auto"/>
              <w:right w:val="single" w:sz="4" w:space="0" w:color="auto"/>
            </w:tcBorders>
            <w:vAlign w:val="center"/>
          </w:tcPr>
          <w:p w14:paraId="6F25E34D" w14:textId="6473023C" w:rsidR="002A02ED" w:rsidRPr="009275BC" w:rsidRDefault="00CB0477"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C0040</w:t>
            </w:r>
          </w:p>
        </w:tc>
        <w:tc>
          <w:tcPr>
            <w:tcW w:w="7616" w:type="dxa"/>
            <w:tcBorders>
              <w:top w:val="nil"/>
              <w:left w:val="single" w:sz="4" w:space="0" w:color="auto"/>
              <w:bottom w:val="single" w:sz="4" w:space="0" w:color="auto"/>
              <w:right w:val="single" w:sz="4" w:space="0" w:color="auto"/>
            </w:tcBorders>
            <w:vAlign w:val="center"/>
          </w:tcPr>
          <w:p w14:paraId="0E9B7C79" w14:textId="1B7E2602" w:rsidR="00491899" w:rsidRDefault="00491899" w:rsidP="002A02ED">
            <w:pPr>
              <w:pStyle w:val="InstructionsText2"/>
              <w:rPr>
                <w:rFonts w:asciiTheme="minorHAnsi" w:hAnsiTheme="minorHAnsi"/>
                <w:sz w:val="20"/>
                <w:szCs w:val="20"/>
                <w:lang w:val="en-IE"/>
              </w:rPr>
            </w:pPr>
            <w:r w:rsidRPr="5E53EA6E">
              <w:rPr>
                <w:rFonts w:ascii="Aptos" w:hAnsi="Aptos"/>
                <w:b/>
                <w:sz w:val="20"/>
                <w:szCs w:val="20"/>
                <w:u w:val="single"/>
                <w:lang w:val="en-IE"/>
              </w:rPr>
              <w:t>Payable Through Accounts (Outgoing) - Value</w:t>
            </w:r>
          </w:p>
          <w:p w14:paraId="1B8DE920" w14:textId="176A5902" w:rsidR="00A1493E" w:rsidRPr="00A1493E" w:rsidRDefault="009A5272" w:rsidP="00A11F39">
            <w:pPr>
              <w:pStyle w:val="InstructionsText2"/>
              <w:rPr>
                <w:rStyle w:val="InstructionsTabelleberschrift"/>
                <w:rFonts w:asciiTheme="minorHAnsi" w:hAnsiTheme="minorHAnsi"/>
                <w:u w:val="none"/>
                <w:lang w:val="en-IE"/>
              </w:rPr>
            </w:pPr>
            <w:r w:rsidRPr="00BA007F">
              <w:rPr>
                <w:rFonts w:asciiTheme="minorHAnsi" w:hAnsiTheme="minorHAnsi"/>
                <w:sz w:val="20"/>
                <w:lang w:val="en-IE"/>
              </w:rPr>
              <w:t>Indicate the t</w:t>
            </w:r>
            <w:r w:rsidRPr="00BA007F">
              <w:rPr>
                <w:rStyle w:val="InstructionsTabelleberschrift"/>
                <w:rFonts w:asciiTheme="minorHAnsi" w:hAnsiTheme="minorHAnsi"/>
                <w:b w:val="0"/>
                <w:u w:val="none"/>
              </w:rPr>
              <w:t>otal value of transactions gone through payable through accounts (</w:t>
            </w:r>
            <w:r>
              <w:rPr>
                <w:rStyle w:val="InstructionsTabelleberschrift"/>
                <w:rFonts w:asciiTheme="minorHAnsi" w:hAnsiTheme="minorHAnsi"/>
                <w:b w:val="0"/>
                <w:u w:val="none"/>
              </w:rPr>
              <w:t>Outgoing</w:t>
            </w:r>
            <w:r w:rsidRPr="00BA007F">
              <w:rPr>
                <w:rStyle w:val="InstructionsTabelleberschrift"/>
                <w:rFonts w:asciiTheme="minorHAnsi" w:hAnsiTheme="minorHAnsi"/>
                <w:b w:val="0"/>
                <w:u w:val="none"/>
              </w:rPr>
              <w:t>)</w:t>
            </w:r>
            <w:r w:rsidRPr="00BA007F">
              <w:rPr>
                <w:rFonts w:asciiTheme="minorHAnsi" w:hAnsiTheme="minorHAnsi"/>
                <w:sz w:val="20"/>
                <w:lang w:val="en-IE"/>
              </w:rPr>
              <w:t xml:space="preserve"> during the reference year.</w:t>
            </w:r>
          </w:p>
        </w:tc>
      </w:tr>
      <w:tr w:rsidR="005E211E" w:rsidRPr="009B282E" w14:paraId="6CC6F264" w14:textId="77777777" w:rsidTr="00A1493E">
        <w:trPr>
          <w:trHeight w:val="54"/>
        </w:trPr>
        <w:tc>
          <w:tcPr>
            <w:tcW w:w="1673" w:type="dxa"/>
            <w:tcBorders>
              <w:top w:val="single" w:sz="4" w:space="0" w:color="auto"/>
              <w:left w:val="single" w:sz="4" w:space="0" w:color="auto"/>
              <w:bottom w:val="single" w:sz="4" w:space="0" w:color="auto"/>
              <w:right w:val="single" w:sz="4" w:space="0" w:color="auto"/>
            </w:tcBorders>
            <w:vAlign w:val="center"/>
          </w:tcPr>
          <w:p w14:paraId="4A7FAB0B" w14:textId="7D3E5725" w:rsidR="002A02ED" w:rsidRPr="009275BC" w:rsidRDefault="00CB0477"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C0050</w:t>
            </w:r>
          </w:p>
        </w:tc>
        <w:tc>
          <w:tcPr>
            <w:tcW w:w="7616" w:type="dxa"/>
            <w:tcBorders>
              <w:top w:val="nil"/>
              <w:left w:val="single" w:sz="4" w:space="0" w:color="auto"/>
              <w:bottom w:val="single" w:sz="4" w:space="0" w:color="auto"/>
              <w:right w:val="single" w:sz="4" w:space="0" w:color="auto"/>
            </w:tcBorders>
            <w:vAlign w:val="center"/>
          </w:tcPr>
          <w:p w14:paraId="59DD98A6" w14:textId="63DA2437" w:rsidR="00491899" w:rsidRDefault="00491899" w:rsidP="002A02ED">
            <w:pPr>
              <w:pStyle w:val="InstructionsText2"/>
              <w:rPr>
                <w:rFonts w:asciiTheme="minorHAnsi" w:hAnsiTheme="minorHAnsi"/>
                <w:sz w:val="20"/>
                <w:szCs w:val="20"/>
                <w:lang w:val="en-IE"/>
              </w:rPr>
            </w:pPr>
            <w:r w:rsidRPr="5E53EA6E">
              <w:rPr>
                <w:rFonts w:ascii="Aptos" w:hAnsi="Aptos"/>
                <w:b/>
                <w:sz w:val="20"/>
                <w:szCs w:val="20"/>
                <w:u w:val="single"/>
                <w:lang w:val="en-IE"/>
              </w:rPr>
              <w:t>Nested Accounts (Incoming) - Value</w:t>
            </w:r>
          </w:p>
          <w:p w14:paraId="1ED1AC2D" w14:textId="55B98447" w:rsidR="00A1493E" w:rsidRPr="00A1493E" w:rsidRDefault="00491899" w:rsidP="00A11F39">
            <w:pPr>
              <w:pStyle w:val="InstructionsText2"/>
              <w:rPr>
                <w:rStyle w:val="InstructionsTabelleberschrift"/>
                <w:rFonts w:asciiTheme="minorHAnsi" w:hAnsiTheme="minorHAnsi"/>
                <w:u w:val="none"/>
                <w:lang w:val="en-IE"/>
              </w:rPr>
            </w:pPr>
            <w:r w:rsidRPr="00D172F5">
              <w:rPr>
                <w:rFonts w:asciiTheme="minorHAnsi" w:hAnsiTheme="minorHAnsi"/>
                <w:sz w:val="20"/>
                <w:lang w:val="en-IE"/>
              </w:rPr>
              <w:t xml:space="preserve">Indicate </w:t>
            </w:r>
            <w:r w:rsidR="00085DAA" w:rsidRPr="00D172F5">
              <w:rPr>
                <w:rFonts w:asciiTheme="minorHAnsi" w:hAnsiTheme="minorHAnsi"/>
                <w:sz w:val="20"/>
                <w:lang w:val="en-IE"/>
              </w:rPr>
              <w:t xml:space="preserve">the total value </w:t>
            </w:r>
            <w:r w:rsidR="00085DAA" w:rsidRPr="00D172F5">
              <w:rPr>
                <w:rStyle w:val="InstructionsTabelleberschrift"/>
                <w:rFonts w:asciiTheme="minorHAnsi" w:hAnsiTheme="minorHAnsi"/>
                <w:b w:val="0"/>
                <w:u w:val="none"/>
              </w:rPr>
              <w:t xml:space="preserve">of transactions gone through nested accounts </w:t>
            </w:r>
            <w:r w:rsidR="00702F5E">
              <w:rPr>
                <w:rStyle w:val="InstructionsTabelleberschrift"/>
                <w:rFonts w:asciiTheme="minorHAnsi" w:hAnsiTheme="minorHAnsi"/>
                <w:b w:val="0"/>
                <w:u w:val="none"/>
              </w:rPr>
              <w:t>(I</w:t>
            </w:r>
            <w:r w:rsidR="00085DAA" w:rsidRPr="00D172F5">
              <w:rPr>
                <w:rStyle w:val="InstructionsTabelleberschrift"/>
                <w:rFonts w:asciiTheme="minorHAnsi" w:hAnsiTheme="minorHAnsi"/>
                <w:b w:val="0"/>
                <w:u w:val="none"/>
              </w:rPr>
              <w:t>ncoming)</w:t>
            </w:r>
          </w:p>
        </w:tc>
      </w:tr>
      <w:tr w:rsidR="005E211E" w:rsidRPr="009B282E" w14:paraId="11F7B4F7" w14:textId="77777777" w:rsidTr="00A1493E">
        <w:tc>
          <w:tcPr>
            <w:tcW w:w="1673" w:type="dxa"/>
            <w:tcBorders>
              <w:top w:val="single" w:sz="4" w:space="0" w:color="auto"/>
              <w:left w:val="single" w:sz="4" w:space="0" w:color="auto"/>
              <w:bottom w:val="single" w:sz="4" w:space="0" w:color="auto"/>
              <w:right w:val="single" w:sz="4" w:space="0" w:color="auto"/>
            </w:tcBorders>
            <w:vAlign w:val="center"/>
          </w:tcPr>
          <w:p w14:paraId="274DE170" w14:textId="74296D22" w:rsidR="002A02ED" w:rsidRPr="009275BC" w:rsidRDefault="00CB0477" w:rsidP="00F32516">
            <w:pPr>
              <w:pStyle w:val="InstructionsText"/>
              <w:rPr>
                <w:rStyle w:val="FormatvorlageInstructionsTabelleText"/>
                <w:rFonts w:asciiTheme="minorHAnsi" w:hAnsiTheme="minorHAnsi"/>
                <w:bCs/>
              </w:rPr>
            </w:pPr>
            <w:r w:rsidRPr="009275BC">
              <w:rPr>
                <w:rStyle w:val="FormatvorlageInstructionsTabelleText"/>
                <w:rFonts w:asciiTheme="minorHAnsi" w:hAnsiTheme="minorHAnsi"/>
              </w:rPr>
              <w:t>C0060</w:t>
            </w:r>
          </w:p>
        </w:tc>
        <w:tc>
          <w:tcPr>
            <w:tcW w:w="7616" w:type="dxa"/>
            <w:tcBorders>
              <w:top w:val="nil"/>
              <w:left w:val="single" w:sz="4" w:space="0" w:color="auto"/>
              <w:bottom w:val="single" w:sz="8" w:space="0" w:color="auto"/>
              <w:right w:val="single" w:sz="4" w:space="0" w:color="auto"/>
            </w:tcBorders>
            <w:vAlign w:val="center"/>
          </w:tcPr>
          <w:p w14:paraId="12F45085" w14:textId="146AE435" w:rsidR="00491899" w:rsidRDefault="00491899" w:rsidP="002A02ED">
            <w:pPr>
              <w:pStyle w:val="InstructionsText2"/>
              <w:rPr>
                <w:rFonts w:asciiTheme="minorHAnsi" w:hAnsiTheme="minorHAnsi"/>
                <w:sz w:val="20"/>
                <w:szCs w:val="20"/>
                <w:lang w:val="en-IE"/>
              </w:rPr>
            </w:pPr>
            <w:r w:rsidRPr="5E53EA6E">
              <w:rPr>
                <w:rFonts w:ascii="Aptos" w:hAnsi="Aptos"/>
                <w:b/>
                <w:sz w:val="20"/>
                <w:szCs w:val="20"/>
                <w:u w:val="single"/>
                <w:lang w:val="en-IE"/>
              </w:rPr>
              <w:t>Nested Accounts (Outgoing) - Value</w:t>
            </w:r>
          </w:p>
          <w:p w14:paraId="71CE49F2" w14:textId="6FF1A4B4" w:rsidR="00A1493E" w:rsidRPr="008A12BA" w:rsidRDefault="00702F5E" w:rsidP="00A11F39">
            <w:pPr>
              <w:pStyle w:val="InstructionsText2"/>
              <w:rPr>
                <w:rStyle w:val="InstructionsTabelleberschrift"/>
                <w:rFonts w:asciiTheme="minorHAnsi" w:hAnsiTheme="minorHAnsi"/>
                <w:bCs w:val="0"/>
              </w:rPr>
            </w:pPr>
            <w:r w:rsidRPr="00BA007F">
              <w:rPr>
                <w:rFonts w:asciiTheme="minorHAnsi" w:hAnsiTheme="minorHAnsi"/>
                <w:sz w:val="20"/>
                <w:lang w:val="en-IE"/>
              </w:rPr>
              <w:t xml:space="preserve">Indicate the total value </w:t>
            </w:r>
            <w:r w:rsidRPr="00BA007F">
              <w:rPr>
                <w:rStyle w:val="InstructionsTabelleberschrift"/>
                <w:rFonts w:asciiTheme="minorHAnsi" w:hAnsiTheme="minorHAnsi"/>
                <w:b w:val="0"/>
                <w:u w:val="none"/>
              </w:rPr>
              <w:t>of transactions gone through nested accounts (</w:t>
            </w:r>
            <w:r>
              <w:rPr>
                <w:rStyle w:val="InstructionsTabelleberschrift"/>
                <w:rFonts w:asciiTheme="minorHAnsi" w:hAnsiTheme="minorHAnsi"/>
                <w:b w:val="0"/>
                <w:u w:val="none"/>
              </w:rPr>
              <w:t>Outgoing</w:t>
            </w:r>
            <w:r w:rsidRPr="00BA007F">
              <w:rPr>
                <w:rStyle w:val="InstructionsTabelleberschrift"/>
                <w:rFonts w:asciiTheme="minorHAnsi" w:hAnsiTheme="minorHAnsi"/>
                <w:b w:val="0"/>
                <w:u w:val="none"/>
              </w:rPr>
              <w:t>)</w:t>
            </w:r>
          </w:p>
        </w:tc>
      </w:tr>
    </w:tbl>
    <w:p w14:paraId="4FA70051" w14:textId="5E67D032" w:rsidR="00F84E76" w:rsidRPr="009B282E" w:rsidRDefault="00E76C53" w:rsidP="00CB14A2">
      <w:pPr>
        <w:pStyle w:val="Heading3"/>
        <w:rPr>
          <w:lang w:val="en-GB"/>
        </w:rPr>
      </w:pPr>
      <w:bookmarkStart w:id="170" w:name="_Toc223086561"/>
      <w:bookmarkStart w:id="171" w:name="_Toc223086655"/>
      <w:bookmarkStart w:id="172" w:name="_Toc223086749"/>
      <w:bookmarkStart w:id="173" w:name="_Toc223086843"/>
      <w:bookmarkStart w:id="174" w:name="_Toc221355981"/>
      <w:bookmarkStart w:id="175" w:name="_Toc223104847"/>
      <w:bookmarkEnd w:id="170"/>
      <w:bookmarkEnd w:id="171"/>
      <w:bookmarkEnd w:id="172"/>
      <w:bookmarkEnd w:id="173"/>
      <w:r w:rsidRPr="009B282E">
        <w:rPr>
          <w:lang w:val="en-GB"/>
        </w:rPr>
        <w:t xml:space="preserve">AML.04.05 </w:t>
      </w:r>
      <w:r w:rsidR="00F84E76" w:rsidRPr="009B282E">
        <w:rPr>
          <w:lang w:val="en-GB"/>
        </w:rPr>
        <w:t>Trade Finance</w:t>
      </w:r>
      <w:bookmarkEnd w:id="174"/>
      <w:bookmarkEnd w:id="175"/>
    </w:p>
    <w:p w14:paraId="32D6BD10" w14:textId="77777777" w:rsidR="006B6D53" w:rsidRPr="00A017EB" w:rsidRDefault="006B6D53" w:rsidP="006B6D53">
      <w:pPr>
        <w:rPr>
          <w:rFonts w:asciiTheme="minorHAnsi" w:hAnsiTheme="minorHAnsi"/>
          <w:b/>
          <w:bCs/>
          <w:iCs/>
        </w:rPr>
      </w:pPr>
      <w:r w:rsidRPr="00A017EB">
        <w:rPr>
          <w:rFonts w:asciiTheme="minorHAnsi" w:hAnsiTheme="minorHAnsi"/>
          <w:b/>
          <w:bCs/>
          <w:iCs/>
        </w:rPr>
        <w:t>Template Remarks</w:t>
      </w:r>
    </w:p>
    <w:p w14:paraId="731FE4D4" w14:textId="007A2491" w:rsidR="006B6D53" w:rsidRDefault="006B6D53" w:rsidP="006B6D53">
      <w:pPr>
        <w:jc w:val="both"/>
        <w:rPr>
          <w:rFonts w:asciiTheme="minorHAnsi" w:hAnsiTheme="minorHAnsi"/>
          <w:bCs/>
          <w:iCs/>
        </w:rPr>
      </w:pPr>
      <w:r w:rsidRPr="00A017EB">
        <w:rPr>
          <w:rFonts w:asciiTheme="minorHAnsi" w:hAnsiTheme="minorHAnsi"/>
          <w:lang w:val="en-GB"/>
        </w:rPr>
        <w:t xml:space="preserve">Fill out this template if you </w:t>
      </w:r>
      <w:r w:rsidRPr="00A017EB">
        <w:rPr>
          <w:rFonts w:asciiTheme="minorHAnsi" w:hAnsiTheme="minorHAnsi"/>
        </w:rPr>
        <w:t xml:space="preserve">offer some of these services and/or products, normally this template is applicable for </w:t>
      </w:r>
      <w:r w:rsidRPr="003B7B62">
        <w:rPr>
          <w:rFonts w:asciiTheme="minorHAnsi" w:hAnsiTheme="minorHAnsi"/>
          <w:bCs/>
          <w:iCs/>
        </w:rPr>
        <w:t xml:space="preserve">CI </w:t>
      </w:r>
      <w:r>
        <w:rPr>
          <w:rFonts w:asciiTheme="minorHAnsi" w:hAnsiTheme="minorHAnsi"/>
          <w:bCs/>
          <w:iCs/>
        </w:rPr>
        <w:t>and CP</w:t>
      </w:r>
      <w:r w:rsidRPr="00A017EB">
        <w:rPr>
          <w:rFonts w:asciiTheme="minorHAnsi" w:hAnsiTheme="minorHAnsi"/>
        </w:rPr>
        <w:t>.</w:t>
      </w:r>
    </w:p>
    <w:p w14:paraId="560C6670" w14:textId="2800F117" w:rsidR="00805E78" w:rsidRPr="00DE6640" w:rsidRDefault="000E3FEF" w:rsidP="00135B9D">
      <w:pPr>
        <w:jc w:val="both"/>
        <w:rPr>
          <w:rFonts w:asciiTheme="minorHAnsi" w:hAnsiTheme="minorHAnsi"/>
        </w:rPr>
      </w:pPr>
      <w:r w:rsidRPr="4EE85BFC">
        <w:rPr>
          <w:rFonts w:asciiTheme="minorHAnsi" w:hAnsiTheme="minorHAnsi"/>
        </w:rPr>
        <w:t>Reporting o</w:t>
      </w:r>
      <w:r w:rsidR="00C67872" w:rsidRPr="4EE85BFC">
        <w:rPr>
          <w:rFonts w:asciiTheme="minorHAnsi" w:hAnsiTheme="minorHAnsi"/>
        </w:rPr>
        <w:t xml:space="preserve">bliged entities should refer to the </w:t>
      </w:r>
      <w:r w:rsidR="00047E4C" w:rsidRPr="4EE85BFC">
        <w:rPr>
          <w:rFonts w:asciiTheme="minorHAnsi" w:hAnsiTheme="minorHAnsi"/>
        </w:rPr>
        <w:t xml:space="preserve">definition of trade finance provided for in Article </w:t>
      </w:r>
      <w:r w:rsidR="00103CA4" w:rsidRPr="4EE85BFC">
        <w:rPr>
          <w:rFonts w:asciiTheme="minorHAnsi" w:hAnsiTheme="minorHAnsi"/>
        </w:rPr>
        <w:t>4</w:t>
      </w:r>
      <w:r w:rsidR="00FB6398" w:rsidRPr="4EE85BFC">
        <w:rPr>
          <w:rFonts w:asciiTheme="minorHAnsi" w:hAnsiTheme="minorHAnsi"/>
        </w:rPr>
        <w:t>(</w:t>
      </w:r>
      <w:r w:rsidR="00103CA4" w:rsidRPr="4EE85BFC">
        <w:rPr>
          <w:rFonts w:asciiTheme="minorHAnsi" w:hAnsiTheme="minorHAnsi"/>
        </w:rPr>
        <w:t>1</w:t>
      </w:r>
      <w:r w:rsidR="00FB6398" w:rsidRPr="4EE85BFC">
        <w:rPr>
          <w:rFonts w:asciiTheme="minorHAnsi" w:hAnsiTheme="minorHAnsi"/>
        </w:rPr>
        <w:t>)</w:t>
      </w:r>
      <w:r w:rsidR="00103CA4" w:rsidRPr="4EE85BFC">
        <w:rPr>
          <w:rFonts w:asciiTheme="minorHAnsi" w:hAnsiTheme="minorHAnsi"/>
        </w:rPr>
        <w:t xml:space="preserve">(80) of Regulation </w:t>
      </w:r>
      <w:r w:rsidR="00C67D27" w:rsidRPr="4EE85BFC">
        <w:rPr>
          <w:rFonts w:asciiTheme="minorHAnsi" w:hAnsiTheme="minorHAnsi"/>
        </w:rPr>
        <w:t>(UE) No 575/2013 (CRR).</w:t>
      </w:r>
    </w:p>
    <w:p w14:paraId="0570B3A2" w14:textId="545720EB" w:rsidR="00546ACC" w:rsidRDefault="00546ACC" w:rsidP="00135B9D">
      <w:pPr>
        <w:jc w:val="both"/>
        <w:rPr>
          <w:rFonts w:asciiTheme="minorHAnsi" w:hAnsiTheme="minorHAnsi"/>
          <w:lang w:val="en-GB"/>
        </w:rPr>
      </w:pPr>
      <w:r w:rsidRPr="00DE6640">
        <w:rPr>
          <w:rFonts w:asciiTheme="minorHAnsi" w:hAnsiTheme="minorHAnsi"/>
          <w:lang w:val="en-GB"/>
        </w:rPr>
        <w:t xml:space="preserve">Trade Finance Transaction: A completed trade finance operation that results in an actual transfer of funds. </w:t>
      </w:r>
    </w:p>
    <w:p w14:paraId="38645AC8" w14:textId="2436E3EE" w:rsidR="006A7947" w:rsidRPr="00E930E8" w:rsidRDefault="00C251DF" w:rsidP="00135B9D">
      <w:pPr>
        <w:jc w:val="both"/>
        <w:rPr>
          <w:rFonts w:asciiTheme="minorHAnsi" w:hAnsiTheme="minorHAnsi"/>
          <w:lang w:val="en-GB"/>
        </w:rPr>
      </w:pPr>
      <w:r w:rsidRPr="00E930E8">
        <w:rPr>
          <w:rFonts w:asciiTheme="minorHAnsi" w:hAnsiTheme="minorHAnsi"/>
          <w:lang w:val="en-GB"/>
        </w:rPr>
        <w:t>Incoming trade finance transactions involve the import of goods or services, where the importer pays the exporter for the goods or services received.</w:t>
      </w:r>
    </w:p>
    <w:p w14:paraId="690BC236" w14:textId="2B73D17F" w:rsidR="00C251DF" w:rsidRPr="00DE6640" w:rsidRDefault="00E930E8" w:rsidP="00135B9D">
      <w:pPr>
        <w:jc w:val="both"/>
        <w:rPr>
          <w:rFonts w:asciiTheme="minorHAnsi" w:hAnsiTheme="minorHAnsi"/>
          <w:lang w:val="en-GB"/>
        </w:rPr>
      </w:pPr>
      <w:r w:rsidRPr="00E930E8">
        <w:rPr>
          <w:rFonts w:asciiTheme="minorHAnsi" w:hAnsiTheme="minorHAnsi"/>
          <w:lang w:val="en-GB"/>
        </w:rPr>
        <w:t>Outgoing trade finance transactions, involve the export of goods or services, where the exporter receives payment from the importer.</w:t>
      </w:r>
    </w:p>
    <w:tbl>
      <w:tblPr>
        <w:tblW w:w="92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3"/>
        <w:gridCol w:w="7616"/>
      </w:tblGrid>
      <w:tr w:rsidR="005E211E" w:rsidRPr="009B282E" w14:paraId="49E7944F" w14:textId="77777777" w:rsidTr="152E1A59">
        <w:tc>
          <w:tcPr>
            <w:tcW w:w="16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657E0E" w14:textId="77777777" w:rsidR="0097506C" w:rsidRPr="009275BC" w:rsidRDefault="0097506C" w:rsidP="00F32516">
            <w:pPr>
              <w:pStyle w:val="InstructionsText"/>
              <w:rPr>
                <w:rStyle w:val="InstructionsTabelleText"/>
                <w:rFonts w:asciiTheme="minorHAnsi" w:hAnsiTheme="minorHAnsi"/>
                <w:bCs w:val="0"/>
                <w:lang w:eastAsia="en-US"/>
              </w:rPr>
            </w:pPr>
            <w:r w:rsidRPr="009275BC">
              <w:rPr>
                <w:rStyle w:val="InstructionsTabelleText"/>
                <w:rFonts w:asciiTheme="minorHAnsi" w:hAnsiTheme="minorHAnsi"/>
              </w:rPr>
              <w:t>Column code</w:t>
            </w:r>
          </w:p>
        </w:tc>
        <w:tc>
          <w:tcPr>
            <w:tcW w:w="76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A1A298" w14:textId="77777777" w:rsidR="0097506C" w:rsidRPr="009275BC" w:rsidRDefault="0097506C" w:rsidP="00F32516">
            <w:pPr>
              <w:pStyle w:val="InstructionsText"/>
              <w:rPr>
                <w:rStyle w:val="InstructionsTabelleText"/>
                <w:rFonts w:asciiTheme="minorHAnsi" w:hAnsiTheme="minorHAnsi"/>
                <w:bCs w:val="0"/>
                <w:lang w:eastAsia="en-US"/>
              </w:rPr>
            </w:pPr>
            <w:r w:rsidRPr="009275BC">
              <w:rPr>
                <w:rStyle w:val="InstructionsTabelleText"/>
                <w:rFonts w:asciiTheme="minorHAnsi" w:hAnsiTheme="minorHAnsi"/>
              </w:rPr>
              <w:t>Legal references and instructions</w:t>
            </w:r>
          </w:p>
        </w:tc>
      </w:tr>
      <w:tr w:rsidR="005E211E" w:rsidRPr="009B282E" w14:paraId="18A8EF3A" w14:textId="77777777" w:rsidTr="00DE6640">
        <w:tc>
          <w:tcPr>
            <w:tcW w:w="1673" w:type="dxa"/>
            <w:tcBorders>
              <w:top w:val="single" w:sz="4" w:space="0" w:color="auto"/>
              <w:left w:val="single" w:sz="4" w:space="0" w:color="auto"/>
              <w:bottom w:val="single" w:sz="4" w:space="0" w:color="auto"/>
              <w:right w:val="single" w:sz="4" w:space="0" w:color="auto"/>
            </w:tcBorders>
            <w:vAlign w:val="center"/>
          </w:tcPr>
          <w:p w14:paraId="5431748A" w14:textId="76F346C8" w:rsidR="00AC346F" w:rsidRPr="009275BC" w:rsidRDefault="00E76C53"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C0010</w:t>
            </w:r>
          </w:p>
        </w:tc>
        <w:tc>
          <w:tcPr>
            <w:tcW w:w="7616" w:type="dxa"/>
            <w:tcBorders>
              <w:top w:val="single" w:sz="8" w:space="0" w:color="auto"/>
              <w:left w:val="single" w:sz="4" w:space="0" w:color="auto"/>
              <w:bottom w:val="single" w:sz="4" w:space="0" w:color="auto"/>
              <w:right w:val="single" w:sz="4" w:space="0" w:color="auto"/>
            </w:tcBorders>
            <w:vAlign w:val="center"/>
          </w:tcPr>
          <w:p w14:paraId="2D0FB34A" w14:textId="0D56C907" w:rsidR="00491899" w:rsidRDefault="00491899" w:rsidP="00AC346F">
            <w:pPr>
              <w:pStyle w:val="InstructionsText2"/>
              <w:rPr>
                <w:rStyle w:val="InstructionsTabelleberschrift"/>
                <w:rFonts w:asciiTheme="minorHAnsi" w:hAnsiTheme="minorHAnsi"/>
              </w:rPr>
            </w:pPr>
            <w:r w:rsidRPr="0093551B">
              <w:rPr>
                <w:rStyle w:val="InstructionsTabelleberschrift"/>
                <w:rFonts w:ascii="Aptos" w:hAnsi="Aptos"/>
              </w:rPr>
              <w:t>Trade Finance Customers</w:t>
            </w:r>
          </w:p>
          <w:p w14:paraId="0850A3CF" w14:textId="1093558E" w:rsidR="00AC346F" w:rsidRPr="00DE6640" w:rsidRDefault="00491899" w:rsidP="00403FC0">
            <w:pPr>
              <w:pStyle w:val="InstructionsText2"/>
              <w:rPr>
                <w:rStyle w:val="InstructionsTabelleberschrift"/>
                <w:rFonts w:asciiTheme="minorHAnsi" w:hAnsiTheme="minorHAnsi"/>
              </w:rPr>
            </w:pPr>
            <w:r w:rsidRPr="0093551B">
              <w:rPr>
                <w:rStyle w:val="InstructionsTabelleberschrift"/>
                <w:rFonts w:asciiTheme="minorHAnsi" w:hAnsiTheme="minorHAnsi"/>
                <w:b w:val="0"/>
                <w:bCs w:val="0"/>
                <w:u w:val="none"/>
              </w:rPr>
              <w:t>Indicate the total number of unique trade finance customers as of as of end of the reference year.</w:t>
            </w:r>
          </w:p>
        </w:tc>
      </w:tr>
      <w:tr w:rsidR="005E211E" w:rsidRPr="009B282E" w14:paraId="608630C3" w14:textId="77777777" w:rsidTr="00DE6640">
        <w:tc>
          <w:tcPr>
            <w:tcW w:w="1673" w:type="dxa"/>
            <w:tcBorders>
              <w:top w:val="single" w:sz="4" w:space="0" w:color="auto"/>
              <w:left w:val="single" w:sz="4" w:space="0" w:color="auto"/>
              <w:bottom w:val="single" w:sz="4" w:space="0" w:color="auto"/>
              <w:right w:val="single" w:sz="4" w:space="0" w:color="auto"/>
            </w:tcBorders>
            <w:vAlign w:val="center"/>
          </w:tcPr>
          <w:p w14:paraId="23EE524C" w14:textId="6A470078" w:rsidR="00AC346F" w:rsidRPr="009275BC" w:rsidRDefault="00E76C53"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C0020</w:t>
            </w:r>
          </w:p>
        </w:tc>
        <w:tc>
          <w:tcPr>
            <w:tcW w:w="7616" w:type="dxa"/>
            <w:tcBorders>
              <w:top w:val="nil"/>
              <w:left w:val="single" w:sz="4" w:space="0" w:color="auto"/>
              <w:bottom w:val="single" w:sz="4" w:space="0" w:color="auto"/>
              <w:right w:val="single" w:sz="4" w:space="0" w:color="auto"/>
            </w:tcBorders>
            <w:vAlign w:val="center"/>
          </w:tcPr>
          <w:p w14:paraId="09CE3A52" w14:textId="6BD0C123" w:rsidR="00491899" w:rsidRDefault="00491899" w:rsidP="00AC346F">
            <w:pPr>
              <w:pStyle w:val="InstructionsText2"/>
              <w:rPr>
                <w:rFonts w:asciiTheme="minorHAnsi" w:hAnsiTheme="minorHAnsi"/>
                <w:sz w:val="20"/>
                <w:szCs w:val="20"/>
                <w:lang w:val="en-IE"/>
              </w:rPr>
            </w:pPr>
            <w:r w:rsidRPr="006F7BA4">
              <w:rPr>
                <w:rFonts w:ascii="Aptos" w:hAnsi="Aptos"/>
                <w:b/>
                <w:sz w:val="20"/>
                <w:u w:val="single"/>
                <w:lang w:val="en-IE"/>
              </w:rPr>
              <w:t xml:space="preserve">Trade Finance Transactions (Incoming) - </w:t>
            </w:r>
            <w:r w:rsidR="00B52541" w:rsidRPr="152E1A59">
              <w:rPr>
                <w:rFonts w:ascii="Aptos" w:hAnsi="Aptos"/>
                <w:b/>
                <w:sz w:val="20"/>
                <w:szCs w:val="20"/>
                <w:u w:val="single"/>
                <w:lang w:val="en-IE"/>
              </w:rPr>
              <w:t>Number</w:t>
            </w:r>
          </w:p>
          <w:p w14:paraId="08D7F95E" w14:textId="515B45BC" w:rsidR="00BD3265" w:rsidRPr="00BD3265" w:rsidRDefault="00491899" w:rsidP="00AC346F">
            <w:pPr>
              <w:pStyle w:val="InstructionsText2"/>
              <w:rPr>
                <w:rStyle w:val="InstructionsTabelleberschrift"/>
                <w:rFonts w:asciiTheme="minorHAnsi" w:hAnsiTheme="minorHAnsi"/>
                <w:b w:val="0"/>
                <w:bCs w:val="0"/>
                <w:u w:val="none"/>
              </w:rPr>
            </w:pPr>
            <w:r w:rsidRPr="0093551B">
              <w:rPr>
                <w:rFonts w:asciiTheme="minorHAnsi" w:hAnsiTheme="minorHAnsi"/>
                <w:sz w:val="20"/>
                <w:lang w:val="en-IE"/>
              </w:rPr>
              <w:t>Indicate the total number of incoming trade finance transactions during the reference year</w:t>
            </w:r>
            <w:r w:rsidR="00B52541" w:rsidRPr="0093551B">
              <w:rPr>
                <w:rFonts w:asciiTheme="minorHAnsi" w:hAnsiTheme="minorHAnsi"/>
                <w:sz w:val="20"/>
                <w:lang w:val="en-IE"/>
              </w:rPr>
              <w:t>.</w:t>
            </w:r>
          </w:p>
        </w:tc>
      </w:tr>
      <w:tr w:rsidR="005E211E" w:rsidRPr="009B282E" w14:paraId="55737F36" w14:textId="77777777" w:rsidTr="00DE6640">
        <w:tc>
          <w:tcPr>
            <w:tcW w:w="1673" w:type="dxa"/>
            <w:tcBorders>
              <w:top w:val="single" w:sz="4" w:space="0" w:color="auto"/>
              <w:left w:val="single" w:sz="4" w:space="0" w:color="auto"/>
              <w:bottom w:val="single" w:sz="4" w:space="0" w:color="auto"/>
              <w:right w:val="single" w:sz="4" w:space="0" w:color="auto"/>
            </w:tcBorders>
            <w:vAlign w:val="center"/>
          </w:tcPr>
          <w:p w14:paraId="170989BA" w14:textId="57520D53" w:rsidR="00AC346F" w:rsidRPr="009275BC" w:rsidRDefault="00E76C53"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C0030</w:t>
            </w:r>
          </w:p>
        </w:tc>
        <w:tc>
          <w:tcPr>
            <w:tcW w:w="7616" w:type="dxa"/>
            <w:tcBorders>
              <w:top w:val="nil"/>
              <w:left w:val="single" w:sz="4" w:space="0" w:color="auto"/>
              <w:bottom w:val="single" w:sz="4" w:space="0" w:color="auto"/>
              <w:right w:val="single" w:sz="4" w:space="0" w:color="auto"/>
            </w:tcBorders>
            <w:vAlign w:val="center"/>
          </w:tcPr>
          <w:p w14:paraId="5359E1FC" w14:textId="76B6E85A" w:rsidR="00491899" w:rsidRDefault="00491899" w:rsidP="00AC346F">
            <w:pPr>
              <w:pStyle w:val="InstructionsText2"/>
              <w:rPr>
                <w:rFonts w:asciiTheme="minorHAnsi" w:hAnsiTheme="minorHAnsi"/>
                <w:sz w:val="20"/>
                <w:lang w:val="en-IE"/>
              </w:rPr>
            </w:pPr>
            <w:r w:rsidRPr="008E118E">
              <w:rPr>
                <w:rFonts w:ascii="Aptos" w:hAnsi="Aptos"/>
                <w:b/>
                <w:sz w:val="20"/>
                <w:u w:val="single"/>
                <w:lang w:val="en-IE"/>
              </w:rPr>
              <w:t xml:space="preserve">Trade Finance Transactions (Outgoing) - </w:t>
            </w:r>
            <w:r w:rsidR="00A53938">
              <w:rPr>
                <w:rFonts w:ascii="Aptos" w:hAnsi="Aptos"/>
                <w:b/>
                <w:sz w:val="20"/>
                <w:u w:val="single"/>
                <w:lang w:val="en-IE"/>
              </w:rPr>
              <w:t>Number</w:t>
            </w:r>
          </w:p>
          <w:p w14:paraId="63F552B9" w14:textId="4904C6DB" w:rsidR="006A7947" w:rsidRPr="006A7947" w:rsidRDefault="00A53938" w:rsidP="00A11F39">
            <w:pPr>
              <w:pStyle w:val="InstructionsText2"/>
              <w:rPr>
                <w:rStyle w:val="InstructionsTabelleberschrift"/>
                <w:rFonts w:asciiTheme="minorHAnsi" w:hAnsiTheme="minorHAnsi"/>
                <w:b w:val="0"/>
                <w:bCs w:val="0"/>
                <w:u w:val="none"/>
              </w:rPr>
            </w:pPr>
            <w:r w:rsidRPr="00BA007F">
              <w:rPr>
                <w:rFonts w:asciiTheme="minorHAnsi" w:hAnsiTheme="minorHAnsi"/>
                <w:sz w:val="20"/>
                <w:lang w:val="en-IE"/>
              </w:rPr>
              <w:t xml:space="preserve">Indicate the total number of </w:t>
            </w:r>
            <w:r>
              <w:rPr>
                <w:rFonts w:asciiTheme="minorHAnsi" w:hAnsiTheme="minorHAnsi"/>
                <w:sz w:val="20"/>
                <w:lang w:val="en-IE"/>
              </w:rPr>
              <w:t>outgoing</w:t>
            </w:r>
            <w:r w:rsidRPr="00BA007F">
              <w:rPr>
                <w:rFonts w:asciiTheme="minorHAnsi" w:hAnsiTheme="minorHAnsi"/>
                <w:sz w:val="20"/>
                <w:lang w:val="en-IE"/>
              </w:rPr>
              <w:t xml:space="preserve"> trade finance transactions during the reference year.</w:t>
            </w:r>
          </w:p>
        </w:tc>
      </w:tr>
      <w:tr w:rsidR="005E211E" w:rsidRPr="009B282E" w14:paraId="42F2494C" w14:textId="77777777" w:rsidTr="00DE6640">
        <w:tc>
          <w:tcPr>
            <w:tcW w:w="1673" w:type="dxa"/>
            <w:tcBorders>
              <w:top w:val="single" w:sz="4" w:space="0" w:color="auto"/>
              <w:left w:val="single" w:sz="4" w:space="0" w:color="auto"/>
              <w:bottom w:val="single" w:sz="4" w:space="0" w:color="auto"/>
              <w:right w:val="single" w:sz="4" w:space="0" w:color="auto"/>
            </w:tcBorders>
            <w:vAlign w:val="center"/>
          </w:tcPr>
          <w:p w14:paraId="4AE42C0F" w14:textId="6FAECCD2" w:rsidR="00AC346F" w:rsidRPr="009275BC" w:rsidRDefault="00E76C53"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C0040</w:t>
            </w:r>
          </w:p>
        </w:tc>
        <w:tc>
          <w:tcPr>
            <w:tcW w:w="7616" w:type="dxa"/>
            <w:tcBorders>
              <w:top w:val="nil"/>
              <w:left w:val="single" w:sz="4" w:space="0" w:color="auto"/>
              <w:bottom w:val="single" w:sz="4" w:space="0" w:color="auto"/>
              <w:right w:val="single" w:sz="4" w:space="0" w:color="auto"/>
            </w:tcBorders>
            <w:vAlign w:val="center"/>
          </w:tcPr>
          <w:p w14:paraId="07EFEB65" w14:textId="77777777" w:rsidR="00491899" w:rsidRDefault="00491899" w:rsidP="00AC346F">
            <w:pPr>
              <w:pStyle w:val="InstructionsText2"/>
              <w:rPr>
                <w:rFonts w:asciiTheme="minorHAnsi" w:hAnsiTheme="minorHAnsi"/>
                <w:sz w:val="20"/>
                <w:lang w:val="en-IE"/>
              </w:rPr>
            </w:pPr>
            <w:r w:rsidRPr="006F7BA4">
              <w:rPr>
                <w:rFonts w:ascii="Aptos" w:hAnsi="Aptos"/>
                <w:b/>
                <w:sz w:val="20"/>
                <w:u w:val="single"/>
                <w:lang w:val="en-IE"/>
              </w:rPr>
              <w:t>Trade Finance Transactions (Incoming) - Value</w:t>
            </w:r>
          </w:p>
          <w:p w14:paraId="2E7B1571" w14:textId="4D6C8742" w:rsidR="006A7947" w:rsidRPr="006A7947" w:rsidRDefault="00491899" w:rsidP="00A11F39">
            <w:pPr>
              <w:pStyle w:val="InstructionsText2"/>
              <w:rPr>
                <w:rStyle w:val="InstructionsTabelleberschrift"/>
                <w:rFonts w:asciiTheme="minorHAnsi" w:hAnsiTheme="minorHAnsi"/>
                <w:b w:val="0"/>
                <w:bCs w:val="0"/>
                <w:u w:val="none"/>
              </w:rPr>
            </w:pPr>
            <w:r w:rsidRPr="006F7BA4">
              <w:rPr>
                <w:rFonts w:asciiTheme="minorHAnsi" w:hAnsiTheme="minorHAnsi"/>
                <w:sz w:val="20"/>
                <w:lang w:val="en-IE"/>
              </w:rPr>
              <w:t>Indicate Trade Finance Transactions (Incoming) - Value during the reference year.</w:t>
            </w:r>
          </w:p>
        </w:tc>
      </w:tr>
      <w:tr w:rsidR="005E211E" w:rsidRPr="009B282E" w14:paraId="63E324D9" w14:textId="77777777" w:rsidTr="00DE6640">
        <w:tc>
          <w:tcPr>
            <w:tcW w:w="1673" w:type="dxa"/>
            <w:tcBorders>
              <w:top w:val="single" w:sz="4" w:space="0" w:color="auto"/>
              <w:left w:val="single" w:sz="4" w:space="0" w:color="auto"/>
              <w:bottom w:val="single" w:sz="4" w:space="0" w:color="auto"/>
              <w:right w:val="single" w:sz="4" w:space="0" w:color="auto"/>
            </w:tcBorders>
            <w:vAlign w:val="center"/>
          </w:tcPr>
          <w:p w14:paraId="63F2B9C1" w14:textId="552A3355" w:rsidR="00AC346F" w:rsidRPr="009275BC" w:rsidRDefault="00E76C53"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C0050</w:t>
            </w:r>
          </w:p>
        </w:tc>
        <w:tc>
          <w:tcPr>
            <w:tcW w:w="7616" w:type="dxa"/>
            <w:tcBorders>
              <w:top w:val="nil"/>
              <w:left w:val="single" w:sz="4" w:space="0" w:color="auto"/>
              <w:bottom w:val="single" w:sz="8" w:space="0" w:color="auto"/>
              <w:right w:val="single" w:sz="4" w:space="0" w:color="auto"/>
            </w:tcBorders>
            <w:vAlign w:val="center"/>
          </w:tcPr>
          <w:p w14:paraId="54101204" w14:textId="77777777" w:rsidR="00491899" w:rsidRDefault="00491899" w:rsidP="00AC346F">
            <w:pPr>
              <w:pStyle w:val="InstructionsText2"/>
              <w:rPr>
                <w:rFonts w:asciiTheme="minorHAnsi" w:hAnsiTheme="minorHAnsi"/>
                <w:sz w:val="20"/>
                <w:lang w:val="en-IE"/>
              </w:rPr>
            </w:pPr>
            <w:r w:rsidRPr="005D7EF1">
              <w:rPr>
                <w:rFonts w:ascii="Aptos" w:hAnsi="Aptos"/>
                <w:b/>
                <w:sz w:val="20"/>
                <w:u w:val="single"/>
                <w:lang w:val="en-IE"/>
              </w:rPr>
              <w:t>Trade Finance Transactions (Outgoing) - Value</w:t>
            </w:r>
          </w:p>
          <w:p w14:paraId="71CD1673" w14:textId="4F478861" w:rsidR="006A7947" w:rsidRPr="006A7947" w:rsidRDefault="00491899" w:rsidP="00A11F39">
            <w:pPr>
              <w:pStyle w:val="InstructionsText2"/>
              <w:rPr>
                <w:rStyle w:val="InstructionsTabelleberschrift"/>
                <w:rFonts w:asciiTheme="minorHAnsi" w:hAnsiTheme="minorHAnsi"/>
                <w:b w:val="0"/>
                <w:bCs w:val="0"/>
                <w:u w:val="none"/>
              </w:rPr>
            </w:pPr>
            <w:r w:rsidRPr="005D7EF1">
              <w:rPr>
                <w:rFonts w:asciiTheme="minorHAnsi" w:hAnsiTheme="minorHAnsi"/>
                <w:sz w:val="20"/>
                <w:lang w:val="en-IE"/>
              </w:rPr>
              <w:t>Indicate Trade Finance Transactions (Outgoing) - Value during the reference year.</w:t>
            </w:r>
          </w:p>
        </w:tc>
      </w:tr>
    </w:tbl>
    <w:p w14:paraId="7B45D133" w14:textId="2CCBD2D6" w:rsidR="00F84E76" w:rsidRPr="009B282E" w:rsidRDefault="00934C91" w:rsidP="00CB14A2">
      <w:pPr>
        <w:pStyle w:val="Heading3"/>
        <w:rPr>
          <w:lang w:val="en-GB"/>
        </w:rPr>
      </w:pPr>
      <w:bookmarkStart w:id="176" w:name="_Toc223018913"/>
      <w:bookmarkStart w:id="177" w:name="_Toc223021711"/>
      <w:bookmarkStart w:id="178" w:name="_Toc223086563"/>
      <w:bookmarkStart w:id="179" w:name="_Toc223086657"/>
      <w:bookmarkStart w:id="180" w:name="_Toc223086751"/>
      <w:bookmarkStart w:id="181" w:name="_Toc223086845"/>
      <w:bookmarkStart w:id="182" w:name="_Toc221355982"/>
      <w:bookmarkStart w:id="183" w:name="_Toc223104848"/>
      <w:bookmarkEnd w:id="176"/>
      <w:bookmarkEnd w:id="177"/>
      <w:bookmarkEnd w:id="178"/>
      <w:bookmarkEnd w:id="179"/>
      <w:bookmarkEnd w:id="180"/>
      <w:bookmarkEnd w:id="181"/>
      <w:r w:rsidRPr="009B282E">
        <w:rPr>
          <w:lang w:val="en-GB"/>
        </w:rPr>
        <w:t>AML.0</w:t>
      </w:r>
      <w:r w:rsidR="00262D48" w:rsidRPr="009B282E">
        <w:rPr>
          <w:lang w:val="en-GB"/>
        </w:rPr>
        <w:t xml:space="preserve">4.06 </w:t>
      </w:r>
      <w:r w:rsidR="00F84E76" w:rsidRPr="009B282E">
        <w:rPr>
          <w:lang w:val="en-GB"/>
        </w:rPr>
        <w:t>E-Money</w:t>
      </w:r>
      <w:bookmarkEnd w:id="182"/>
      <w:bookmarkEnd w:id="183"/>
    </w:p>
    <w:p w14:paraId="3893ED91" w14:textId="77777777" w:rsidR="006B6D53" w:rsidRPr="00A017EB" w:rsidRDefault="006B6D53" w:rsidP="006B6D53">
      <w:pPr>
        <w:rPr>
          <w:rFonts w:asciiTheme="minorHAnsi" w:hAnsiTheme="minorHAnsi"/>
          <w:b/>
          <w:bCs/>
          <w:iCs/>
        </w:rPr>
      </w:pPr>
      <w:r w:rsidRPr="00A017EB">
        <w:rPr>
          <w:rFonts w:asciiTheme="minorHAnsi" w:hAnsiTheme="minorHAnsi"/>
          <w:b/>
          <w:bCs/>
          <w:iCs/>
        </w:rPr>
        <w:t>Template Remarks</w:t>
      </w:r>
    </w:p>
    <w:p w14:paraId="1E0DA0C8" w14:textId="34CE9B9A" w:rsidR="006B6D53" w:rsidRDefault="006B6D53" w:rsidP="006B6D53">
      <w:pPr>
        <w:jc w:val="both"/>
        <w:rPr>
          <w:rFonts w:asciiTheme="minorHAnsi" w:hAnsiTheme="minorHAnsi"/>
          <w:bCs/>
          <w:iCs/>
        </w:rPr>
      </w:pPr>
      <w:r w:rsidRPr="00A017EB">
        <w:rPr>
          <w:rFonts w:asciiTheme="minorHAnsi" w:hAnsiTheme="minorHAnsi"/>
          <w:lang w:val="en-GB"/>
        </w:rPr>
        <w:t xml:space="preserve">Fill out this template if you </w:t>
      </w:r>
      <w:r w:rsidRPr="00A017EB">
        <w:rPr>
          <w:rFonts w:asciiTheme="minorHAnsi" w:hAnsiTheme="minorHAnsi"/>
        </w:rPr>
        <w:t xml:space="preserve">offer some of these services and/or products, normally this template is applicable for </w:t>
      </w:r>
      <w:r w:rsidRPr="003B7B62">
        <w:rPr>
          <w:rFonts w:asciiTheme="minorHAnsi" w:hAnsiTheme="minorHAnsi"/>
          <w:bCs/>
          <w:iCs/>
        </w:rPr>
        <w:t>CI</w:t>
      </w:r>
      <w:r>
        <w:rPr>
          <w:rFonts w:asciiTheme="minorHAnsi" w:hAnsiTheme="minorHAnsi"/>
          <w:bCs/>
          <w:iCs/>
        </w:rPr>
        <w:t xml:space="preserve"> and</w:t>
      </w:r>
      <w:r w:rsidRPr="003B7B62">
        <w:rPr>
          <w:rFonts w:asciiTheme="minorHAnsi" w:hAnsiTheme="minorHAnsi"/>
          <w:bCs/>
          <w:iCs/>
        </w:rPr>
        <w:t xml:space="preserve"> EMI</w:t>
      </w:r>
      <w:r>
        <w:rPr>
          <w:rFonts w:asciiTheme="minorHAnsi" w:hAnsiTheme="minorHAnsi"/>
          <w:bCs/>
          <w:iCs/>
        </w:rPr>
        <w:t>.</w:t>
      </w:r>
    </w:p>
    <w:p w14:paraId="7DBECB02" w14:textId="7DBE3003" w:rsidR="004418D3" w:rsidRPr="00E930E8" w:rsidRDefault="00D845D2" w:rsidP="00135B9D">
      <w:pPr>
        <w:jc w:val="both"/>
        <w:rPr>
          <w:rFonts w:asciiTheme="minorHAnsi" w:hAnsiTheme="minorHAnsi"/>
          <w:lang w:val="en-GB"/>
        </w:rPr>
      </w:pPr>
      <w:r w:rsidRPr="00E930E8">
        <w:rPr>
          <w:rFonts w:asciiTheme="minorHAnsi" w:hAnsiTheme="minorHAnsi"/>
        </w:rPr>
        <w:t xml:space="preserve">For the purpose of this data collection, </w:t>
      </w:r>
      <w:r w:rsidR="004418D3" w:rsidRPr="00E930E8">
        <w:rPr>
          <w:rFonts w:asciiTheme="minorHAnsi" w:hAnsiTheme="minorHAnsi"/>
        </w:rPr>
        <w:t xml:space="preserve">E-Money (Electronic money) </w:t>
      </w:r>
      <w:r w:rsidR="002960B1" w:rsidRPr="00E930E8">
        <w:rPr>
          <w:rFonts w:asciiTheme="minorHAnsi" w:hAnsiTheme="minorHAnsi"/>
        </w:rPr>
        <w:t xml:space="preserve">should be understood as </w:t>
      </w:r>
      <w:r w:rsidR="004418D3" w:rsidRPr="00E930E8">
        <w:rPr>
          <w:rFonts w:asciiTheme="minorHAnsi" w:hAnsiTheme="minorHAnsi"/>
        </w:rPr>
        <w:t>electronically, including magnetically, stored monetary value as represented by a claim on the issuer which is issued on receipt of funds for the purpose of making payment transactions as defined in Article 4</w:t>
      </w:r>
      <w:r w:rsidR="00453605">
        <w:rPr>
          <w:rFonts w:asciiTheme="minorHAnsi" w:hAnsiTheme="minorHAnsi"/>
        </w:rPr>
        <w:t>(5)</w:t>
      </w:r>
      <w:r w:rsidR="004418D3" w:rsidRPr="00E930E8">
        <w:rPr>
          <w:rFonts w:asciiTheme="minorHAnsi" w:hAnsiTheme="minorHAnsi"/>
        </w:rPr>
        <w:t xml:space="preserve"> of Directive </w:t>
      </w:r>
      <w:r w:rsidR="000B0237">
        <w:rPr>
          <w:rFonts w:asciiTheme="minorHAnsi" w:hAnsiTheme="minorHAnsi"/>
        </w:rPr>
        <w:t xml:space="preserve">(EU) </w:t>
      </w:r>
      <w:r w:rsidR="000B0237" w:rsidRPr="000B0237">
        <w:rPr>
          <w:rFonts w:asciiTheme="minorHAnsi" w:hAnsiTheme="minorHAnsi"/>
        </w:rPr>
        <w:t>2015/2366</w:t>
      </w:r>
      <w:r w:rsidR="004418D3" w:rsidRPr="00E930E8">
        <w:rPr>
          <w:rFonts w:asciiTheme="minorHAnsi" w:hAnsiTheme="minorHAnsi"/>
        </w:rPr>
        <w:t>, and which is accepted by a natural or legal person other than the electronic money issuer (Article 2</w:t>
      </w:r>
      <w:r w:rsidR="00A00B08">
        <w:rPr>
          <w:rFonts w:asciiTheme="minorHAnsi" w:hAnsiTheme="minorHAnsi"/>
        </w:rPr>
        <w:t>(3</w:t>
      </w:r>
      <w:r w:rsidR="004418D3" w:rsidRPr="00E930E8">
        <w:rPr>
          <w:rFonts w:asciiTheme="minorHAnsi" w:hAnsiTheme="minorHAnsi"/>
        </w:rPr>
        <w:t>) of Directive 2009/110/EC)</w:t>
      </w:r>
    </w:p>
    <w:tbl>
      <w:tblPr>
        <w:tblW w:w="92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3"/>
        <w:gridCol w:w="7616"/>
      </w:tblGrid>
      <w:tr w:rsidR="005E211E" w:rsidRPr="009B282E" w14:paraId="4E40DA7F" w14:textId="77777777" w:rsidTr="4EFC8E9A">
        <w:tc>
          <w:tcPr>
            <w:tcW w:w="16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64EB30" w14:textId="77777777" w:rsidR="0097506C" w:rsidRPr="009275BC" w:rsidRDefault="0097506C" w:rsidP="00F32516">
            <w:pPr>
              <w:pStyle w:val="InstructionsText"/>
              <w:rPr>
                <w:rStyle w:val="InstructionsTabelleText"/>
                <w:rFonts w:asciiTheme="minorHAnsi" w:hAnsiTheme="minorHAnsi"/>
                <w:bCs w:val="0"/>
                <w:lang w:eastAsia="en-US"/>
              </w:rPr>
            </w:pPr>
            <w:r w:rsidRPr="009275BC">
              <w:rPr>
                <w:rStyle w:val="InstructionsTabelleText"/>
                <w:rFonts w:asciiTheme="minorHAnsi" w:hAnsiTheme="minorHAnsi"/>
              </w:rPr>
              <w:t>Column code</w:t>
            </w:r>
          </w:p>
        </w:tc>
        <w:tc>
          <w:tcPr>
            <w:tcW w:w="76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9F7B10" w14:textId="77777777" w:rsidR="0097506C" w:rsidRPr="009275BC" w:rsidRDefault="0097506C" w:rsidP="00F32516">
            <w:pPr>
              <w:pStyle w:val="InstructionsText"/>
              <w:rPr>
                <w:rStyle w:val="InstructionsTabelleText"/>
                <w:rFonts w:asciiTheme="minorHAnsi" w:hAnsiTheme="minorHAnsi"/>
                <w:bCs w:val="0"/>
                <w:lang w:eastAsia="en-US"/>
              </w:rPr>
            </w:pPr>
            <w:r w:rsidRPr="009275BC">
              <w:rPr>
                <w:rStyle w:val="InstructionsTabelleText"/>
                <w:rFonts w:asciiTheme="minorHAnsi" w:hAnsiTheme="minorHAnsi"/>
              </w:rPr>
              <w:t>Legal references and instructions</w:t>
            </w:r>
          </w:p>
        </w:tc>
      </w:tr>
      <w:tr w:rsidR="00A10CBD" w:rsidRPr="009B282E" w14:paraId="28591652" w14:textId="77777777" w:rsidTr="4EFC8E9A">
        <w:tc>
          <w:tcPr>
            <w:tcW w:w="1673" w:type="dxa"/>
            <w:tcBorders>
              <w:top w:val="single" w:sz="4" w:space="0" w:color="auto"/>
              <w:left w:val="single" w:sz="4" w:space="0" w:color="auto"/>
              <w:bottom w:val="single" w:sz="4" w:space="0" w:color="auto"/>
              <w:right w:val="single" w:sz="4" w:space="0" w:color="auto"/>
            </w:tcBorders>
            <w:vAlign w:val="center"/>
          </w:tcPr>
          <w:p w14:paraId="290B1121" w14:textId="58E4D5FB" w:rsidR="00925F1E" w:rsidRPr="009275BC" w:rsidRDefault="00262D48"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C0010</w:t>
            </w:r>
          </w:p>
        </w:tc>
        <w:tc>
          <w:tcPr>
            <w:tcW w:w="7616" w:type="dxa"/>
            <w:tcBorders>
              <w:top w:val="single" w:sz="8" w:space="0" w:color="auto"/>
              <w:left w:val="single" w:sz="4" w:space="0" w:color="auto"/>
              <w:bottom w:val="single" w:sz="4" w:space="0" w:color="auto"/>
              <w:right w:val="single" w:sz="4" w:space="0" w:color="auto"/>
            </w:tcBorders>
            <w:shd w:val="clear" w:color="auto" w:fill="FFFFFF" w:themeFill="background1"/>
            <w:vAlign w:val="center"/>
          </w:tcPr>
          <w:p w14:paraId="095A512D" w14:textId="77777777" w:rsidR="00491899" w:rsidRDefault="00491899" w:rsidP="00925F1E">
            <w:pPr>
              <w:pStyle w:val="InstructionsText2"/>
              <w:rPr>
                <w:rFonts w:asciiTheme="minorHAnsi" w:hAnsiTheme="minorHAnsi"/>
                <w:sz w:val="20"/>
                <w:lang w:val="en-IE"/>
              </w:rPr>
            </w:pPr>
            <w:r w:rsidRPr="00173C04">
              <w:rPr>
                <w:rFonts w:ascii="Aptos" w:hAnsi="Aptos"/>
                <w:b/>
                <w:sz w:val="20"/>
                <w:u w:val="single"/>
                <w:lang w:val="en-IE"/>
              </w:rPr>
              <w:t>E-money Transactions (Incoming) - Volume</w:t>
            </w:r>
          </w:p>
          <w:p w14:paraId="289CF469" w14:textId="41A0F9F1" w:rsidR="00754115" w:rsidRPr="00754115" w:rsidRDefault="00491899" w:rsidP="00FE3824">
            <w:pPr>
              <w:pStyle w:val="InstructionsText2"/>
              <w:rPr>
                <w:rStyle w:val="InstructionsTabelleberschrift"/>
                <w:rFonts w:asciiTheme="minorHAnsi" w:hAnsiTheme="minorHAnsi"/>
                <w:b w:val="0"/>
                <w:bCs w:val="0"/>
                <w:u w:val="none"/>
              </w:rPr>
            </w:pPr>
            <w:r w:rsidRPr="008E118E">
              <w:rPr>
                <w:rFonts w:asciiTheme="minorHAnsi" w:hAnsiTheme="minorHAnsi"/>
                <w:sz w:val="20"/>
                <w:lang w:val="en-IE"/>
              </w:rPr>
              <w:t xml:space="preserve">Indicate E-money Transactions (Incoming) - </w:t>
            </w:r>
            <w:r w:rsidR="00483195" w:rsidRPr="008E118E">
              <w:rPr>
                <w:rFonts w:asciiTheme="minorHAnsi" w:hAnsiTheme="minorHAnsi"/>
                <w:sz w:val="20"/>
                <w:lang w:val="en-IE"/>
              </w:rPr>
              <w:t>Number</w:t>
            </w:r>
            <w:r w:rsidRPr="008E118E">
              <w:rPr>
                <w:rFonts w:asciiTheme="minorHAnsi" w:hAnsiTheme="minorHAnsi"/>
                <w:sz w:val="20"/>
                <w:lang w:val="en-IE"/>
              </w:rPr>
              <w:t xml:space="preserve"> during the reference year.</w:t>
            </w:r>
          </w:p>
        </w:tc>
      </w:tr>
      <w:tr w:rsidR="00A10CBD" w:rsidRPr="009B282E" w14:paraId="4E071D14" w14:textId="77777777" w:rsidTr="4EFC8E9A">
        <w:tc>
          <w:tcPr>
            <w:tcW w:w="1673" w:type="dxa"/>
            <w:tcBorders>
              <w:top w:val="single" w:sz="4" w:space="0" w:color="auto"/>
              <w:left w:val="single" w:sz="4" w:space="0" w:color="auto"/>
              <w:bottom w:val="single" w:sz="4" w:space="0" w:color="auto"/>
              <w:right w:val="single" w:sz="4" w:space="0" w:color="auto"/>
            </w:tcBorders>
            <w:vAlign w:val="center"/>
          </w:tcPr>
          <w:p w14:paraId="7CBA07C6" w14:textId="73288DD6" w:rsidR="00925F1E" w:rsidRPr="009275BC" w:rsidRDefault="00262D48"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C0020</w:t>
            </w:r>
          </w:p>
        </w:tc>
        <w:tc>
          <w:tcPr>
            <w:tcW w:w="7616" w:type="dxa"/>
            <w:tcBorders>
              <w:top w:val="nil"/>
              <w:left w:val="single" w:sz="4" w:space="0" w:color="auto"/>
              <w:bottom w:val="single" w:sz="4" w:space="0" w:color="auto"/>
              <w:right w:val="single" w:sz="4" w:space="0" w:color="auto"/>
            </w:tcBorders>
            <w:shd w:val="clear" w:color="auto" w:fill="FFFFFF" w:themeFill="background1"/>
            <w:vAlign w:val="center"/>
          </w:tcPr>
          <w:p w14:paraId="1ABC58DA" w14:textId="3D849483" w:rsidR="00491899" w:rsidRDefault="00491899" w:rsidP="00925F1E">
            <w:pPr>
              <w:pStyle w:val="InstructionsText2"/>
              <w:rPr>
                <w:rFonts w:asciiTheme="minorHAnsi" w:hAnsiTheme="minorHAnsi"/>
                <w:sz w:val="20"/>
                <w:lang w:val="en-IE"/>
              </w:rPr>
            </w:pPr>
            <w:r w:rsidRPr="00173C04">
              <w:rPr>
                <w:rFonts w:ascii="Aptos" w:hAnsi="Aptos"/>
                <w:b/>
                <w:sz w:val="20"/>
                <w:u w:val="single"/>
                <w:lang w:val="en-IE"/>
              </w:rPr>
              <w:t xml:space="preserve">E-money Transactions (Outgoing) - </w:t>
            </w:r>
            <w:r w:rsidR="00483195">
              <w:rPr>
                <w:rFonts w:ascii="Aptos" w:hAnsi="Aptos"/>
                <w:b/>
                <w:sz w:val="20"/>
                <w:u w:val="single"/>
                <w:lang w:val="en-IE"/>
              </w:rPr>
              <w:t>Number</w:t>
            </w:r>
          </w:p>
          <w:p w14:paraId="07C93BC8" w14:textId="6068B4D1" w:rsidR="00754115" w:rsidRPr="00754115" w:rsidRDefault="00491899" w:rsidP="00FE3824">
            <w:pPr>
              <w:pStyle w:val="InstructionsText2"/>
              <w:rPr>
                <w:rStyle w:val="InstructionsTabelleberschrift"/>
                <w:rFonts w:asciiTheme="minorHAnsi" w:hAnsiTheme="minorHAnsi"/>
                <w:b w:val="0"/>
                <w:bCs w:val="0"/>
                <w:u w:val="none"/>
              </w:rPr>
            </w:pPr>
            <w:r w:rsidRPr="00173C04">
              <w:rPr>
                <w:rFonts w:asciiTheme="minorHAnsi" w:hAnsiTheme="minorHAnsi"/>
                <w:sz w:val="20"/>
                <w:lang w:val="en-IE"/>
              </w:rPr>
              <w:t>Indicate E-money Transactions (Outgoing) - Volume during the reference year.</w:t>
            </w:r>
          </w:p>
        </w:tc>
      </w:tr>
      <w:tr w:rsidR="00A10CBD" w:rsidRPr="009B282E" w14:paraId="3449788A" w14:textId="77777777" w:rsidTr="4EFC8E9A">
        <w:tc>
          <w:tcPr>
            <w:tcW w:w="1673" w:type="dxa"/>
            <w:tcBorders>
              <w:top w:val="single" w:sz="4" w:space="0" w:color="auto"/>
              <w:left w:val="single" w:sz="4" w:space="0" w:color="auto"/>
              <w:bottom w:val="single" w:sz="4" w:space="0" w:color="auto"/>
              <w:right w:val="single" w:sz="4" w:space="0" w:color="auto"/>
            </w:tcBorders>
            <w:vAlign w:val="center"/>
          </w:tcPr>
          <w:p w14:paraId="01F375AA" w14:textId="2E5E5FF4" w:rsidR="00925F1E" w:rsidRPr="009275BC" w:rsidRDefault="00262D48"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C0030</w:t>
            </w:r>
          </w:p>
        </w:tc>
        <w:tc>
          <w:tcPr>
            <w:tcW w:w="7616" w:type="dxa"/>
            <w:tcBorders>
              <w:top w:val="nil"/>
              <w:left w:val="single" w:sz="4" w:space="0" w:color="auto"/>
              <w:bottom w:val="single" w:sz="4" w:space="0" w:color="auto"/>
              <w:right w:val="single" w:sz="4" w:space="0" w:color="auto"/>
            </w:tcBorders>
            <w:shd w:val="clear" w:color="auto" w:fill="FFFFFF" w:themeFill="background1"/>
            <w:vAlign w:val="center"/>
          </w:tcPr>
          <w:p w14:paraId="29FBCD84" w14:textId="77777777" w:rsidR="00491899" w:rsidRDefault="00491899" w:rsidP="00925F1E">
            <w:pPr>
              <w:pStyle w:val="InstructionsText2"/>
              <w:rPr>
                <w:rFonts w:asciiTheme="minorHAnsi" w:hAnsiTheme="minorHAnsi"/>
                <w:sz w:val="20"/>
                <w:lang w:val="en-IE"/>
              </w:rPr>
            </w:pPr>
            <w:r w:rsidRPr="00544962">
              <w:rPr>
                <w:rFonts w:ascii="Aptos" w:hAnsi="Aptos"/>
                <w:b/>
                <w:sz w:val="20"/>
                <w:u w:val="single"/>
                <w:lang w:val="en-IE"/>
              </w:rPr>
              <w:t>E-money Transactions (Incoming) - Value</w:t>
            </w:r>
          </w:p>
          <w:p w14:paraId="73F5B5B9" w14:textId="0B24EED9" w:rsidR="00754115" w:rsidRPr="00754115" w:rsidRDefault="00FE3824" w:rsidP="00FE3824">
            <w:pPr>
              <w:pStyle w:val="InstructionsText2"/>
              <w:rPr>
                <w:rStyle w:val="InstructionsTabelleberschrift"/>
                <w:rFonts w:asciiTheme="minorHAnsi" w:hAnsiTheme="minorHAnsi"/>
                <w:b w:val="0"/>
                <w:bCs w:val="0"/>
                <w:u w:val="none"/>
              </w:rPr>
            </w:pPr>
            <w:r>
              <w:rPr>
                <w:rFonts w:asciiTheme="minorHAnsi" w:hAnsiTheme="minorHAnsi"/>
                <w:sz w:val="20"/>
                <w:lang w:val="en-IE"/>
              </w:rPr>
              <w:t>I</w:t>
            </w:r>
            <w:r w:rsidR="00491899" w:rsidRPr="00544962">
              <w:rPr>
                <w:rFonts w:asciiTheme="minorHAnsi" w:hAnsiTheme="minorHAnsi"/>
                <w:sz w:val="20"/>
                <w:lang w:val="en-IE"/>
              </w:rPr>
              <w:t>ndicate E-money Transactions (Incoming) - Value during the reference year.</w:t>
            </w:r>
          </w:p>
        </w:tc>
      </w:tr>
      <w:tr w:rsidR="00A10CBD" w:rsidRPr="009B282E" w14:paraId="6E0D38E8" w14:textId="77777777" w:rsidTr="4EFC8E9A">
        <w:tc>
          <w:tcPr>
            <w:tcW w:w="1673" w:type="dxa"/>
            <w:tcBorders>
              <w:top w:val="single" w:sz="4" w:space="0" w:color="auto"/>
              <w:left w:val="single" w:sz="4" w:space="0" w:color="auto"/>
              <w:bottom w:val="single" w:sz="4" w:space="0" w:color="auto"/>
              <w:right w:val="single" w:sz="4" w:space="0" w:color="auto"/>
            </w:tcBorders>
            <w:vAlign w:val="center"/>
          </w:tcPr>
          <w:p w14:paraId="01A21A22" w14:textId="6BC81368" w:rsidR="00925F1E" w:rsidRPr="009275BC" w:rsidRDefault="00262D48"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C0040</w:t>
            </w:r>
          </w:p>
        </w:tc>
        <w:tc>
          <w:tcPr>
            <w:tcW w:w="7616" w:type="dxa"/>
            <w:tcBorders>
              <w:top w:val="nil"/>
              <w:left w:val="single" w:sz="4" w:space="0" w:color="auto"/>
              <w:bottom w:val="single" w:sz="4" w:space="0" w:color="auto"/>
              <w:right w:val="single" w:sz="4" w:space="0" w:color="auto"/>
            </w:tcBorders>
            <w:shd w:val="clear" w:color="auto" w:fill="FFFFFF" w:themeFill="background1"/>
            <w:vAlign w:val="center"/>
          </w:tcPr>
          <w:p w14:paraId="606E6649" w14:textId="77777777" w:rsidR="00491899" w:rsidRDefault="00491899" w:rsidP="00925F1E">
            <w:pPr>
              <w:pStyle w:val="InstructionsText2"/>
              <w:rPr>
                <w:rFonts w:asciiTheme="minorHAnsi" w:hAnsiTheme="minorHAnsi"/>
                <w:sz w:val="20"/>
                <w:lang w:val="en-IE"/>
              </w:rPr>
            </w:pPr>
            <w:r w:rsidRPr="00173C04">
              <w:rPr>
                <w:rFonts w:ascii="Aptos" w:hAnsi="Aptos"/>
                <w:b/>
                <w:sz w:val="20"/>
                <w:u w:val="single"/>
                <w:lang w:val="en-IE"/>
              </w:rPr>
              <w:t>E-money Transactions (Outgoing) - Value</w:t>
            </w:r>
          </w:p>
          <w:p w14:paraId="42D12F37" w14:textId="375319ED" w:rsidR="00754115" w:rsidRPr="00754115" w:rsidRDefault="00491899" w:rsidP="00FE3824">
            <w:pPr>
              <w:pStyle w:val="InstructionsText2"/>
              <w:rPr>
                <w:rStyle w:val="InstructionsTabelleberschrift"/>
                <w:rFonts w:asciiTheme="minorHAnsi" w:hAnsiTheme="minorHAnsi"/>
                <w:b w:val="0"/>
                <w:bCs w:val="0"/>
                <w:u w:val="none"/>
              </w:rPr>
            </w:pPr>
            <w:r w:rsidRPr="007E18A2">
              <w:rPr>
                <w:rFonts w:asciiTheme="minorHAnsi" w:hAnsiTheme="minorHAnsi"/>
                <w:sz w:val="20"/>
                <w:lang w:val="en-IE"/>
              </w:rPr>
              <w:t>Indicate E-money Transactions (Outgoing) - Value during the reference year.</w:t>
            </w:r>
          </w:p>
        </w:tc>
      </w:tr>
      <w:tr w:rsidR="00A10CBD" w:rsidRPr="009B282E" w14:paraId="3D1C30F7" w14:textId="77777777" w:rsidTr="4EFC8E9A">
        <w:tc>
          <w:tcPr>
            <w:tcW w:w="1673" w:type="dxa"/>
            <w:tcBorders>
              <w:top w:val="single" w:sz="4" w:space="0" w:color="auto"/>
              <w:left w:val="single" w:sz="4" w:space="0" w:color="auto"/>
              <w:bottom w:val="single" w:sz="4" w:space="0" w:color="auto"/>
              <w:right w:val="single" w:sz="4" w:space="0" w:color="auto"/>
            </w:tcBorders>
            <w:vAlign w:val="center"/>
          </w:tcPr>
          <w:p w14:paraId="0C4CFF1D" w14:textId="0585697B" w:rsidR="00925F1E" w:rsidRPr="009275BC" w:rsidRDefault="00262D48"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C0050</w:t>
            </w:r>
          </w:p>
        </w:tc>
        <w:tc>
          <w:tcPr>
            <w:tcW w:w="7616" w:type="dxa"/>
            <w:tcBorders>
              <w:top w:val="nil"/>
              <w:left w:val="single" w:sz="4" w:space="0" w:color="auto"/>
              <w:bottom w:val="single" w:sz="8" w:space="0" w:color="auto"/>
              <w:right w:val="single" w:sz="4" w:space="0" w:color="auto"/>
            </w:tcBorders>
            <w:shd w:val="clear" w:color="auto" w:fill="FFFFFF" w:themeFill="background1"/>
            <w:vAlign w:val="center"/>
          </w:tcPr>
          <w:p w14:paraId="27378FB9" w14:textId="77777777" w:rsidR="00491899" w:rsidRDefault="00491899" w:rsidP="00925F1E">
            <w:pPr>
              <w:pStyle w:val="InstructionsText2"/>
              <w:rPr>
                <w:rFonts w:asciiTheme="minorHAnsi" w:hAnsiTheme="minorHAnsi"/>
                <w:sz w:val="20"/>
                <w:lang w:val="en-IE"/>
              </w:rPr>
            </w:pPr>
            <w:r w:rsidRPr="008B495D">
              <w:rPr>
                <w:rFonts w:ascii="Aptos" w:hAnsi="Aptos"/>
                <w:b/>
                <w:sz w:val="20"/>
                <w:u w:val="single"/>
                <w:lang w:val="en-IE"/>
              </w:rPr>
              <w:t>E-money Transactions (Non-identified Customers) - Value</w:t>
            </w:r>
          </w:p>
          <w:p w14:paraId="79F1CA53" w14:textId="43F78C79" w:rsidR="00580EB5" w:rsidRPr="00754115" w:rsidRDefault="004852F5" w:rsidP="00925F1E">
            <w:pPr>
              <w:pStyle w:val="InstructionsText2"/>
              <w:rPr>
                <w:rStyle w:val="InstructionsTabelleberschrift"/>
                <w:rFonts w:asciiTheme="minorHAnsi" w:hAnsiTheme="minorHAnsi"/>
                <w:b w:val="0"/>
                <w:bCs w:val="0"/>
                <w:u w:val="none"/>
              </w:rPr>
            </w:pPr>
            <w:r w:rsidRPr="008B495D">
              <w:rPr>
                <w:rFonts w:asciiTheme="minorHAnsi" w:hAnsiTheme="minorHAnsi"/>
                <w:sz w:val="20"/>
                <w:lang w:val="en-IE"/>
              </w:rPr>
              <w:t xml:space="preserve">Indicate the </w:t>
            </w:r>
            <w:r w:rsidR="00580EB5">
              <w:rPr>
                <w:rFonts w:asciiTheme="minorHAnsi" w:hAnsiTheme="minorHAnsi"/>
                <w:sz w:val="20"/>
                <w:szCs w:val="20"/>
                <w:lang w:val="en-IE"/>
              </w:rPr>
              <w:t>v</w:t>
            </w:r>
            <w:r w:rsidRPr="00916A2D">
              <w:rPr>
                <w:rFonts w:asciiTheme="minorHAnsi" w:hAnsiTheme="minorHAnsi"/>
                <w:sz w:val="20"/>
                <w:lang w:val="en-IE"/>
              </w:rPr>
              <w:t>alue of e-money payment transactions by non-identified customers</w:t>
            </w:r>
            <w:r w:rsidR="10B553EC" w:rsidRPr="00011DE0">
              <w:rPr>
                <w:rFonts w:asciiTheme="minorHAnsi" w:hAnsiTheme="minorHAnsi"/>
                <w:sz w:val="20"/>
                <w:szCs w:val="20"/>
                <w:lang w:val="en-IE"/>
              </w:rPr>
              <w:t xml:space="preserve"> during the reference year</w:t>
            </w:r>
            <w:r w:rsidR="00580EB5" w:rsidRPr="00916A2D">
              <w:rPr>
                <w:rFonts w:asciiTheme="minorHAnsi" w:hAnsiTheme="minorHAnsi"/>
                <w:sz w:val="20"/>
                <w:lang w:val="en-IE"/>
              </w:rPr>
              <w:t>.</w:t>
            </w:r>
          </w:p>
          <w:p w14:paraId="00E3C57E" w14:textId="645FD596" w:rsidR="006C6BD1" w:rsidRPr="00B27EC9" w:rsidRDefault="00710B0A" w:rsidP="00A2381F">
            <w:pPr>
              <w:pStyle w:val="InstructionsText2"/>
              <w:rPr>
                <w:rStyle w:val="InstructionsTabelleberschrift"/>
                <w:rFonts w:asciiTheme="minorHAnsi" w:hAnsiTheme="minorHAnsi"/>
                <w:b w:val="0"/>
                <w:bCs w:val="0"/>
                <w:u w:val="none"/>
              </w:rPr>
            </w:pPr>
            <w:r>
              <w:rPr>
                <w:rFonts w:asciiTheme="minorHAnsi" w:hAnsiTheme="minorHAnsi"/>
                <w:sz w:val="20"/>
                <w:lang w:val="en-US"/>
              </w:rPr>
              <w:t>Reporting o</w:t>
            </w:r>
            <w:r w:rsidR="00491899">
              <w:rPr>
                <w:rFonts w:asciiTheme="minorHAnsi" w:hAnsiTheme="minorHAnsi"/>
                <w:sz w:val="20"/>
                <w:lang w:val="en-US"/>
              </w:rPr>
              <w:t>bliged entities should refer to Article 19(7) of EU 2024/1624 (AMLR), where obliged entities are exempted from applying, in full or in part, the customer due diligence measures referred to in Article 20(1), points (a), (b) and (c), with respect to electronic money on the basis of the proven low risk posed by the nature of the product during the reference year.</w:t>
            </w:r>
          </w:p>
        </w:tc>
      </w:tr>
    </w:tbl>
    <w:p w14:paraId="24B8C614" w14:textId="2CC84545" w:rsidR="00F84E76" w:rsidRPr="009B282E" w:rsidRDefault="008D34E9" w:rsidP="00CB14A2">
      <w:pPr>
        <w:pStyle w:val="Heading3"/>
        <w:rPr>
          <w:lang w:val="en-GB"/>
        </w:rPr>
      </w:pPr>
      <w:bookmarkStart w:id="184" w:name="_Toc223086565"/>
      <w:bookmarkStart w:id="185" w:name="_Toc223086659"/>
      <w:bookmarkStart w:id="186" w:name="_Toc223086753"/>
      <w:bookmarkStart w:id="187" w:name="_Toc223086847"/>
      <w:bookmarkStart w:id="188" w:name="_Toc223086566"/>
      <w:bookmarkStart w:id="189" w:name="_Toc223086660"/>
      <w:bookmarkStart w:id="190" w:name="_Toc223086754"/>
      <w:bookmarkStart w:id="191" w:name="_Toc223086848"/>
      <w:bookmarkStart w:id="192" w:name="_Toc223086567"/>
      <w:bookmarkStart w:id="193" w:name="_Toc223086661"/>
      <w:bookmarkStart w:id="194" w:name="_Toc223086755"/>
      <w:bookmarkStart w:id="195" w:name="_Toc223086849"/>
      <w:bookmarkStart w:id="196" w:name="_Toc223086568"/>
      <w:bookmarkStart w:id="197" w:name="_Toc223086662"/>
      <w:bookmarkStart w:id="198" w:name="_Toc223086756"/>
      <w:bookmarkStart w:id="199" w:name="_Toc223086850"/>
      <w:bookmarkStart w:id="200" w:name="_Toc223086569"/>
      <w:bookmarkStart w:id="201" w:name="_Toc223086663"/>
      <w:bookmarkStart w:id="202" w:name="_Toc223086757"/>
      <w:bookmarkStart w:id="203" w:name="_Toc223086851"/>
      <w:bookmarkStart w:id="204" w:name="_Toc221355983"/>
      <w:bookmarkStart w:id="205" w:name="_Toc223104849"/>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sidRPr="009B282E">
        <w:rPr>
          <w:lang w:val="en-GB"/>
        </w:rPr>
        <w:t>AML.0</w:t>
      </w:r>
      <w:r w:rsidR="00343F51" w:rsidRPr="009B282E">
        <w:rPr>
          <w:lang w:val="en-GB"/>
        </w:rPr>
        <w:t xml:space="preserve">4.07 </w:t>
      </w:r>
      <w:r w:rsidR="00F84E76" w:rsidRPr="009B282E">
        <w:rPr>
          <w:lang w:val="en-GB"/>
        </w:rPr>
        <w:t>TCSP Services</w:t>
      </w:r>
      <w:bookmarkEnd w:id="204"/>
      <w:bookmarkEnd w:id="205"/>
    </w:p>
    <w:p w14:paraId="3AB65991" w14:textId="77777777" w:rsidR="006B6D53" w:rsidRPr="00A017EB" w:rsidRDefault="006B6D53" w:rsidP="006B6D53">
      <w:pPr>
        <w:rPr>
          <w:rFonts w:asciiTheme="minorHAnsi" w:hAnsiTheme="minorHAnsi"/>
          <w:b/>
          <w:bCs/>
          <w:iCs/>
        </w:rPr>
      </w:pPr>
      <w:r w:rsidRPr="00A017EB">
        <w:rPr>
          <w:rFonts w:asciiTheme="minorHAnsi" w:hAnsiTheme="minorHAnsi"/>
          <w:b/>
          <w:bCs/>
          <w:iCs/>
        </w:rPr>
        <w:t>Template Remarks</w:t>
      </w:r>
    </w:p>
    <w:p w14:paraId="0096D00B" w14:textId="64D1936E" w:rsidR="006B6D53" w:rsidRDefault="006B6D53" w:rsidP="006B6D53">
      <w:pPr>
        <w:jc w:val="both"/>
        <w:rPr>
          <w:rFonts w:asciiTheme="minorHAnsi" w:hAnsiTheme="minorHAnsi"/>
          <w:bCs/>
          <w:iCs/>
        </w:rPr>
      </w:pPr>
      <w:r w:rsidRPr="00A017EB">
        <w:rPr>
          <w:rFonts w:asciiTheme="minorHAnsi" w:hAnsiTheme="minorHAnsi"/>
          <w:lang w:val="en-GB"/>
        </w:rPr>
        <w:t xml:space="preserve">Fill out this template if you </w:t>
      </w:r>
      <w:r w:rsidRPr="00A017EB">
        <w:rPr>
          <w:rFonts w:asciiTheme="minorHAnsi" w:hAnsiTheme="minorHAnsi"/>
        </w:rPr>
        <w:t xml:space="preserve">offer some of these services and/or products, normally this template is applicable for </w:t>
      </w:r>
      <w:r w:rsidRPr="003B7B62">
        <w:rPr>
          <w:rFonts w:asciiTheme="minorHAnsi" w:hAnsiTheme="minorHAnsi"/>
          <w:bCs/>
          <w:iCs/>
        </w:rPr>
        <w:t>CI</w:t>
      </w:r>
      <w:r>
        <w:rPr>
          <w:rFonts w:asciiTheme="minorHAnsi" w:hAnsiTheme="minorHAnsi"/>
          <w:bCs/>
          <w:iCs/>
        </w:rPr>
        <w:t xml:space="preserve"> and IF.</w:t>
      </w:r>
    </w:p>
    <w:p w14:paraId="73826090" w14:textId="34B89433" w:rsidR="00491899" w:rsidRDefault="00EA2F87" w:rsidP="00135B9D">
      <w:pPr>
        <w:jc w:val="both"/>
        <w:rPr>
          <w:rFonts w:asciiTheme="minorHAnsi" w:hAnsiTheme="minorHAnsi"/>
          <w:lang w:val="en-GB"/>
        </w:rPr>
      </w:pPr>
      <w:r>
        <w:rPr>
          <w:rFonts w:asciiTheme="minorHAnsi" w:hAnsiTheme="minorHAnsi"/>
          <w:lang w:val="en-GB"/>
        </w:rPr>
        <w:t>Reporting o</w:t>
      </w:r>
      <w:r w:rsidR="00491899">
        <w:rPr>
          <w:rFonts w:asciiTheme="minorHAnsi" w:hAnsiTheme="minorHAnsi"/>
          <w:lang w:val="en-GB"/>
        </w:rPr>
        <w:t xml:space="preserve">bliged entities should report the total number of Legal Entity customers in respect of which they act as Trust and company service providers (TCSPs). Providing these services involve a wide range of services and activities, including, among others: acting as a director or secretary of a company or similar position, providing a registered office or business address for a company, acting as trustees of an express trusts, etc. All activities must be interpreted in line with Article 2(1)(11) </w:t>
      </w:r>
      <w:r w:rsidR="00632313">
        <w:rPr>
          <w:rFonts w:asciiTheme="minorHAnsi" w:hAnsiTheme="minorHAnsi"/>
          <w:lang w:val="en-GB"/>
        </w:rPr>
        <w:t>AMLR</w:t>
      </w:r>
      <w:r w:rsidR="00491899">
        <w:rPr>
          <w:rFonts w:asciiTheme="minorHAnsi" w:hAnsiTheme="minorHAnsi"/>
          <w:lang w:val="en-GB"/>
        </w:rPr>
        <w:t>.</w:t>
      </w:r>
    </w:p>
    <w:tbl>
      <w:tblPr>
        <w:tblW w:w="92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3"/>
        <w:gridCol w:w="7616"/>
      </w:tblGrid>
      <w:tr w:rsidR="005E211E" w:rsidRPr="009B282E" w14:paraId="2A8B4A42" w14:textId="77777777">
        <w:tc>
          <w:tcPr>
            <w:tcW w:w="1673" w:type="dxa"/>
            <w:tcBorders>
              <w:top w:val="single" w:sz="4" w:space="0" w:color="auto"/>
              <w:left w:val="single" w:sz="4" w:space="0" w:color="auto"/>
              <w:bottom w:val="single" w:sz="4" w:space="0" w:color="auto"/>
              <w:right w:val="single" w:sz="4" w:space="0" w:color="auto"/>
            </w:tcBorders>
            <w:shd w:val="clear" w:color="auto" w:fill="D9D9D9"/>
            <w:hideMark/>
          </w:tcPr>
          <w:p w14:paraId="28A2751F" w14:textId="29CEB808" w:rsidR="00F62C6E" w:rsidRPr="009275BC" w:rsidRDefault="00F62C6E" w:rsidP="00F32516">
            <w:pPr>
              <w:pStyle w:val="InstructionsText"/>
              <w:rPr>
                <w:rStyle w:val="InstructionsTabelleText"/>
                <w:rFonts w:asciiTheme="minorHAnsi" w:hAnsiTheme="minorHAnsi"/>
                <w:bCs w:val="0"/>
                <w:lang w:eastAsia="en-US"/>
              </w:rPr>
            </w:pPr>
            <w:r w:rsidRPr="009275BC">
              <w:rPr>
                <w:rStyle w:val="InstructionsTabelleText"/>
                <w:rFonts w:asciiTheme="minorHAnsi" w:hAnsiTheme="minorHAnsi"/>
              </w:rPr>
              <w:t>Column code</w:t>
            </w:r>
          </w:p>
        </w:tc>
        <w:tc>
          <w:tcPr>
            <w:tcW w:w="7616" w:type="dxa"/>
            <w:tcBorders>
              <w:top w:val="single" w:sz="4" w:space="0" w:color="auto"/>
              <w:left w:val="single" w:sz="4" w:space="0" w:color="auto"/>
              <w:bottom w:val="single" w:sz="4" w:space="0" w:color="auto"/>
              <w:right w:val="single" w:sz="4" w:space="0" w:color="auto"/>
            </w:tcBorders>
            <w:shd w:val="clear" w:color="auto" w:fill="D9D9D9"/>
            <w:hideMark/>
          </w:tcPr>
          <w:p w14:paraId="7B73F502" w14:textId="3E29A572" w:rsidR="00F62C6E" w:rsidRPr="009275BC" w:rsidRDefault="00F62C6E" w:rsidP="00F32516">
            <w:pPr>
              <w:pStyle w:val="InstructionsText"/>
              <w:rPr>
                <w:rStyle w:val="InstructionsTabelleText"/>
                <w:rFonts w:asciiTheme="minorHAnsi" w:hAnsiTheme="minorHAnsi"/>
                <w:bCs w:val="0"/>
                <w:lang w:eastAsia="en-US"/>
              </w:rPr>
            </w:pPr>
            <w:r w:rsidRPr="009275BC">
              <w:rPr>
                <w:rStyle w:val="InstructionsTabelleText"/>
                <w:rFonts w:asciiTheme="minorHAnsi" w:hAnsiTheme="minorHAnsi"/>
              </w:rPr>
              <w:t>Legal references and instructions</w:t>
            </w:r>
          </w:p>
        </w:tc>
      </w:tr>
      <w:tr w:rsidR="00F62C6E" w:rsidRPr="009B282E" w14:paraId="2EF91754" w14:textId="77777777">
        <w:tc>
          <w:tcPr>
            <w:tcW w:w="1673" w:type="dxa"/>
            <w:tcBorders>
              <w:top w:val="single" w:sz="4" w:space="0" w:color="auto"/>
              <w:left w:val="single" w:sz="4" w:space="0" w:color="auto"/>
              <w:bottom w:val="single" w:sz="4" w:space="0" w:color="auto"/>
              <w:right w:val="single" w:sz="4" w:space="0" w:color="auto"/>
            </w:tcBorders>
            <w:vAlign w:val="center"/>
          </w:tcPr>
          <w:p w14:paraId="3CAC9B9F" w14:textId="10BFDA99" w:rsidR="00F62C6E" w:rsidRPr="009275BC" w:rsidRDefault="00F62C6E"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C0010</w:t>
            </w:r>
          </w:p>
        </w:tc>
        <w:tc>
          <w:tcPr>
            <w:tcW w:w="7616" w:type="dxa"/>
            <w:tcBorders>
              <w:top w:val="single" w:sz="4" w:space="0" w:color="auto"/>
              <w:left w:val="single" w:sz="4" w:space="0" w:color="auto"/>
              <w:bottom w:val="single" w:sz="4" w:space="0" w:color="auto"/>
              <w:right w:val="single" w:sz="4" w:space="0" w:color="auto"/>
            </w:tcBorders>
          </w:tcPr>
          <w:p w14:paraId="73FF1E35" w14:textId="0506D2F4" w:rsidR="00F62C6E" w:rsidRPr="00754115" w:rsidRDefault="00491899" w:rsidP="00F62C6E">
            <w:pPr>
              <w:pStyle w:val="InstructionsText2"/>
              <w:rPr>
                <w:rFonts w:asciiTheme="minorHAnsi" w:hAnsiTheme="minorHAnsi"/>
                <w:sz w:val="20"/>
                <w:lang w:val="en-US"/>
              </w:rPr>
            </w:pPr>
            <w:r w:rsidRPr="001C7303">
              <w:rPr>
                <w:rFonts w:ascii="Aptos" w:hAnsi="Aptos"/>
                <w:b/>
                <w:sz w:val="20"/>
                <w:u w:val="single"/>
                <w:lang w:val="en-IE"/>
              </w:rPr>
              <w:t>TCSP Customers (Legal Entities)</w:t>
            </w:r>
          </w:p>
          <w:p w14:paraId="364A5C7A" w14:textId="77777777" w:rsidR="00491899" w:rsidRDefault="00491899" w:rsidP="00F62C6E">
            <w:pPr>
              <w:pStyle w:val="InstructionsText2"/>
              <w:rPr>
                <w:rStyle w:val="InstructionsTabelleberschrift"/>
                <w:rFonts w:asciiTheme="minorHAnsi" w:hAnsiTheme="minorHAnsi"/>
                <w:b w:val="0"/>
                <w:bCs w:val="0"/>
                <w:u w:val="none"/>
              </w:rPr>
            </w:pPr>
            <w:r>
              <w:rPr>
                <w:rStyle w:val="InstructionsTabelleberschrift"/>
                <w:rFonts w:asciiTheme="minorHAnsi" w:hAnsiTheme="minorHAnsi"/>
                <w:b w:val="0"/>
                <w:bCs w:val="0"/>
                <w:u w:val="none"/>
              </w:rPr>
              <w:t>This refers to services provided by the obliged entity during the reference year.</w:t>
            </w:r>
          </w:p>
          <w:p w14:paraId="1DE32B19" w14:textId="14D89EED" w:rsidR="008473CF" w:rsidRPr="00A05BF2" w:rsidRDefault="0059623F" w:rsidP="00804172">
            <w:pPr>
              <w:pStyle w:val="InstructionsText2"/>
              <w:rPr>
                <w:rStyle w:val="InstructionsTabelleberschrift"/>
                <w:rFonts w:asciiTheme="minorHAnsi" w:hAnsiTheme="minorHAnsi"/>
                <w:b w:val="0"/>
                <w:bCs w:val="0"/>
                <w:u w:val="none"/>
              </w:rPr>
            </w:pPr>
            <w:r>
              <w:rPr>
                <w:rStyle w:val="InstructionsTabelleberschrift"/>
                <w:rFonts w:asciiTheme="minorHAnsi" w:hAnsiTheme="minorHAnsi"/>
                <w:b w:val="0"/>
                <w:bCs w:val="0"/>
                <w:u w:val="none"/>
              </w:rPr>
              <w:t>Indicate the t</w:t>
            </w:r>
            <w:r w:rsidRPr="001C7303">
              <w:rPr>
                <w:rFonts w:asciiTheme="minorHAnsi" w:hAnsiTheme="minorHAnsi"/>
                <w:sz w:val="20"/>
              </w:rPr>
              <w:t xml:space="preserve">otal number of legal entity customers </w:t>
            </w:r>
            <w:r w:rsidR="0092387C">
              <w:rPr>
                <w:rFonts w:asciiTheme="minorHAnsi" w:hAnsiTheme="minorHAnsi"/>
                <w:sz w:val="20"/>
              </w:rPr>
              <w:t xml:space="preserve">that </w:t>
            </w:r>
            <w:r w:rsidR="0092387C">
              <w:rPr>
                <w:rStyle w:val="InstructionsTabelleberschrift"/>
                <w:rFonts w:asciiTheme="minorHAnsi" w:hAnsiTheme="minorHAnsi"/>
                <w:b w:val="0"/>
                <w:bCs w:val="0"/>
                <w:u w:val="none"/>
              </w:rPr>
              <w:t>during the reference year</w:t>
            </w:r>
            <w:r w:rsidR="0092387C" w:rsidRPr="0092387C">
              <w:rPr>
                <w:rFonts w:asciiTheme="minorHAnsi" w:hAnsiTheme="minorHAnsi"/>
                <w:sz w:val="20"/>
              </w:rPr>
              <w:t xml:space="preserve"> </w:t>
            </w:r>
            <w:r w:rsidR="0092387C">
              <w:rPr>
                <w:rFonts w:asciiTheme="minorHAnsi" w:hAnsiTheme="minorHAnsi"/>
                <w:sz w:val="20"/>
              </w:rPr>
              <w:t>have used</w:t>
            </w:r>
            <w:r w:rsidRPr="001C7303">
              <w:rPr>
                <w:rFonts w:asciiTheme="minorHAnsi" w:hAnsiTheme="minorHAnsi"/>
                <w:sz w:val="20"/>
              </w:rPr>
              <w:t xml:space="preserve"> TCSP services</w:t>
            </w:r>
            <w:r w:rsidR="0092387C">
              <w:rPr>
                <w:rFonts w:asciiTheme="minorHAnsi" w:hAnsiTheme="minorHAnsi"/>
                <w:sz w:val="20"/>
              </w:rPr>
              <w:t xml:space="preserve"> </w:t>
            </w:r>
            <w:r w:rsidR="0092387C">
              <w:rPr>
                <w:rStyle w:val="InstructionsTabelleberschrift"/>
                <w:rFonts w:asciiTheme="minorHAnsi" w:hAnsiTheme="minorHAnsi"/>
                <w:b w:val="0"/>
                <w:bCs w:val="0"/>
                <w:u w:val="none"/>
              </w:rPr>
              <w:t>provided by the obliged entity</w:t>
            </w:r>
            <w:r w:rsidR="00804172">
              <w:rPr>
                <w:rStyle w:val="InstructionsTabelleberschrift"/>
                <w:rFonts w:asciiTheme="minorHAnsi" w:hAnsiTheme="minorHAnsi"/>
                <w:b w:val="0"/>
                <w:bCs w:val="0"/>
                <w:u w:val="none"/>
              </w:rPr>
              <w:t>.</w:t>
            </w:r>
          </w:p>
        </w:tc>
      </w:tr>
    </w:tbl>
    <w:p w14:paraId="34E66776" w14:textId="442FFA30" w:rsidR="00F84E76" w:rsidRPr="006A4B47" w:rsidRDefault="001A4AC8" w:rsidP="00CB14A2">
      <w:pPr>
        <w:pStyle w:val="Heading3"/>
        <w:rPr>
          <w:lang w:val="en-GB"/>
        </w:rPr>
      </w:pPr>
      <w:bookmarkStart w:id="206" w:name="_Toc221355984"/>
      <w:bookmarkStart w:id="207" w:name="_Toc223104850"/>
      <w:r w:rsidRPr="006A4B47">
        <w:rPr>
          <w:lang w:val="en-GB"/>
        </w:rPr>
        <w:t xml:space="preserve">AML.04.08 </w:t>
      </w:r>
      <w:r w:rsidR="00A7596C" w:rsidRPr="006A4B47">
        <w:rPr>
          <w:lang w:val="en-GB"/>
        </w:rPr>
        <w:t xml:space="preserve">Crypto </w:t>
      </w:r>
      <w:r w:rsidR="00356541" w:rsidRPr="006A4B47">
        <w:rPr>
          <w:lang w:val="en-GB"/>
        </w:rPr>
        <w:t>FIAT</w:t>
      </w:r>
      <w:r w:rsidR="00A7596C" w:rsidRPr="006A4B47">
        <w:rPr>
          <w:lang w:val="en-GB"/>
        </w:rPr>
        <w:t xml:space="preserve"> Cards</w:t>
      </w:r>
      <w:bookmarkEnd w:id="206"/>
      <w:bookmarkEnd w:id="207"/>
    </w:p>
    <w:p w14:paraId="502FE639" w14:textId="77777777" w:rsidR="006B6D53" w:rsidRPr="00A017EB" w:rsidRDefault="006B6D53" w:rsidP="006B6D53">
      <w:pPr>
        <w:rPr>
          <w:rFonts w:asciiTheme="minorHAnsi" w:hAnsiTheme="minorHAnsi"/>
          <w:b/>
          <w:bCs/>
          <w:iCs/>
        </w:rPr>
      </w:pPr>
      <w:r w:rsidRPr="00A017EB">
        <w:rPr>
          <w:rFonts w:asciiTheme="minorHAnsi" w:hAnsiTheme="minorHAnsi"/>
          <w:b/>
          <w:bCs/>
          <w:iCs/>
        </w:rPr>
        <w:t>Template Remarks</w:t>
      </w:r>
    </w:p>
    <w:p w14:paraId="589FEC7A" w14:textId="65DC4072" w:rsidR="006B6D53" w:rsidRDefault="006B6D53" w:rsidP="006B6D53">
      <w:pPr>
        <w:jc w:val="both"/>
        <w:rPr>
          <w:rFonts w:asciiTheme="minorHAnsi" w:hAnsiTheme="minorHAnsi"/>
          <w:bCs/>
          <w:iCs/>
        </w:rPr>
      </w:pPr>
      <w:r w:rsidRPr="00A017EB">
        <w:rPr>
          <w:rFonts w:asciiTheme="minorHAnsi" w:hAnsiTheme="minorHAnsi"/>
          <w:lang w:val="en-GB"/>
        </w:rPr>
        <w:t xml:space="preserve">Fill out this template if you </w:t>
      </w:r>
      <w:r w:rsidRPr="00A017EB">
        <w:rPr>
          <w:rFonts w:asciiTheme="minorHAnsi" w:hAnsiTheme="minorHAnsi"/>
        </w:rPr>
        <w:t xml:space="preserve">offer some of these services and/or products, normally this template is applicable for </w:t>
      </w:r>
      <w:r w:rsidRPr="003B7B62">
        <w:rPr>
          <w:rFonts w:asciiTheme="minorHAnsi" w:hAnsiTheme="minorHAnsi"/>
          <w:bCs/>
          <w:iCs/>
        </w:rPr>
        <w:t>CI, EMI</w:t>
      </w:r>
      <w:r>
        <w:rPr>
          <w:rFonts w:asciiTheme="minorHAnsi" w:hAnsiTheme="minorHAnsi"/>
          <w:bCs/>
          <w:iCs/>
        </w:rPr>
        <w:t xml:space="preserve"> and </w:t>
      </w:r>
      <w:r w:rsidRPr="003B7B62">
        <w:rPr>
          <w:rFonts w:asciiTheme="minorHAnsi" w:hAnsiTheme="minorHAnsi"/>
          <w:bCs/>
          <w:iCs/>
        </w:rPr>
        <w:t>PI</w:t>
      </w:r>
      <w:r>
        <w:rPr>
          <w:rFonts w:asciiTheme="minorHAnsi" w:hAnsiTheme="minorHAnsi"/>
          <w:bCs/>
          <w:iCs/>
        </w:rPr>
        <w:t>.</w:t>
      </w:r>
    </w:p>
    <w:p w14:paraId="6B476A3C" w14:textId="6C30DE2A" w:rsidR="00F16E6A" w:rsidRPr="00F302B4" w:rsidRDefault="00286F2C" w:rsidP="00135B9D">
      <w:pPr>
        <w:jc w:val="both"/>
        <w:rPr>
          <w:rFonts w:asciiTheme="minorHAnsi" w:hAnsiTheme="minorHAnsi"/>
          <w:lang w:val="en-GB"/>
        </w:rPr>
      </w:pPr>
      <w:r>
        <w:rPr>
          <w:rFonts w:asciiTheme="minorHAnsi" w:hAnsiTheme="minorHAnsi"/>
        </w:rPr>
        <w:t xml:space="preserve">According to </w:t>
      </w:r>
      <w:r w:rsidR="00F16E6A" w:rsidRPr="00F302B4">
        <w:rPr>
          <w:rFonts w:asciiTheme="minorHAnsi" w:hAnsiTheme="minorHAnsi"/>
        </w:rPr>
        <w:t>Article 3(1)(15) of Regulation (EU) 2023/1114:</w:t>
      </w:r>
      <w:r w:rsidR="00162DD2">
        <w:rPr>
          <w:rFonts w:asciiTheme="minorHAnsi" w:hAnsiTheme="minorHAnsi"/>
        </w:rPr>
        <w:t xml:space="preserve"> </w:t>
      </w:r>
      <w:r w:rsidR="00F16E6A" w:rsidRPr="00F302B4">
        <w:rPr>
          <w:rFonts w:asciiTheme="minorHAnsi" w:hAnsiTheme="minorHAnsi"/>
        </w:rPr>
        <w:t>‘crypto-asset service provider’ means a legal person or other undertaking whose occupation or business is the provision of one or more crypto-asset services to clients on a professional basis, and that is allowed to provide crypto-asset services in accordance with Article 59. This definition is relevant for non-EEA CASP, as long as they actively offer services to EU clients or advertises/solicits in the EU</w:t>
      </w:r>
      <w:r w:rsidR="00D45739">
        <w:rPr>
          <w:rFonts w:asciiTheme="minorHAnsi" w:hAnsiTheme="minorHAnsi"/>
        </w:rPr>
        <w:t>.</w:t>
      </w:r>
    </w:p>
    <w:tbl>
      <w:tblPr>
        <w:tblW w:w="92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3"/>
        <w:gridCol w:w="7616"/>
      </w:tblGrid>
      <w:tr w:rsidR="005E211E" w:rsidRPr="009B282E" w14:paraId="13A83436" w14:textId="77777777" w:rsidTr="20421334">
        <w:tc>
          <w:tcPr>
            <w:tcW w:w="16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0A1192" w14:textId="77777777" w:rsidR="0097506C" w:rsidRPr="009275BC" w:rsidRDefault="0097506C" w:rsidP="00F32516">
            <w:pPr>
              <w:pStyle w:val="InstructionsText"/>
              <w:rPr>
                <w:rStyle w:val="InstructionsTabelleText"/>
                <w:rFonts w:asciiTheme="minorHAnsi" w:hAnsiTheme="minorHAnsi"/>
                <w:bCs w:val="0"/>
                <w:lang w:eastAsia="en-US"/>
              </w:rPr>
            </w:pPr>
            <w:r w:rsidRPr="009275BC">
              <w:rPr>
                <w:rStyle w:val="InstructionsTabelleText"/>
                <w:rFonts w:asciiTheme="minorHAnsi" w:hAnsiTheme="minorHAnsi"/>
              </w:rPr>
              <w:t>Column code</w:t>
            </w:r>
          </w:p>
        </w:tc>
        <w:tc>
          <w:tcPr>
            <w:tcW w:w="76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0FA89" w14:textId="77777777" w:rsidR="0097506C" w:rsidRPr="009275BC" w:rsidRDefault="0097506C" w:rsidP="00F32516">
            <w:pPr>
              <w:pStyle w:val="InstructionsText"/>
              <w:rPr>
                <w:rStyle w:val="InstructionsTabelleText"/>
                <w:rFonts w:asciiTheme="minorHAnsi" w:hAnsiTheme="minorHAnsi"/>
                <w:bCs w:val="0"/>
                <w:lang w:eastAsia="en-US"/>
              </w:rPr>
            </w:pPr>
            <w:r w:rsidRPr="009275BC">
              <w:rPr>
                <w:rStyle w:val="InstructionsTabelleText"/>
                <w:rFonts w:asciiTheme="minorHAnsi" w:hAnsiTheme="minorHAnsi"/>
              </w:rPr>
              <w:t>Legal references and instructions</w:t>
            </w:r>
          </w:p>
        </w:tc>
      </w:tr>
      <w:tr w:rsidR="0097506C" w:rsidRPr="009B282E" w14:paraId="14BE9F46" w14:textId="77777777" w:rsidTr="00490365">
        <w:tc>
          <w:tcPr>
            <w:tcW w:w="1673" w:type="dxa"/>
            <w:tcBorders>
              <w:top w:val="single" w:sz="4" w:space="0" w:color="auto"/>
              <w:left w:val="single" w:sz="4" w:space="0" w:color="auto"/>
              <w:bottom w:val="single" w:sz="4" w:space="0" w:color="auto"/>
              <w:right w:val="single" w:sz="4" w:space="0" w:color="auto"/>
            </w:tcBorders>
            <w:vAlign w:val="center"/>
          </w:tcPr>
          <w:p w14:paraId="36E7B84F" w14:textId="258EF0CF" w:rsidR="0097506C" w:rsidRPr="009275BC" w:rsidRDefault="004C1863"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C0010</w:t>
            </w:r>
          </w:p>
        </w:tc>
        <w:tc>
          <w:tcPr>
            <w:tcW w:w="7616" w:type="dxa"/>
            <w:tcBorders>
              <w:top w:val="single" w:sz="4" w:space="0" w:color="auto"/>
              <w:left w:val="single" w:sz="4" w:space="0" w:color="auto"/>
              <w:bottom w:val="single" w:sz="4" w:space="0" w:color="auto"/>
              <w:right w:val="single" w:sz="4" w:space="0" w:color="auto"/>
            </w:tcBorders>
          </w:tcPr>
          <w:p w14:paraId="3D5AFC79" w14:textId="77777777" w:rsidR="00491899" w:rsidRDefault="00491899">
            <w:pPr>
              <w:pStyle w:val="InstructionsText2"/>
              <w:rPr>
                <w:rFonts w:asciiTheme="minorHAnsi" w:hAnsiTheme="minorHAnsi"/>
                <w:sz w:val="20"/>
                <w:lang w:val="en-US"/>
              </w:rPr>
            </w:pPr>
            <w:r w:rsidRPr="00A32A74">
              <w:rPr>
                <w:rFonts w:ascii="Aptos" w:hAnsi="Aptos"/>
                <w:b/>
                <w:sz w:val="20"/>
                <w:u w:val="single"/>
                <w:lang w:val="en-US"/>
              </w:rPr>
              <w:t>Non-EEA Crypto Companies (BIN-sponsored)</w:t>
            </w:r>
          </w:p>
          <w:p w14:paraId="72968D7B" w14:textId="17F5C948" w:rsidR="0097506C" w:rsidRPr="00841CB5" w:rsidRDefault="008B1447">
            <w:pPr>
              <w:pStyle w:val="InstructionsText2"/>
              <w:rPr>
                <w:rStyle w:val="InstructionsTabelleberschrift"/>
                <w:rFonts w:asciiTheme="minorHAnsi" w:hAnsiTheme="minorHAnsi"/>
                <w:b w:val="0"/>
                <w:bCs w:val="0"/>
                <w:u w:val="none"/>
              </w:rPr>
            </w:pPr>
            <w:r w:rsidRPr="20421334">
              <w:rPr>
                <w:rFonts w:asciiTheme="minorHAnsi" w:hAnsiTheme="minorHAnsi"/>
                <w:sz w:val="20"/>
                <w:szCs w:val="20"/>
                <w:lang w:val="en-US"/>
              </w:rPr>
              <w:t>Indicate the number of non-EEA crypto companies for which the obliged entity acts as a BIN-sponsor</w:t>
            </w:r>
            <w:r w:rsidR="25AB30D9" w:rsidRPr="20421334">
              <w:rPr>
                <w:rFonts w:asciiTheme="minorHAnsi" w:hAnsiTheme="minorHAnsi"/>
                <w:sz w:val="20"/>
                <w:szCs w:val="20"/>
                <w:lang w:val="en-US"/>
              </w:rPr>
              <w:t>, as of the end of the reference year</w:t>
            </w:r>
            <w:r w:rsidR="00A3558F" w:rsidRPr="20421334">
              <w:rPr>
                <w:rFonts w:asciiTheme="minorHAnsi" w:hAnsiTheme="minorHAnsi"/>
                <w:sz w:val="20"/>
                <w:szCs w:val="20"/>
                <w:lang w:val="en-US"/>
              </w:rPr>
              <w:t xml:space="preserve">. </w:t>
            </w:r>
            <w:r w:rsidR="00713D12" w:rsidRPr="20421334">
              <w:rPr>
                <w:rFonts w:asciiTheme="minorHAnsi" w:hAnsiTheme="minorHAnsi"/>
                <w:sz w:val="20"/>
                <w:szCs w:val="20"/>
                <w:lang w:val="en-US"/>
              </w:rPr>
              <w:t>BIN sponsorship is a financial arrangement in which the financial institution (the “sponsor”) lets another business access its payment environment using the sponsor’s Bank Identification Number (BIN).</w:t>
            </w:r>
          </w:p>
        </w:tc>
      </w:tr>
    </w:tbl>
    <w:p w14:paraId="6474FD19" w14:textId="7286295D" w:rsidR="003074BF" w:rsidRPr="009B282E" w:rsidRDefault="006867C0" w:rsidP="00186CB1">
      <w:pPr>
        <w:pStyle w:val="Heading3"/>
        <w:rPr>
          <w:lang w:val="en-GB"/>
        </w:rPr>
      </w:pPr>
      <w:bookmarkStart w:id="208" w:name="_Toc223086572"/>
      <w:bookmarkStart w:id="209" w:name="_Toc223086666"/>
      <w:bookmarkStart w:id="210" w:name="_Toc223086760"/>
      <w:bookmarkStart w:id="211" w:name="_Toc223086854"/>
      <w:bookmarkStart w:id="212" w:name="_Toc221355985"/>
      <w:bookmarkStart w:id="213" w:name="_Toc223104851"/>
      <w:bookmarkEnd w:id="208"/>
      <w:bookmarkEnd w:id="209"/>
      <w:bookmarkEnd w:id="210"/>
      <w:bookmarkEnd w:id="211"/>
      <w:r w:rsidRPr="009B282E">
        <w:rPr>
          <w:lang w:val="en-GB"/>
        </w:rPr>
        <w:t>AML</w:t>
      </w:r>
      <w:r w:rsidR="00B07F26" w:rsidRPr="009B282E">
        <w:rPr>
          <w:lang w:val="en-GB"/>
        </w:rPr>
        <w:t>.04.0</w:t>
      </w:r>
      <w:r w:rsidR="00B07F26" w:rsidRPr="009B282E" w:rsidDel="00EC6D30">
        <w:rPr>
          <w:lang w:val="en-GB"/>
        </w:rPr>
        <w:t>9</w:t>
      </w:r>
      <w:r w:rsidR="00B07F26" w:rsidRPr="009B282E">
        <w:rPr>
          <w:lang w:val="en-GB"/>
        </w:rPr>
        <w:t xml:space="preserve"> </w:t>
      </w:r>
      <w:r w:rsidR="00C74985">
        <w:rPr>
          <w:lang w:val="en-GB"/>
        </w:rPr>
        <w:t>P</w:t>
      </w:r>
      <w:r w:rsidR="004C3911" w:rsidRPr="009B282E">
        <w:rPr>
          <w:lang w:val="en-GB"/>
        </w:rPr>
        <w:t xml:space="preserve">roviding </w:t>
      </w:r>
      <w:r w:rsidR="00C74985">
        <w:rPr>
          <w:lang w:val="en-GB"/>
        </w:rPr>
        <w:t>C</w:t>
      </w:r>
      <w:r w:rsidR="004C3911" w:rsidRPr="009B282E">
        <w:rPr>
          <w:lang w:val="en-GB"/>
        </w:rPr>
        <w:t xml:space="preserve">ustody and </w:t>
      </w:r>
      <w:r w:rsidR="00C74985">
        <w:rPr>
          <w:lang w:val="en-GB"/>
        </w:rPr>
        <w:t>A</w:t>
      </w:r>
      <w:r w:rsidR="004C3911" w:rsidRPr="009B282E">
        <w:rPr>
          <w:lang w:val="en-GB"/>
        </w:rPr>
        <w:t xml:space="preserve">dministration of </w:t>
      </w:r>
      <w:r w:rsidR="00C74985">
        <w:rPr>
          <w:lang w:val="en-GB"/>
        </w:rPr>
        <w:t>C</w:t>
      </w:r>
      <w:r w:rsidR="004C3911" w:rsidRPr="009B282E">
        <w:rPr>
          <w:lang w:val="en-GB"/>
        </w:rPr>
        <w:t>rypto-</w:t>
      </w:r>
      <w:r w:rsidR="00C74985">
        <w:rPr>
          <w:lang w:val="en-GB"/>
        </w:rPr>
        <w:t>A</w:t>
      </w:r>
      <w:r w:rsidR="004C3911" w:rsidRPr="009B282E">
        <w:rPr>
          <w:lang w:val="en-GB"/>
        </w:rPr>
        <w:t xml:space="preserve">ssets on </w:t>
      </w:r>
      <w:r w:rsidR="00C74985">
        <w:rPr>
          <w:lang w:val="en-GB"/>
        </w:rPr>
        <w:t>B</w:t>
      </w:r>
      <w:r w:rsidR="004C3911" w:rsidRPr="009B282E">
        <w:rPr>
          <w:lang w:val="en-GB"/>
        </w:rPr>
        <w:t xml:space="preserve">ehalf of </w:t>
      </w:r>
      <w:r w:rsidR="00C74985">
        <w:rPr>
          <w:lang w:val="en-GB"/>
        </w:rPr>
        <w:t>C</w:t>
      </w:r>
      <w:r w:rsidR="004C3911" w:rsidRPr="009B282E">
        <w:rPr>
          <w:lang w:val="en-GB"/>
        </w:rPr>
        <w:t>lients</w:t>
      </w:r>
      <w:bookmarkEnd w:id="212"/>
      <w:bookmarkEnd w:id="213"/>
    </w:p>
    <w:p w14:paraId="4D3037B5" w14:textId="77777777" w:rsidR="006B6D53" w:rsidRPr="00A017EB" w:rsidRDefault="006B6D53" w:rsidP="006B6D53">
      <w:pPr>
        <w:rPr>
          <w:rFonts w:asciiTheme="minorHAnsi" w:hAnsiTheme="minorHAnsi"/>
          <w:b/>
          <w:bCs/>
          <w:iCs/>
        </w:rPr>
      </w:pPr>
      <w:r w:rsidRPr="00A017EB">
        <w:rPr>
          <w:rFonts w:asciiTheme="minorHAnsi" w:hAnsiTheme="minorHAnsi"/>
          <w:b/>
          <w:bCs/>
          <w:iCs/>
        </w:rPr>
        <w:t>Template Remarks</w:t>
      </w:r>
    </w:p>
    <w:p w14:paraId="4DD5F98A" w14:textId="76CF46C1" w:rsidR="006B6D53" w:rsidRDefault="006B6D53" w:rsidP="006B6D53">
      <w:pPr>
        <w:jc w:val="both"/>
        <w:rPr>
          <w:rFonts w:asciiTheme="minorHAnsi" w:hAnsiTheme="minorHAnsi"/>
          <w:bCs/>
          <w:iCs/>
        </w:rPr>
      </w:pPr>
      <w:r w:rsidRPr="00A017EB">
        <w:rPr>
          <w:rFonts w:asciiTheme="minorHAnsi" w:hAnsiTheme="minorHAnsi"/>
          <w:lang w:val="en-GB"/>
        </w:rPr>
        <w:t xml:space="preserve">Fill out this template if you </w:t>
      </w:r>
      <w:r w:rsidRPr="00A017EB">
        <w:rPr>
          <w:rFonts w:asciiTheme="minorHAnsi" w:hAnsiTheme="minorHAnsi"/>
        </w:rPr>
        <w:t xml:space="preserve">offer some of these services and/or products, normally this template is applicable for </w:t>
      </w:r>
      <w:r w:rsidRPr="003B7B62">
        <w:rPr>
          <w:rFonts w:asciiTheme="minorHAnsi" w:hAnsiTheme="minorHAnsi"/>
          <w:bCs/>
          <w:iCs/>
        </w:rPr>
        <w:t>CI, EMI</w:t>
      </w:r>
      <w:r>
        <w:rPr>
          <w:rFonts w:asciiTheme="minorHAnsi" w:hAnsiTheme="minorHAnsi"/>
          <w:bCs/>
          <w:iCs/>
        </w:rPr>
        <w:t xml:space="preserve">, </w:t>
      </w:r>
      <w:r w:rsidRPr="003B7B62">
        <w:rPr>
          <w:rFonts w:asciiTheme="minorHAnsi" w:hAnsiTheme="minorHAnsi"/>
          <w:bCs/>
          <w:iCs/>
        </w:rPr>
        <w:t>PI</w:t>
      </w:r>
      <w:r>
        <w:rPr>
          <w:rFonts w:asciiTheme="minorHAnsi" w:hAnsiTheme="minorHAnsi"/>
          <w:bCs/>
          <w:iCs/>
        </w:rPr>
        <w:t xml:space="preserve"> and CASP</w:t>
      </w:r>
      <w:r w:rsidRPr="00A017EB">
        <w:rPr>
          <w:rFonts w:asciiTheme="minorHAnsi" w:hAnsiTheme="minorHAnsi"/>
        </w:rPr>
        <w:t>.</w:t>
      </w:r>
    </w:p>
    <w:p w14:paraId="771E8956" w14:textId="516C445E" w:rsidR="003074BF" w:rsidRPr="00490365" w:rsidRDefault="001373D9" w:rsidP="00135B9D">
      <w:pPr>
        <w:jc w:val="both"/>
        <w:rPr>
          <w:rFonts w:asciiTheme="minorHAnsi" w:hAnsiTheme="minorHAnsi"/>
          <w:lang w:val="en-GB"/>
        </w:rPr>
      </w:pPr>
      <w:r w:rsidRPr="00490365">
        <w:rPr>
          <w:rStyle w:val="normaltextrun"/>
          <w:rFonts w:asciiTheme="minorHAnsi" w:hAnsiTheme="minorHAnsi" w:cs="Segoe UI"/>
          <w:color w:val="262626"/>
          <w:szCs w:val="22"/>
          <w:shd w:val="clear" w:color="auto" w:fill="FFFFFF"/>
        </w:rPr>
        <w:t>The provision by an obliged entity of services in line with Article 3(1)(16)(a) Regulation (EU) 2023/1114</w:t>
      </w:r>
      <w:r w:rsidR="003074BF" w:rsidRPr="00490365">
        <w:rPr>
          <w:rFonts w:asciiTheme="minorHAnsi" w:hAnsiTheme="minorHAnsi"/>
          <w:lang w:val="en-GB"/>
        </w:rPr>
        <w:t>.</w:t>
      </w:r>
    </w:p>
    <w:tbl>
      <w:tblPr>
        <w:tblW w:w="92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3"/>
        <w:gridCol w:w="7616"/>
      </w:tblGrid>
      <w:tr w:rsidR="005E211E" w:rsidRPr="009B282E" w14:paraId="6B500927" w14:textId="77777777">
        <w:tc>
          <w:tcPr>
            <w:tcW w:w="16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879F9A" w14:textId="77777777" w:rsidR="003074BF" w:rsidRPr="009275BC" w:rsidRDefault="003074BF" w:rsidP="00F32516">
            <w:pPr>
              <w:pStyle w:val="InstructionsText"/>
              <w:rPr>
                <w:rStyle w:val="InstructionsTabelleText"/>
                <w:rFonts w:asciiTheme="minorHAnsi" w:hAnsiTheme="minorHAnsi"/>
                <w:bCs w:val="0"/>
                <w:lang w:eastAsia="en-US"/>
              </w:rPr>
            </w:pPr>
            <w:r w:rsidRPr="009275BC">
              <w:rPr>
                <w:rStyle w:val="InstructionsTabelleText"/>
                <w:rFonts w:asciiTheme="minorHAnsi" w:hAnsiTheme="minorHAnsi"/>
              </w:rPr>
              <w:t>Column code</w:t>
            </w:r>
          </w:p>
        </w:tc>
        <w:tc>
          <w:tcPr>
            <w:tcW w:w="76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02BE6D" w14:textId="77777777" w:rsidR="003074BF" w:rsidRPr="009275BC" w:rsidRDefault="003074BF" w:rsidP="00F32516">
            <w:pPr>
              <w:pStyle w:val="InstructionsText"/>
              <w:rPr>
                <w:rStyle w:val="InstructionsTabelleText"/>
                <w:rFonts w:asciiTheme="minorHAnsi" w:hAnsiTheme="minorHAnsi"/>
                <w:bCs w:val="0"/>
                <w:lang w:eastAsia="en-US"/>
              </w:rPr>
            </w:pPr>
            <w:r w:rsidRPr="009275BC">
              <w:rPr>
                <w:rStyle w:val="InstructionsTabelleText"/>
                <w:rFonts w:asciiTheme="minorHAnsi" w:hAnsiTheme="minorHAnsi"/>
              </w:rPr>
              <w:t>Legal references and instructions</w:t>
            </w:r>
          </w:p>
        </w:tc>
      </w:tr>
      <w:tr w:rsidR="005E211E" w:rsidRPr="009B282E" w14:paraId="46A37EE6" w14:textId="77777777" w:rsidTr="00490365">
        <w:tc>
          <w:tcPr>
            <w:tcW w:w="1673" w:type="dxa"/>
            <w:tcBorders>
              <w:top w:val="single" w:sz="4" w:space="0" w:color="auto"/>
              <w:left w:val="single" w:sz="4" w:space="0" w:color="auto"/>
              <w:bottom w:val="single" w:sz="4" w:space="0" w:color="auto"/>
              <w:right w:val="single" w:sz="4" w:space="0" w:color="auto"/>
            </w:tcBorders>
            <w:vAlign w:val="center"/>
          </w:tcPr>
          <w:p w14:paraId="787C07CA" w14:textId="400FC1AD" w:rsidR="003074BF" w:rsidRPr="009275BC" w:rsidRDefault="00B80ED8"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C0010</w:t>
            </w:r>
          </w:p>
        </w:tc>
        <w:tc>
          <w:tcPr>
            <w:tcW w:w="7616" w:type="dxa"/>
            <w:tcBorders>
              <w:top w:val="single" w:sz="8" w:space="0" w:color="auto"/>
              <w:left w:val="single" w:sz="4" w:space="0" w:color="auto"/>
              <w:bottom w:val="single" w:sz="4" w:space="0" w:color="auto"/>
              <w:right w:val="single" w:sz="4" w:space="0" w:color="auto"/>
            </w:tcBorders>
            <w:vAlign w:val="center"/>
          </w:tcPr>
          <w:p w14:paraId="32038778" w14:textId="1E24839C" w:rsidR="00491899" w:rsidRDefault="00491899" w:rsidP="00667C02">
            <w:pPr>
              <w:pStyle w:val="InstructionsText2"/>
              <w:rPr>
                <w:rStyle w:val="InstructionsTabelleberschrift"/>
                <w:rFonts w:asciiTheme="minorHAnsi" w:hAnsiTheme="minorHAnsi"/>
              </w:rPr>
            </w:pPr>
            <w:r w:rsidRPr="00637B08">
              <w:rPr>
                <w:rStyle w:val="InstructionsTabelleberschrift"/>
                <w:rFonts w:ascii="Aptos" w:hAnsi="Aptos"/>
              </w:rPr>
              <w:t xml:space="preserve">Customers </w:t>
            </w:r>
            <w:r w:rsidR="00B104D6">
              <w:rPr>
                <w:rStyle w:val="InstructionsTabelleberschrift"/>
                <w:rFonts w:ascii="Aptos" w:hAnsi="Aptos"/>
              </w:rPr>
              <w:t>h</w:t>
            </w:r>
            <w:r w:rsidR="00F13A20">
              <w:rPr>
                <w:rStyle w:val="InstructionsTabelleberschrift"/>
                <w:rFonts w:ascii="Aptos" w:hAnsi="Aptos"/>
              </w:rPr>
              <w:t>olding</w:t>
            </w:r>
            <w:r w:rsidRPr="00637B08">
              <w:rPr>
                <w:rStyle w:val="InstructionsTabelleberschrift"/>
                <w:rFonts w:ascii="Aptos" w:hAnsi="Aptos"/>
              </w:rPr>
              <w:t xml:space="preserve"> Crypto-assets</w:t>
            </w:r>
            <w:r w:rsidR="00FC6726">
              <w:rPr>
                <w:rStyle w:val="InstructionsTabelleberschrift"/>
                <w:rFonts w:ascii="Aptos" w:hAnsi="Aptos"/>
              </w:rPr>
              <w:t xml:space="preserve"> - </w:t>
            </w:r>
            <w:r w:rsidR="00665EB2">
              <w:rPr>
                <w:rStyle w:val="InstructionsTabelleberschrift"/>
                <w:rFonts w:ascii="Aptos" w:hAnsi="Aptos"/>
              </w:rPr>
              <w:t>Number</w:t>
            </w:r>
          </w:p>
          <w:p w14:paraId="4943BC81" w14:textId="1C165FAE" w:rsidR="00754115" w:rsidRPr="00490365" w:rsidRDefault="00491899" w:rsidP="00AD5A00">
            <w:pPr>
              <w:pStyle w:val="InstructionsText2"/>
              <w:rPr>
                <w:rStyle w:val="InstructionsTabelleberschrift"/>
                <w:rFonts w:asciiTheme="minorHAnsi" w:hAnsiTheme="minorHAnsi"/>
              </w:rPr>
            </w:pPr>
            <w:r w:rsidRPr="00A32A74">
              <w:rPr>
                <w:rStyle w:val="InstructionsTabelleberschrift"/>
                <w:rFonts w:asciiTheme="minorHAnsi" w:hAnsiTheme="minorHAnsi"/>
                <w:b w:val="0"/>
                <w:bCs w:val="0"/>
                <w:u w:val="none"/>
              </w:rPr>
              <w:t xml:space="preserve">Indicate the total number of </w:t>
            </w:r>
            <w:r w:rsidR="00AD5A00" w:rsidRPr="00A32A74">
              <w:rPr>
                <w:rStyle w:val="InstructionsTabelleberschrift"/>
                <w:rFonts w:asciiTheme="minorHAnsi" w:hAnsiTheme="minorHAnsi"/>
                <w:b w:val="0"/>
                <w:bCs w:val="0"/>
                <w:u w:val="none"/>
              </w:rPr>
              <w:t xml:space="preserve">customers </w:t>
            </w:r>
            <w:r w:rsidR="005F4FEB">
              <w:rPr>
                <w:rStyle w:val="InstructionsTabelleberschrift"/>
                <w:rFonts w:asciiTheme="minorHAnsi" w:hAnsiTheme="minorHAnsi"/>
                <w:b w:val="0"/>
                <w:bCs w:val="0"/>
                <w:u w:val="none"/>
              </w:rPr>
              <w:t>holding</w:t>
            </w:r>
            <w:r w:rsidR="00AD5A00" w:rsidRPr="00A32A74">
              <w:rPr>
                <w:rStyle w:val="InstructionsTabelleberschrift"/>
                <w:rFonts w:asciiTheme="minorHAnsi" w:hAnsiTheme="minorHAnsi"/>
                <w:b w:val="0"/>
                <w:bCs w:val="0"/>
                <w:u w:val="none"/>
              </w:rPr>
              <w:t xml:space="preserve"> </w:t>
            </w:r>
            <w:r w:rsidRPr="00A32A74">
              <w:rPr>
                <w:rStyle w:val="InstructionsTabelleberschrift"/>
                <w:rFonts w:asciiTheme="minorHAnsi" w:hAnsiTheme="minorHAnsi"/>
                <w:b w:val="0"/>
                <w:bCs w:val="0"/>
                <w:u w:val="none"/>
              </w:rPr>
              <w:t>crypto-assets as of end of the reference year.</w:t>
            </w:r>
          </w:p>
        </w:tc>
      </w:tr>
      <w:tr w:rsidR="005E211E" w:rsidRPr="009B282E" w14:paraId="3A48CC79" w14:textId="77777777" w:rsidTr="00490365">
        <w:tc>
          <w:tcPr>
            <w:tcW w:w="1673" w:type="dxa"/>
            <w:tcBorders>
              <w:top w:val="single" w:sz="4" w:space="0" w:color="auto"/>
              <w:left w:val="single" w:sz="4" w:space="0" w:color="auto"/>
              <w:bottom w:val="single" w:sz="4" w:space="0" w:color="auto"/>
              <w:right w:val="single" w:sz="4" w:space="0" w:color="auto"/>
            </w:tcBorders>
            <w:vAlign w:val="center"/>
          </w:tcPr>
          <w:p w14:paraId="094815D3" w14:textId="353CBF58" w:rsidR="00B80ED8" w:rsidRPr="009275BC" w:rsidRDefault="00B80ED8"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C0020</w:t>
            </w:r>
          </w:p>
        </w:tc>
        <w:tc>
          <w:tcPr>
            <w:tcW w:w="7616" w:type="dxa"/>
            <w:tcBorders>
              <w:top w:val="nil"/>
              <w:left w:val="single" w:sz="4" w:space="0" w:color="auto"/>
              <w:bottom w:val="single" w:sz="8" w:space="0" w:color="auto"/>
              <w:right w:val="single" w:sz="4" w:space="0" w:color="auto"/>
            </w:tcBorders>
            <w:vAlign w:val="center"/>
          </w:tcPr>
          <w:p w14:paraId="5FA443E3" w14:textId="77777777" w:rsidR="00491899" w:rsidRDefault="00491899" w:rsidP="00667C02">
            <w:pPr>
              <w:pStyle w:val="InstructionsText2"/>
              <w:rPr>
                <w:rStyle w:val="InstructionsTabelleberschrift"/>
                <w:rFonts w:asciiTheme="minorHAnsi" w:hAnsiTheme="minorHAnsi"/>
              </w:rPr>
            </w:pPr>
            <w:r w:rsidRPr="00FC6726">
              <w:rPr>
                <w:rStyle w:val="InstructionsTabelleberschrift"/>
                <w:rFonts w:asciiTheme="minorHAnsi" w:hAnsiTheme="minorHAnsi"/>
              </w:rPr>
              <w:t>Crypto Assets in Custody - Value</w:t>
            </w:r>
          </w:p>
          <w:p w14:paraId="2D79F215" w14:textId="5D26965D" w:rsidR="00754115" w:rsidRPr="00754115" w:rsidRDefault="00491899" w:rsidP="00FC6726">
            <w:pPr>
              <w:pStyle w:val="InstructionsText2"/>
              <w:rPr>
                <w:rStyle w:val="InstructionsTabelleberschrift"/>
                <w:rFonts w:asciiTheme="minorHAnsi" w:hAnsiTheme="minorHAnsi"/>
                <w:b w:val="0"/>
                <w:bCs w:val="0"/>
                <w:u w:val="none"/>
              </w:rPr>
            </w:pPr>
            <w:r>
              <w:rPr>
                <w:rStyle w:val="InstructionsTabelleberschrift"/>
                <w:rFonts w:asciiTheme="minorHAnsi" w:hAnsiTheme="minorHAnsi"/>
                <w:b w:val="0"/>
                <w:bCs w:val="0"/>
                <w:u w:val="none"/>
              </w:rPr>
              <w:t>Indicate the total value of crypto-assets</w:t>
            </w:r>
            <w:r w:rsidR="00FC6726">
              <w:rPr>
                <w:rStyle w:val="InstructionsTabelleberschrift"/>
                <w:rFonts w:asciiTheme="minorHAnsi" w:hAnsiTheme="minorHAnsi"/>
                <w:b w:val="0"/>
                <w:bCs w:val="0"/>
                <w:u w:val="none"/>
              </w:rPr>
              <w:t xml:space="preserve"> </w:t>
            </w:r>
            <w:r w:rsidR="00FC6726" w:rsidRPr="00FC6726">
              <w:rPr>
                <w:rStyle w:val="InstructionsTabelleberschrift"/>
                <w:rFonts w:asciiTheme="minorHAnsi" w:hAnsiTheme="minorHAnsi"/>
                <w:b w:val="0"/>
                <w:bCs w:val="0"/>
                <w:u w:val="none"/>
              </w:rPr>
              <w:t>held on customer</w:t>
            </w:r>
            <w:r w:rsidR="00665EB2">
              <w:rPr>
                <w:rStyle w:val="InstructionsTabelleberschrift"/>
                <w:rFonts w:asciiTheme="minorHAnsi" w:hAnsiTheme="minorHAnsi"/>
                <w:b w:val="0"/>
                <w:bCs w:val="0"/>
                <w:u w:val="none"/>
              </w:rPr>
              <w:t>s’</w:t>
            </w:r>
            <w:r w:rsidR="00FC6726" w:rsidRPr="00FC6726">
              <w:rPr>
                <w:rStyle w:val="InstructionsTabelleberschrift"/>
                <w:rFonts w:asciiTheme="minorHAnsi" w:hAnsiTheme="minorHAnsi"/>
                <w:b w:val="0"/>
                <w:bCs w:val="0"/>
                <w:u w:val="none"/>
              </w:rPr>
              <w:t xml:space="preserve"> custody wallets</w:t>
            </w:r>
            <w:r>
              <w:rPr>
                <w:rStyle w:val="InstructionsTabelleberschrift"/>
                <w:rFonts w:asciiTheme="minorHAnsi" w:hAnsiTheme="minorHAnsi"/>
                <w:b w:val="0"/>
                <w:bCs w:val="0"/>
                <w:u w:val="none"/>
              </w:rPr>
              <w:t xml:space="preserve"> as of end of the reference year.</w:t>
            </w:r>
          </w:p>
        </w:tc>
      </w:tr>
    </w:tbl>
    <w:p w14:paraId="0A745F31" w14:textId="6F67DBAE" w:rsidR="00EC6D30" w:rsidRDefault="00EC6D30" w:rsidP="00EC6D30">
      <w:pPr>
        <w:pStyle w:val="Heading3"/>
        <w:rPr>
          <w:lang w:val="en-GB"/>
        </w:rPr>
      </w:pPr>
      <w:bookmarkStart w:id="214" w:name="_Toc223018918"/>
      <w:bookmarkStart w:id="215" w:name="_Toc223021716"/>
      <w:bookmarkStart w:id="216" w:name="_Toc223086574"/>
      <w:bookmarkStart w:id="217" w:name="_Toc223086668"/>
      <w:bookmarkStart w:id="218" w:name="_Toc223086762"/>
      <w:bookmarkStart w:id="219" w:name="_Toc223086856"/>
      <w:bookmarkStart w:id="220" w:name="_Toc221355986"/>
      <w:bookmarkStart w:id="221" w:name="_Toc223104852"/>
      <w:bookmarkEnd w:id="214"/>
      <w:bookmarkEnd w:id="215"/>
      <w:bookmarkEnd w:id="216"/>
      <w:bookmarkEnd w:id="217"/>
      <w:bookmarkEnd w:id="218"/>
      <w:bookmarkEnd w:id="219"/>
      <w:r w:rsidRPr="009B282E">
        <w:rPr>
          <w:lang w:val="en-GB"/>
        </w:rPr>
        <w:t xml:space="preserve">AML.04.10 </w:t>
      </w:r>
      <w:r w:rsidR="00C74985">
        <w:rPr>
          <w:lang w:val="en-GB"/>
        </w:rPr>
        <w:t>Crypto</w:t>
      </w:r>
      <w:r w:rsidRPr="009B282E">
        <w:rPr>
          <w:lang w:val="en-GB"/>
        </w:rPr>
        <w:t xml:space="preserve"> </w:t>
      </w:r>
      <w:r w:rsidR="00C74985">
        <w:rPr>
          <w:lang w:val="en-GB"/>
        </w:rPr>
        <w:t>Services</w:t>
      </w:r>
      <w:bookmarkEnd w:id="220"/>
      <w:bookmarkEnd w:id="221"/>
    </w:p>
    <w:p w14:paraId="03865417" w14:textId="77777777" w:rsidR="006B6D53" w:rsidRPr="00A017EB" w:rsidRDefault="006B6D53" w:rsidP="006B6D53">
      <w:pPr>
        <w:rPr>
          <w:rFonts w:asciiTheme="minorHAnsi" w:hAnsiTheme="minorHAnsi"/>
          <w:b/>
          <w:bCs/>
          <w:iCs/>
        </w:rPr>
      </w:pPr>
      <w:r w:rsidRPr="00A017EB">
        <w:rPr>
          <w:rFonts w:asciiTheme="minorHAnsi" w:hAnsiTheme="minorHAnsi"/>
          <w:b/>
          <w:bCs/>
          <w:iCs/>
        </w:rPr>
        <w:t>Template Remarks</w:t>
      </w:r>
    </w:p>
    <w:p w14:paraId="53549839" w14:textId="37510F44" w:rsidR="006B6D53" w:rsidRDefault="006B6D53" w:rsidP="006B6D53">
      <w:pPr>
        <w:jc w:val="both"/>
        <w:rPr>
          <w:rFonts w:asciiTheme="minorHAnsi" w:hAnsiTheme="minorHAnsi"/>
          <w:bCs/>
          <w:iCs/>
        </w:rPr>
      </w:pPr>
      <w:r w:rsidRPr="00A017EB">
        <w:rPr>
          <w:rFonts w:asciiTheme="minorHAnsi" w:hAnsiTheme="minorHAnsi"/>
          <w:lang w:val="en-GB"/>
        </w:rPr>
        <w:t>Fill out this</w:t>
      </w:r>
      <w:r w:rsidR="00DC29B5" w:rsidRPr="00A017EB">
        <w:rPr>
          <w:rFonts w:asciiTheme="minorHAnsi" w:hAnsiTheme="minorHAnsi"/>
          <w:lang w:val="en-GB"/>
        </w:rPr>
        <w:t xml:space="preserve"> template </w:t>
      </w:r>
      <w:r w:rsidRPr="00A017EB">
        <w:rPr>
          <w:rFonts w:asciiTheme="minorHAnsi" w:hAnsiTheme="minorHAnsi"/>
          <w:lang w:val="en-GB"/>
        </w:rPr>
        <w:t xml:space="preserve">if you </w:t>
      </w:r>
      <w:r w:rsidRPr="00A017EB">
        <w:rPr>
          <w:rFonts w:asciiTheme="minorHAnsi" w:hAnsiTheme="minorHAnsi"/>
        </w:rPr>
        <w:t>offer some</w:t>
      </w:r>
      <w:r w:rsidR="00DC29B5" w:rsidRPr="00A017EB">
        <w:rPr>
          <w:rFonts w:asciiTheme="minorHAnsi" w:hAnsiTheme="minorHAnsi"/>
        </w:rPr>
        <w:t xml:space="preserve"> of </w:t>
      </w:r>
      <w:r w:rsidRPr="00A017EB">
        <w:rPr>
          <w:rFonts w:asciiTheme="minorHAnsi" w:hAnsiTheme="minorHAnsi"/>
        </w:rPr>
        <w:t>these services and/or products, normally this template</w:t>
      </w:r>
      <w:r w:rsidR="00DC29B5" w:rsidRPr="00A017EB">
        <w:rPr>
          <w:rFonts w:asciiTheme="minorHAnsi" w:hAnsiTheme="minorHAnsi"/>
        </w:rPr>
        <w:t xml:space="preserve"> is applicable for </w:t>
      </w:r>
      <w:r w:rsidR="00DC29B5" w:rsidRPr="003B7B62">
        <w:rPr>
          <w:rFonts w:asciiTheme="minorHAnsi" w:hAnsiTheme="minorHAnsi"/>
        </w:rPr>
        <w:t>CI, EMI</w:t>
      </w:r>
      <w:r w:rsidR="00DC29B5">
        <w:rPr>
          <w:rFonts w:asciiTheme="minorHAnsi" w:hAnsiTheme="minorHAnsi"/>
        </w:rPr>
        <w:t xml:space="preserve">, </w:t>
      </w:r>
      <w:r w:rsidR="00DC29B5" w:rsidRPr="003B7B62">
        <w:rPr>
          <w:rFonts w:asciiTheme="minorHAnsi" w:hAnsiTheme="minorHAnsi"/>
        </w:rPr>
        <w:t>PI</w:t>
      </w:r>
      <w:r w:rsidR="00DC29B5">
        <w:rPr>
          <w:rFonts w:asciiTheme="minorHAnsi" w:hAnsiTheme="minorHAnsi"/>
        </w:rPr>
        <w:t xml:space="preserve">, </w:t>
      </w:r>
      <w:r w:rsidR="00771C38">
        <w:rPr>
          <w:rFonts w:asciiTheme="minorHAnsi" w:hAnsiTheme="minorHAnsi"/>
        </w:rPr>
        <w:t>IF and CASP</w:t>
      </w:r>
      <w:r w:rsidR="00DC29B5">
        <w:rPr>
          <w:rFonts w:asciiTheme="minorHAnsi" w:hAnsiTheme="minorHAnsi"/>
        </w:rPr>
        <w:t>.</w:t>
      </w:r>
    </w:p>
    <w:p w14:paraId="4F873B99" w14:textId="48FE0286" w:rsidR="0085171C" w:rsidRPr="009B282E" w:rsidRDefault="00AE5299" w:rsidP="00B07F26">
      <w:pPr>
        <w:pStyle w:val="Heading3"/>
        <w:numPr>
          <w:ilvl w:val="0"/>
          <w:numId w:val="0"/>
        </w:numPr>
        <w:ind w:left="720"/>
        <w:rPr>
          <w:lang w:val="en-GB"/>
        </w:rPr>
      </w:pPr>
      <w:bookmarkStart w:id="222" w:name="_Toc221355987"/>
      <w:bookmarkStart w:id="223" w:name="_Toc223104853"/>
      <w:r w:rsidRPr="009B282E">
        <w:rPr>
          <w:lang w:val="en-GB"/>
        </w:rPr>
        <w:t xml:space="preserve">Exchange </w:t>
      </w:r>
      <w:r w:rsidR="0085171C" w:rsidRPr="009B282E">
        <w:rPr>
          <w:lang w:val="en-GB"/>
        </w:rPr>
        <w:t xml:space="preserve">funds for </w:t>
      </w:r>
      <w:r w:rsidR="0063611C" w:rsidRPr="009B282E">
        <w:rPr>
          <w:lang w:val="en-GB"/>
        </w:rPr>
        <w:t>cryp</w:t>
      </w:r>
      <w:r w:rsidR="00953B06" w:rsidRPr="009B282E">
        <w:rPr>
          <w:lang w:val="en-GB"/>
        </w:rPr>
        <w:t>to</w:t>
      </w:r>
      <w:r w:rsidR="0085171C" w:rsidRPr="009B282E">
        <w:rPr>
          <w:lang w:val="en-GB"/>
        </w:rPr>
        <w:t>-</w:t>
      </w:r>
      <w:r w:rsidR="0059101E">
        <w:rPr>
          <w:lang w:val="en-GB"/>
        </w:rPr>
        <w:t>assets</w:t>
      </w:r>
      <w:bookmarkEnd w:id="222"/>
      <w:bookmarkEnd w:id="223"/>
    </w:p>
    <w:p w14:paraId="120635E6" w14:textId="0FFDFB29" w:rsidR="0085171C" w:rsidRPr="00BE70F2" w:rsidRDefault="00CF2AFC" w:rsidP="0085171C">
      <w:pPr>
        <w:jc w:val="both"/>
        <w:rPr>
          <w:rFonts w:asciiTheme="minorHAnsi" w:hAnsiTheme="minorHAnsi"/>
          <w:lang w:val="en-GB"/>
        </w:rPr>
      </w:pPr>
      <w:r w:rsidRPr="00BE70F2">
        <w:rPr>
          <w:rStyle w:val="normaltextrun"/>
          <w:rFonts w:asciiTheme="minorHAnsi" w:hAnsiTheme="minorHAnsi" w:cs="Segoe UI"/>
          <w:color w:val="262626"/>
          <w:szCs w:val="22"/>
          <w:shd w:val="clear" w:color="auto" w:fill="FFFFFF"/>
        </w:rPr>
        <w:t xml:space="preserve">The provision by an </w:t>
      </w:r>
      <w:r w:rsidR="0085171C" w:rsidRPr="00BE70F2">
        <w:rPr>
          <w:rStyle w:val="normaltextrun"/>
          <w:rFonts w:asciiTheme="minorHAnsi" w:hAnsiTheme="minorHAnsi" w:cs="Segoe UI"/>
          <w:color w:val="262626"/>
          <w:szCs w:val="22"/>
          <w:shd w:val="clear" w:color="auto" w:fill="FFFFFF"/>
        </w:rPr>
        <w:t xml:space="preserve">obliged entity </w:t>
      </w:r>
      <w:r w:rsidRPr="00BE70F2">
        <w:rPr>
          <w:rStyle w:val="normaltextrun"/>
          <w:rFonts w:asciiTheme="minorHAnsi" w:hAnsiTheme="minorHAnsi" w:cs="Segoe UI"/>
          <w:color w:val="262626"/>
          <w:szCs w:val="22"/>
          <w:shd w:val="clear" w:color="auto" w:fill="FFFFFF"/>
        </w:rPr>
        <w:t xml:space="preserve">of services </w:t>
      </w:r>
      <w:r w:rsidR="0085171C" w:rsidRPr="00BE70F2">
        <w:rPr>
          <w:rStyle w:val="normaltextrun"/>
          <w:rFonts w:asciiTheme="minorHAnsi" w:hAnsiTheme="minorHAnsi" w:cs="Segoe UI"/>
          <w:color w:val="262626"/>
          <w:szCs w:val="22"/>
          <w:shd w:val="clear" w:color="auto" w:fill="FFFFFF"/>
        </w:rPr>
        <w:t>in line</w:t>
      </w:r>
      <w:r w:rsidRPr="00BE70F2">
        <w:rPr>
          <w:rStyle w:val="normaltextrun"/>
          <w:rFonts w:asciiTheme="minorHAnsi" w:hAnsiTheme="minorHAnsi" w:cs="Segoe UI"/>
          <w:color w:val="262626"/>
          <w:szCs w:val="22"/>
          <w:shd w:val="clear" w:color="auto" w:fill="FFFFFF"/>
        </w:rPr>
        <w:t xml:space="preserve"> </w:t>
      </w:r>
      <w:r w:rsidR="0085171C" w:rsidRPr="00BE70F2">
        <w:rPr>
          <w:rStyle w:val="normaltextrun"/>
          <w:rFonts w:asciiTheme="minorHAnsi" w:hAnsiTheme="minorHAnsi" w:cs="Segoe UI"/>
          <w:color w:val="262626"/>
          <w:szCs w:val="22"/>
          <w:shd w:val="clear" w:color="auto" w:fill="FFFFFF"/>
        </w:rPr>
        <w:t>with</w:t>
      </w:r>
      <w:r w:rsidRPr="00BE70F2">
        <w:rPr>
          <w:rStyle w:val="normaltextrun"/>
          <w:rFonts w:asciiTheme="minorHAnsi" w:hAnsiTheme="minorHAnsi" w:cs="Segoe UI"/>
          <w:color w:val="262626"/>
          <w:szCs w:val="22"/>
          <w:shd w:val="clear" w:color="auto" w:fill="FFFFFF"/>
        </w:rPr>
        <w:t xml:space="preserve"> </w:t>
      </w:r>
      <w:r w:rsidR="0085171C" w:rsidRPr="00BE70F2">
        <w:rPr>
          <w:rStyle w:val="normaltextrun"/>
          <w:rFonts w:asciiTheme="minorHAnsi" w:hAnsiTheme="minorHAnsi" w:cs="Segoe UI"/>
          <w:color w:val="262626"/>
          <w:szCs w:val="22"/>
          <w:shd w:val="clear" w:color="auto" w:fill="FFFFFF"/>
        </w:rPr>
        <w:t>Article</w:t>
      </w:r>
      <w:r w:rsidRPr="00BE70F2">
        <w:rPr>
          <w:rStyle w:val="normaltextrun"/>
          <w:rFonts w:asciiTheme="minorHAnsi" w:hAnsiTheme="minorHAnsi" w:cs="Segoe UI"/>
          <w:color w:val="262626"/>
          <w:szCs w:val="22"/>
          <w:shd w:val="clear" w:color="auto" w:fill="FFFFFF"/>
        </w:rPr>
        <w:t xml:space="preserve"> </w:t>
      </w:r>
      <w:r w:rsidR="0085171C" w:rsidRPr="00BE70F2">
        <w:rPr>
          <w:rStyle w:val="normaltextrun"/>
          <w:rFonts w:asciiTheme="minorHAnsi" w:hAnsiTheme="minorHAnsi" w:cs="Segoe UI"/>
          <w:color w:val="262626"/>
          <w:szCs w:val="22"/>
          <w:shd w:val="clear" w:color="auto" w:fill="FFFFFF"/>
        </w:rPr>
        <w:t>3(1</w:t>
      </w:r>
      <w:r w:rsidRPr="00BE70F2">
        <w:rPr>
          <w:rStyle w:val="normaltextrun"/>
          <w:rFonts w:asciiTheme="minorHAnsi" w:hAnsiTheme="minorHAnsi" w:cs="Segoe UI"/>
          <w:color w:val="262626"/>
          <w:szCs w:val="22"/>
          <w:shd w:val="clear" w:color="auto" w:fill="FFFFFF"/>
        </w:rPr>
        <w:t>)</w:t>
      </w:r>
      <w:r w:rsidR="0085171C" w:rsidRPr="00BE70F2">
        <w:rPr>
          <w:rStyle w:val="normaltextrun"/>
          <w:rFonts w:asciiTheme="minorHAnsi" w:hAnsiTheme="minorHAnsi" w:cs="Segoe UI"/>
          <w:color w:val="262626"/>
          <w:szCs w:val="22"/>
          <w:shd w:val="clear" w:color="auto" w:fill="FFFFFF"/>
        </w:rPr>
        <w:t>(16)(c)</w:t>
      </w:r>
      <w:r w:rsidRPr="00BE70F2">
        <w:rPr>
          <w:rStyle w:val="normaltextrun"/>
          <w:rFonts w:asciiTheme="minorHAnsi" w:hAnsiTheme="minorHAnsi" w:cs="Segoe UI"/>
          <w:color w:val="262626"/>
          <w:szCs w:val="22"/>
          <w:shd w:val="clear" w:color="auto" w:fill="FFFFFF"/>
        </w:rPr>
        <w:t xml:space="preserve"> </w:t>
      </w:r>
      <w:r w:rsidR="0085171C" w:rsidRPr="00BE70F2">
        <w:rPr>
          <w:rStyle w:val="normaltextrun"/>
          <w:rFonts w:asciiTheme="minorHAnsi" w:hAnsiTheme="minorHAnsi" w:cs="Segoe UI"/>
          <w:color w:val="262626"/>
          <w:szCs w:val="22"/>
          <w:shd w:val="clear" w:color="auto" w:fill="FFFFFF"/>
        </w:rPr>
        <w:t>of</w:t>
      </w:r>
      <w:r w:rsidRPr="00BE70F2">
        <w:rPr>
          <w:rStyle w:val="normaltextrun"/>
          <w:rFonts w:asciiTheme="minorHAnsi" w:hAnsiTheme="minorHAnsi" w:cs="Segoe UI"/>
          <w:color w:val="262626"/>
          <w:szCs w:val="22"/>
          <w:shd w:val="clear" w:color="auto" w:fill="FFFFFF"/>
        </w:rPr>
        <w:t xml:space="preserve"> </w:t>
      </w:r>
      <w:r w:rsidR="0085171C" w:rsidRPr="00BE70F2">
        <w:rPr>
          <w:rStyle w:val="normaltextrun"/>
          <w:rFonts w:asciiTheme="minorHAnsi" w:hAnsiTheme="minorHAnsi" w:cs="Segoe UI"/>
          <w:color w:val="262626"/>
          <w:szCs w:val="22"/>
          <w:shd w:val="clear" w:color="auto" w:fill="FFFFFF"/>
        </w:rPr>
        <w:t>Regulation (EU) 2023/1114</w:t>
      </w:r>
      <w:r w:rsidRPr="00BE70F2">
        <w:rPr>
          <w:rStyle w:val="normaltextrun"/>
          <w:rFonts w:asciiTheme="minorHAnsi" w:hAnsiTheme="minorHAnsi" w:cs="Segoe UI"/>
          <w:color w:val="262626"/>
          <w:szCs w:val="22"/>
          <w:shd w:val="clear" w:color="auto" w:fill="FFFFFF"/>
        </w:rPr>
        <w:t xml:space="preserve">, </w:t>
      </w:r>
      <w:r w:rsidR="006E7502" w:rsidRPr="00BE70F2">
        <w:rPr>
          <w:rStyle w:val="normaltextrun"/>
          <w:rFonts w:asciiTheme="minorHAnsi" w:hAnsiTheme="minorHAnsi" w:cs="Segoe UI"/>
          <w:color w:val="262626"/>
          <w:szCs w:val="22"/>
          <w:shd w:val="clear" w:color="auto" w:fill="FFFFFF"/>
        </w:rPr>
        <w:t>insofar as they involve</w:t>
      </w:r>
      <w:r w:rsidRPr="00BE70F2">
        <w:rPr>
          <w:rStyle w:val="normaltextrun"/>
          <w:rFonts w:asciiTheme="minorHAnsi" w:hAnsiTheme="minorHAnsi" w:cs="Segoe UI"/>
          <w:color w:val="262626"/>
          <w:szCs w:val="22"/>
          <w:shd w:val="clear" w:color="auto" w:fill="FFFFFF"/>
        </w:rPr>
        <w:t xml:space="preserve"> the </w:t>
      </w:r>
      <w:r w:rsidR="00946730" w:rsidRPr="00BE70F2">
        <w:rPr>
          <w:rStyle w:val="normaltextrun"/>
          <w:rFonts w:asciiTheme="minorHAnsi" w:hAnsiTheme="minorHAnsi" w:cs="Segoe UI"/>
          <w:color w:val="262626"/>
          <w:szCs w:val="22"/>
          <w:shd w:val="clear" w:color="auto" w:fill="FFFFFF"/>
        </w:rPr>
        <w:t xml:space="preserve">directional </w:t>
      </w:r>
      <w:r w:rsidRPr="00BE70F2">
        <w:rPr>
          <w:rStyle w:val="normaltextrun"/>
          <w:rFonts w:asciiTheme="minorHAnsi" w:hAnsiTheme="minorHAnsi" w:cs="Segoe UI"/>
          <w:color w:val="262626"/>
          <w:szCs w:val="22"/>
          <w:shd w:val="clear" w:color="auto" w:fill="FFFFFF"/>
        </w:rPr>
        <w:t>exchange of funds for crypto-assets</w:t>
      </w:r>
      <w:r w:rsidR="0085171C" w:rsidRPr="00BE70F2">
        <w:rPr>
          <w:rFonts w:asciiTheme="minorHAnsi" w:hAnsiTheme="minorHAnsi"/>
          <w:lang w:val="en-GB"/>
        </w:rPr>
        <w:t>.</w:t>
      </w:r>
    </w:p>
    <w:p w14:paraId="458A1E70" w14:textId="155D3AED" w:rsidR="0085171C" w:rsidRPr="00BE70F2" w:rsidRDefault="0085171C" w:rsidP="00135B9D">
      <w:pPr>
        <w:jc w:val="both"/>
        <w:rPr>
          <w:rFonts w:asciiTheme="minorHAnsi" w:hAnsiTheme="minorHAnsi"/>
          <w:lang w:val="en-GB"/>
        </w:rPr>
      </w:pPr>
      <w:r w:rsidRPr="00BE70F2">
        <w:rPr>
          <w:rFonts w:asciiTheme="minorHAnsi" w:hAnsiTheme="minorHAnsi"/>
        </w:rPr>
        <w:t>‘</w:t>
      </w:r>
      <w:r w:rsidR="009D5938">
        <w:rPr>
          <w:rFonts w:asciiTheme="minorHAnsi" w:hAnsiTheme="minorHAnsi"/>
        </w:rPr>
        <w:t>S</w:t>
      </w:r>
      <w:r w:rsidR="009D5938" w:rsidRPr="00BE70F2">
        <w:rPr>
          <w:rFonts w:asciiTheme="minorHAnsi" w:hAnsiTheme="minorHAnsi"/>
        </w:rPr>
        <w:t>elf</w:t>
      </w:r>
      <w:r w:rsidRPr="00BE70F2">
        <w:rPr>
          <w:rFonts w:asciiTheme="minorHAnsi" w:hAnsiTheme="minorHAnsi"/>
        </w:rPr>
        <w:t xml:space="preserve">-hosted </w:t>
      </w:r>
      <w:r w:rsidR="33B531EE" w:rsidRPr="0C9A3990">
        <w:rPr>
          <w:rFonts w:asciiTheme="minorHAnsi" w:hAnsiTheme="minorHAnsi"/>
        </w:rPr>
        <w:t>address</w:t>
      </w:r>
      <w:r w:rsidRPr="0C9A3990">
        <w:rPr>
          <w:rFonts w:asciiTheme="minorHAnsi" w:hAnsiTheme="minorHAnsi"/>
        </w:rPr>
        <w:t>’</w:t>
      </w:r>
      <w:r w:rsidRPr="00BE70F2">
        <w:rPr>
          <w:rFonts w:asciiTheme="minorHAnsi" w:hAnsiTheme="minorHAnsi"/>
        </w:rPr>
        <w:t xml:space="preserve"> </w:t>
      </w:r>
      <w:r w:rsidR="00474AFB">
        <w:rPr>
          <w:rFonts w:asciiTheme="minorHAnsi" w:hAnsiTheme="minorHAnsi"/>
        </w:rPr>
        <w:t xml:space="preserve">should be intended </w:t>
      </w:r>
      <w:r w:rsidRPr="00BE70F2">
        <w:rPr>
          <w:rFonts w:asciiTheme="minorHAnsi" w:hAnsiTheme="minorHAnsi"/>
        </w:rPr>
        <w:t>as defined in Article 3(20) of Regulation (EU) 2023/1113.</w:t>
      </w:r>
    </w:p>
    <w:tbl>
      <w:tblPr>
        <w:tblW w:w="92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3"/>
        <w:gridCol w:w="7616"/>
      </w:tblGrid>
      <w:tr w:rsidR="005E211E" w:rsidRPr="009B282E" w14:paraId="0BAFD2A6" w14:textId="77777777" w:rsidTr="09F4B39E">
        <w:tc>
          <w:tcPr>
            <w:tcW w:w="16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BE7A4A" w14:textId="77777777" w:rsidR="0085171C" w:rsidRPr="009275BC" w:rsidRDefault="0085171C" w:rsidP="00F32516">
            <w:pPr>
              <w:pStyle w:val="InstructionsText"/>
              <w:rPr>
                <w:rStyle w:val="InstructionsTabelleText"/>
                <w:rFonts w:asciiTheme="minorHAnsi" w:hAnsiTheme="minorHAnsi"/>
                <w:bCs w:val="0"/>
                <w:lang w:eastAsia="en-US"/>
              </w:rPr>
            </w:pPr>
            <w:r w:rsidRPr="009275BC">
              <w:rPr>
                <w:rStyle w:val="InstructionsTabelleText"/>
                <w:rFonts w:asciiTheme="minorHAnsi" w:hAnsiTheme="minorHAnsi"/>
              </w:rPr>
              <w:t>Column code</w:t>
            </w:r>
          </w:p>
        </w:tc>
        <w:tc>
          <w:tcPr>
            <w:tcW w:w="76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664D49" w14:textId="77777777" w:rsidR="0085171C" w:rsidRPr="009275BC" w:rsidRDefault="0085171C" w:rsidP="00F32516">
            <w:pPr>
              <w:pStyle w:val="InstructionsText"/>
              <w:rPr>
                <w:rStyle w:val="InstructionsTabelleText"/>
                <w:rFonts w:asciiTheme="minorHAnsi" w:hAnsiTheme="minorHAnsi"/>
                <w:bCs w:val="0"/>
                <w:lang w:eastAsia="en-US"/>
              </w:rPr>
            </w:pPr>
            <w:r w:rsidRPr="009275BC">
              <w:rPr>
                <w:rStyle w:val="InstructionsTabelleText"/>
                <w:rFonts w:asciiTheme="minorHAnsi" w:hAnsiTheme="minorHAnsi"/>
              </w:rPr>
              <w:t>Legal references and instructions</w:t>
            </w:r>
          </w:p>
        </w:tc>
      </w:tr>
      <w:tr w:rsidR="005E211E" w:rsidRPr="009B282E" w14:paraId="56DFD5D6" w14:textId="77777777" w:rsidTr="002425D3">
        <w:tc>
          <w:tcPr>
            <w:tcW w:w="1673" w:type="dxa"/>
            <w:tcBorders>
              <w:top w:val="single" w:sz="4" w:space="0" w:color="auto"/>
              <w:left w:val="single" w:sz="4" w:space="0" w:color="auto"/>
              <w:bottom w:val="single" w:sz="4" w:space="0" w:color="auto"/>
              <w:right w:val="single" w:sz="4" w:space="0" w:color="auto"/>
            </w:tcBorders>
            <w:vAlign w:val="center"/>
          </w:tcPr>
          <w:p w14:paraId="7330D7B5" w14:textId="7D94A705" w:rsidR="0085171C" w:rsidRPr="009275BC" w:rsidRDefault="00B07F26"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C0010</w:t>
            </w:r>
          </w:p>
        </w:tc>
        <w:tc>
          <w:tcPr>
            <w:tcW w:w="7616" w:type="dxa"/>
            <w:tcBorders>
              <w:top w:val="single" w:sz="8" w:space="0" w:color="auto"/>
              <w:left w:val="single" w:sz="4" w:space="0" w:color="auto"/>
              <w:bottom w:val="single" w:sz="4" w:space="0" w:color="auto"/>
              <w:right w:val="single" w:sz="4" w:space="0" w:color="auto"/>
            </w:tcBorders>
            <w:vAlign w:val="center"/>
          </w:tcPr>
          <w:p w14:paraId="7EC42B9B" w14:textId="77777777" w:rsidR="00491899" w:rsidRDefault="00491899">
            <w:pPr>
              <w:pStyle w:val="InstructionsText2"/>
              <w:rPr>
                <w:rFonts w:asciiTheme="minorHAnsi" w:hAnsiTheme="minorHAnsi"/>
                <w:sz w:val="20"/>
                <w:lang w:val="en-IE"/>
              </w:rPr>
            </w:pPr>
            <w:r w:rsidRPr="003A6B16">
              <w:rPr>
                <w:rFonts w:ascii="Aptos" w:hAnsi="Aptos"/>
                <w:b/>
                <w:sz w:val="20"/>
                <w:u w:val="single"/>
                <w:lang w:val="en-IE"/>
              </w:rPr>
              <w:t>Funds-to-Crypto - Value</w:t>
            </w:r>
          </w:p>
          <w:p w14:paraId="33D03DCE" w14:textId="207A69E4" w:rsidR="00A47F45" w:rsidRPr="00BE70F2" w:rsidRDefault="00491899" w:rsidP="00711D05">
            <w:pPr>
              <w:pStyle w:val="InstructionsText2"/>
              <w:rPr>
                <w:rFonts w:asciiTheme="minorHAnsi" w:hAnsiTheme="minorHAnsi"/>
                <w:lang w:val="en-US"/>
              </w:rPr>
            </w:pPr>
            <w:r w:rsidRPr="003A6B16">
              <w:rPr>
                <w:rFonts w:asciiTheme="minorHAnsi" w:hAnsiTheme="minorHAnsi"/>
                <w:sz w:val="20"/>
                <w:lang w:val="en-IE"/>
              </w:rPr>
              <w:t xml:space="preserve">Indicate </w:t>
            </w:r>
            <w:r w:rsidR="0033588E" w:rsidRPr="003A6B16">
              <w:rPr>
                <w:rFonts w:asciiTheme="minorHAnsi" w:hAnsiTheme="minorHAnsi"/>
                <w:sz w:val="20"/>
                <w:lang w:val="en-IE"/>
              </w:rPr>
              <w:t>the exchange</w:t>
            </w:r>
            <w:r w:rsidR="00BC627D">
              <w:rPr>
                <w:rFonts w:asciiTheme="minorHAnsi" w:hAnsiTheme="minorHAnsi"/>
                <w:sz w:val="20"/>
                <w:lang w:val="en-IE"/>
              </w:rPr>
              <w:t>s</w:t>
            </w:r>
            <w:r w:rsidR="0033588E" w:rsidRPr="003A6B16">
              <w:rPr>
                <w:rFonts w:asciiTheme="minorHAnsi" w:hAnsiTheme="minorHAnsi"/>
                <w:sz w:val="20"/>
                <w:lang w:val="en-IE"/>
              </w:rPr>
              <w:t xml:space="preserve"> of F</w:t>
            </w:r>
            <w:r w:rsidRPr="003A6B16">
              <w:rPr>
                <w:rFonts w:asciiTheme="minorHAnsi" w:hAnsiTheme="minorHAnsi"/>
                <w:sz w:val="20"/>
                <w:lang w:val="en-IE"/>
              </w:rPr>
              <w:t>unds-to-Crypto - Value during the reference year.</w:t>
            </w:r>
          </w:p>
        </w:tc>
      </w:tr>
      <w:tr w:rsidR="005E211E" w:rsidRPr="009B282E" w14:paraId="05594BF2" w14:textId="77777777" w:rsidTr="002425D3">
        <w:tc>
          <w:tcPr>
            <w:tcW w:w="1673" w:type="dxa"/>
            <w:tcBorders>
              <w:top w:val="single" w:sz="4" w:space="0" w:color="auto"/>
              <w:left w:val="single" w:sz="4" w:space="0" w:color="auto"/>
              <w:bottom w:val="single" w:sz="4" w:space="0" w:color="auto"/>
              <w:right w:val="single" w:sz="4" w:space="0" w:color="auto"/>
            </w:tcBorders>
            <w:vAlign w:val="center"/>
          </w:tcPr>
          <w:p w14:paraId="641B4FF3" w14:textId="3D7BEE03" w:rsidR="0085171C" w:rsidRPr="009275BC" w:rsidRDefault="004C1863"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C0020</w:t>
            </w:r>
          </w:p>
        </w:tc>
        <w:tc>
          <w:tcPr>
            <w:tcW w:w="7616" w:type="dxa"/>
            <w:tcBorders>
              <w:top w:val="nil"/>
              <w:left w:val="single" w:sz="4" w:space="0" w:color="auto"/>
              <w:bottom w:val="single" w:sz="4" w:space="0" w:color="auto"/>
              <w:right w:val="single" w:sz="4" w:space="0" w:color="auto"/>
            </w:tcBorders>
            <w:vAlign w:val="center"/>
          </w:tcPr>
          <w:p w14:paraId="30AE700C" w14:textId="4B586B33" w:rsidR="00491899" w:rsidRDefault="00491899" w:rsidP="00520872">
            <w:pPr>
              <w:pStyle w:val="InstructionsText2"/>
              <w:rPr>
                <w:rFonts w:asciiTheme="minorHAnsi" w:hAnsiTheme="minorHAnsi"/>
                <w:sz w:val="20"/>
                <w:lang w:val="en-IE"/>
              </w:rPr>
            </w:pPr>
            <w:r w:rsidRPr="00705CEC">
              <w:rPr>
                <w:rFonts w:ascii="Aptos" w:hAnsi="Aptos"/>
                <w:b/>
                <w:sz w:val="20"/>
                <w:u w:val="single"/>
                <w:lang w:val="en-IE"/>
              </w:rPr>
              <w:t xml:space="preserve">Funds-to-Crypto </w:t>
            </w:r>
            <w:r w:rsidR="00CA6FAC">
              <w:rPr>
                <w:rFonts w:ascii="Aptos" w:hAnsi="Aptos"/>
                <w:b/>
                <w:sz w:val="20"/>
                <w:u w:val="single"/>
                <w:lang w:val="en-IE"/>
              </w:rPr>
              <w:t>–</w:t>
            </w:r>
            <w:r w:rsidRPr="00705CEC">
              <w:rPr>
                <w:rFonts w:ascii="Aptos" w:hAnsi="Aptos"/>
                <w:b/>
                <w:sz w:val="20"/>
                <w:u w:val="single"/>
                <w:lang w:val="en-IE"/>
              </w:rPr>
              <w:t xml:space="preserve"> </w:t>
            </w:r>
            <w:r w:rsidR="00D80B30">
              <w:rPr>
                <w:rFonts w:ascii="Aptos" w:hAnsi="Aptos"/>
                <w:b/>
                <w:sz w:val="20"/>
                <w:u w:val="single"/>
                <w:lang w:val="en-IE"/>
              </w:rPr>
              <w:t>Number</w:t>
            </w:r>
          </w:p>
          <w:p w14:paraId="06D71BFC" w14:textId="79836D8B" w:rsidR="00A47F45" w:rsidRPr="00BE70F2" w:rsidRDefault="00D80B30" w:rsidP="00711D05">
            <w:pPr>
              <w:pStyle w:val="InstructionsText2"/>
              <w:rPr>
                <w:rFonts w:asciiTheme="minorHAnsi" w:hAnsiTheme="minorHAnsi"/>
                <w:lang w:val="en-US"/>
              </w:rPr>
            </w:pPr>
            <w:r w:rsidRPr="00413C67">
              <w:rPr>
                <w:rFonts w:asciiTheme="minorHAnsi" w:hAnsiTheme="minorHAnsi"/>
                <w:sz w:val="20"/>
                <w:lang w:val="en-IE"/>
              </w:rPr>
              <w:t>Indicate the exchange</w:t>
            </w:r>
            <w:r w:rsidR="00BC627D">
              <w:rPr>
                <w:rFonts w:asciiTheme="minorHAnsi" w:hAnsiTheme="minorHAnsi"/>
                <w:sz w:val="20"/>
                <w:lang w:val="en-IE"/>
              </w:rPr>
              <w:t>s</w:t>
            </w:r>
            <w:r w:rsidRPr="00413C67">
              <w:rPr>
                <w:rFonts w:asciiTheme="minorHAnsi" w:hAnsiTheme="minorHAnsi"/>
                <w:sz w:val="20"/>
                <w:lang w:val="en-IE"/>
              </w:rPr>
              <w:t xml:space="preserve"> of Funds-to-Crypto - Number </w:t>
            </w:r>
            <w:r w:rsidR="00A24B21">
              <w:rPr>
                <w:rFonts w:asciiTheme="minorHAnsi" w:hAnsiTheme="minorHAnsi"/>
                <w:sz w:val="20"/>
                <w:lang w:val="en-IE"/>
              </w:rPr>
              <w:t xml:space="preserve">of </w:t>
            </w:r>
            <w:r w:rsidR="00D734CC">
              <w:rPr>
                <w:rFonts w:asciiTheme="minorHAnsi" w:hAnsiTheme="minorHAnsi"/>
                <w:sz w:val="20"/>
                <w:lang w:val="en-IE"/>
              </w:rPr>
              <w:t>transactions</w:t>
            </w:r>
            <w:r w:rsidR="00A24B21">
              <w:rPr>
                <w:rFonts w:asciiTheme="minorHAnsi" w:hAnsiTheme="minorHAnsi"/>
                <w:sz w:val="20"/>
                <w:lang w:val="en-IE"/>
              </w:rPr>
              <w:t xml:space="preserve"> </w:t>
            </w:r>
            <w:r w:rsidRPr="00413C67">
              <w:rPr>
                <w:rFonts w:asciiTheme="minorHAnsi" w:hAnsiTheme="minorHAnsi"/>
                <w:sz w:val="20"/>
                <w:lang w:val="en-IE"/>
              </w:rPr>
              <w:t>during the reference year.</w:t>
            </w:r>
          </w:p>
        </w:tc>
      </w:tr>
      <w:tr w:rsidR="005E211E" w:rsidRPr="009B282E" w14:paraId="331F09BD" w14:textId="77777777" w:rsidTr="00A47F45">
        <w:tc>
          <w:tcPr>
            <w:tcW w:w="1673" w:type="dxa"/>
            <w:tcBorders>
              <w:top w:val="single" w:sz="4" w:space="0" w:color="auto"/>
              <w:left w:val="single" w:sz="4" w:space="0" w:color="auto"/>
              <w:bottom w:val="single" w:sz="4" w:space="0" w:color="auto"/>
              <w:right w:val="single" w:sz="4" w:space="0" w:color="auto"/>
            </w:tcBorders>
            <w:vAlign w:val="center"/>
          </w:tcPr>
          <w:p w14:paraId="4DC33BA2" w14:textId="5255FD00" w:rsidR="0085171C" w:rsidRPr="009275BC" w:rsidRDefault="004C1863"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w:t>
            </w:r>
            <w:r w:rsidR="00B72032" w:rsidRPr="009275BC">
              <w:rPr>
                <w:rStyle w:val="FormatvorlageInstructionsTabelleText"/>
                <w:rFonts w:asciiTheme="minorHAnsi" w:hAnsiTheme="minorHAnsi"/>
              </w:rPr>
              <w:t>3</w:t>
            </w:r>
            <w:r w:rsidRPr="009275BC">
              <w:rPr>
                <w:rStyle w:val="FormatvorlageInstructionsTabelleText"/>
                <w:rFonts w:asciiTheme="minorHAnsi" w:hAnsiTheme="minorHAnsi"/>
              </w:rPr>
              <w:t>0</w:t>
            </w:r>
          </w:p>
        </w:tc>
        <w:tc>
          <w:tcPr>
            <w:tcW w:w="7616" w:type="dxa"/>
            <w:tcBorders>
              <w:top w:val="nil"/>
              <w:left w:val="single" w:sz="4" w:space="0" w:color="auto"/>
              <w:bottom w:val="single" w:sz="4" w:space="0" w:color="auto"/>
              <w:right w:val="single" w:sz="4" w:space="0" w:color="auto"/>
            </w:tcBorders>
            <w:vAlign w:val="center"/>
          </w:tcPr>
          <w:p w14:paraId="5436C183" w14:textId="75CC9601" w:rsidR="00491899" w:rsidRDefault="00491899">
            <w:pPr>
              <w:pStyle w:val="InstructionsText2"/>
              <w:rPr>
                <w:rFonts w:asciiTheme="minorHAnsi" w:hAnsiTheme="minorHAnsi"/>
                <w:sz w:val="20"/>
                <w:lang w:val="en-IE"/>
              </w:rPr>
            </w:pPr>
            <w:r w:rsidRPr="00705CEC">
              <w:rPr>
                <w:rFonts w:ascii="Aptos" w:hAnsi="Aptos"/>
                <w:b/>
                <w:sz w:val="20"/>
                <w:u w:val="single"/>
                <w:lang w:val="en-IE"/>
              </w:rPr>
              <w:t xml:space="preserve">Funds </w:t>
            </w:r>
            <w:r w:rsidR="000A686F">
              <w:rPr>
                <w:rFonts w:ascii="Aptos" w:hAnsi="Aptos"/>
                <w:b/>
                <w:sz w:val="20"/>
                <w:u w:val="single"/>
                <w:lang w:val="en-IE"/>
              </w:rPr>
              <w:t>to</w:t>
            </w:r>
            <w:r w:rsidRPr="003A6B16">
              <w:rPr>
                <w:rFonts w:ascii="Aptos" w:hAnsi="Aptos"/>
                <w:b/>
                <w:sz w:val="20"/>
                <w:u w:val="single"/>
                <w:lang w:val="en-IE"/>
              </w:rPr>
              <w:t xml:space="preserve"> Crypto - Customers</w:t>
            </w:r>
          </w:p>
          <w:p w14:paraId="55D3A2F2" w14:textId="2FD09FCA" w:rsidR="006956CA" w:rsidRPr="00BE70F2" w:rsidRDefault="000A2241" w:rsidP="006A4D5A">
            <w:pPr>
              <w:pStyle w:val="InstructionsText2"/>
              <w:rPr>
                <w:rFonts w:asciiTheme="minorHAnsi" w:hAnsiTheme="minorHAnsi"/>
                <w:sz w:val="20"/>
                <w:lang w:val="en-US"/>
              </w:rPr>
            </w:pPr>
            <w:r w:rsidRPr="00413C67">
              <w:rPr>
                <w:rFonts w:asciiTheme="minorHAnsi" w:hAnsiTheme="minorHAnsi"/>
                <w:sz w:val="20"/>
                <w:lang w:val="en-IE"/>
              </w:rPr>
              <w:t>Indicate the exchange</w:t>
            </w:r>
            <w:r w:rsidR="00BC627D">
              <w:rPr>
                <w:rFonts w:asciiTheme="minorHAnsi" w:hAnsiTheme="minorHAnsi"/>
                <w:sz w:val="20"/>
                <w:lang w:val="en-IE"/>
              </w:rPr>
              <w:t>s</w:t>
            </w:r>
            <w:r w:rsidRPr="00413C67">
              <w:rPr>
                <w:rFonts w:asciiTheme="minorHAnsi" w:hAnsiTheme="minorHAnsi"/>
                <w:sz w:val="20"/>
                <w:lang w:val="en-IE"/>
              </w:rPr>
              <w:t xml:space="preserve"> of Funds-to-Crypto</w:t>
            </w:r>
            <w:r w:rsidR="00491899" w:rsidRPr="00705CEC">
              <w:rPr>
                <w:rFonts w:asciiTheme="minorHAnsi" w:hAnsiTheme="minorHAnsi"/>
                <w:sz w:val="20"/>
                <w:lang w:val="en-IE"/>
              </w:rPr>
              <w:t xml:space="preserve"> </w:t>
            </w:r>
            <w:r w:rsidR="0059652A" w:rsidRPr="00413C67">
              <w:rPr>
                <w:rFonts w:asciiTheme="minorHAnsi" w:hAnsiTheme="minorHAnsi"/>
                <w:sz w:val="20"/>
                <w:lang w:val="en-IE"/>
              </w:rPr>
              <w:t>-</w:t>
            </w:r>
            <w:r w:rsidR="00491899" w:rsidRPr="003A6B16">
              <w:rPr>
                <w:rFonts w:asciiTheme="minorHAnsi" w:hAnsiTheme="minorHAnsi"/>
                <w:sz w:val="20"/>
                <w:lang w:val="en-IE"/>
              </w:rPr>
              <w:t xml:space="preserve"> </w:t>
            </w:r>
            <w:r w:rsidR="00462E54" w:rsidRPr="003A6B16">
              <w:rPr>
                <w:rFonts w:asciiTheme="minorHAnsi" w:hAnsiTheme="minorHAnsi"/>
                <w:sz w:val="20"/>
                <w:lang w:val="en-IE"/>
              </w:rPr>
              <w:t xml:space="preserve">Number of </w:t>
            </w:r>
            <w:r w:rsidR="00491899" w:rsidRPr="003A6B16">
              <w:rPr>
                <w:rFonts w:asciiTheme="minorHAnsi" w:hAnsiTheme="minorHAnsi"/>
                <w:sz w:val="20"/>
                <w:lang w:val="en-IE"/>
              </w:rPr>
              <w:t xml:space="preserve">Customers </w:t>
            </w:r>
            <w:r w:rsidR="00462E54" w:rsidRPr="003A6B16">
              <w:rPr>
                <w:rFonts w:asciiTheme="minorHAnsi" w:hAnsiTheme="minorHAnsi"/>
                <w:sz w:val="20"/>
                <w:lang w:val="en-IE"/>
              </w:rPr>
              <w:t>using this service</w:t>
            </w:r>
            <w:r w:rsidR="0060297E" w:rsidRPr="003A6B16">
              <w:rPr>
                <w:rFonts w:asciiTheme="minorHAnsi" w:hAnsiTheme="minorHAnsi"/>
                <w:sz w:val="20"/>
                <w:lang w:val="en-IE"/>
              </w:rPr>
              <w:t xml:space="preserve"> </w:t>
            </w:r>
            <w:r w:rsidR="00491899" w:rsidRPr="003A6B16">
              <w:rPr>
                <w:rFonts w:asciiTheme="minorHAnsi" w:hAnsiTheme="minorHAnsi"/>
                <w:sz w:val="20"/>
                <w:lang w:val="en-IE"/>
              </w:rPr>
              <w:t>during the reference year.</w:t>
            </w:r>
          </w:p>
        </w:tc>
      </w:tr>
      <w:tr w:rsidR="005E211E" w:rsidRPr="009B282E" w14:paraId="5EF50B08" w14:textId="77777777" w:rsidTr="002425D3">
        <w:tc>
          <w:tcPr>
            <w:tcW w:w="1673" w:type="dxa"/>
            <w:tcBorders>
              <w:top w:val="single" w:sz="4" w:space="0" w:color="auto"/>
              <w:left w:val="single" w:sz="4" w:space="0" w:color="auto"/>
              <w:bottom w:val="single" w:sz="4" w:space="0" w:color="auto"/>
              <w:right w:val="single" w:sz="4" w:space="0" w:color="auto"/>
            </w:tcBorders>
            <w:vAlign w:val="center"/>
          </w:tcPr>
          <w:p w14:paraId="48C559BF" w14:textId="3A5FAC6B" w:rsidR="0085171C" w:rsidRPr="009275BC" w:rsidRDefault="004C1863"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w:t>
            </w:r>
            <w:r w:rsidR="00B72032" w:rsidRPr="009275BC">
              <w:rPr>
                <w:rStyle w:val="FormatvorlageInstructionsTabelleText"/>
                <w:rFonts w:asciiTheme="minorHAnsi" w:hAnsiTheme="minorHAnsi"/>
              </w:rPr>
              <w:t>4</w:t>
            </w:r>
            <w:r w:rsidRPr="009275BC">
              <w:rPr>
                <w:rStyle w:val="FormatvorlageInstructionsTabelleText"/>
                <w:rFonts w:asciiTheme="minorHAnsi" w:hAnsiTheme="minorHAnsi"/>
              </w:rPr>
              <w:t>0</w:t>
            </w:r>
          </w:p>
        </w:tc>
        <w:tc>
          <w:tcPr>
            <w:tcW w:w="7616" w:type="dxa"/>
            <w:tcBorders>
              <w:top w:val="nil"/>
              <w:left w:val="single" w:sz="4" w:space="0" w:color="auto"/>
              <w:bottom w:val="single" w:sz="8" w:space="0" w:color="auto"/>
              <w:right w:val="single" w:sz="4" w:space="0" w:color="auto"/>
            </w:tcBorders>
            <w:vAlign w:val="center"/>
          </w:tcPr>
          <w:p w14:paraId="6FE5FB8C" w14:textId="55A15479" w:rsidR="00491899" w:rsidRDefault="00491899" w:rsidP="002435F5">
            <w:pPr>
              <w:pStyle w:val="InstructionsText2"/>
              <w:rPr>
                <w:rFonts w:asciiTheme="minorHAnsi" w:hAnsiTheme="minorHAnsi"/>
                <w:sz w:val="20"/>
                <w:szCs w:val="20"/>
                <w:lang w:val="en-IE"/>
              </w:rPr>
            </w:pPr>
            <w:r w:rsidRPr="00705CEC">
              <w:rPr>
                <w:rFonts w:ascii="Aptos" w:hAnsi="Aptos"/>
                <w:b/>
                <w:sz w:val="20"/>
                <w:szCs w:val="20"/>
                <w:u w:val="single"/>
                <w:lang w:val="en-IE"/>
              </w:rPr>
              <w:t xml:space="preserve">Funds-to-Crypto (to Self-hosted) </w:t>
            </w:r>
            <w:r w:rsidR="0070736E">
              <w:rPr>
                <w:rFonts w:ascii="Aptos" w:hAnsi="Aptos"/>
                <w:b/>
                <w:sz w:val="20"/>
                <w:szCs w:val="20"/>
                <w:u w:val="single"/>
                <w:lang w:val="en-IE"/>
              </w:rPr>
              <w:t>–</w:t>
            </w:r>
            <w:r w:rsidRPr="00705CEC">
              <w:rPr>
                <w:rFonts w:ascii="Aptos" w:hAnsi="Aptos"/>
                <w:b/>
                <w:sz w:val="20"/>
                <w:szCs w:val="20"/>
                <w:u w:val="single"/>
                <w:lang w:val="en-IE"/>
              </w:rPr>
              <w:t xml:space="preserve"> </w:t>
            </w:r>
            <w:r w:rsidR="0070736E">
              <w:rPr>
                <w:rFonts w:ascii="Aptos" w:hAnsi="Aptos"/>
                <w:b/>
                <w:sz w:val="20"/>
                <w:szCs w:val="20"/>
                <w:u w:val="single"/>
                <w:lang w:val="en-IE"/>
              </w:rPr>
              <w:t xml:space="preserve">Number </w:t>
            </w:r>
          </w:p>
          <w:p w14:paraId="67BF10B4" w14:textId="77777777" w:rsidR="00491899" w:rsidRDefault="617E5109" w:rsidP="00BE70F2">
            <w:pPr>
              <w:pStyle w:val="InstructionsText2"/>
              <w:rPr>
                <w:rFonts w:asciiTheme="minorHAnsi" w:hAnsiTheme="minorHAnsi"/>
                <w:sz w:val="20"/>
                <w:szCs w:val="20"/>
                <w:lang w:val="en-IE"/>
              </w:rPr>
            </w:pPr>
            <w:r w:rsidRPr="2B38C6C8">
              <w:rPr>
                <w:rFonts w:asciiTheme="minorHAnsi" w:hAnsiTheme="minorHAnsi"/>
                <w:sz w:val="20"/>
                <w:szCs w:val="20"/>
                <w:lang w:val="en-IE"/>
              </w:rPr>
              <w:t>Transactions should be counted where a CASP exchanges funds for crypto-assets, and those crypto-assets are subsequently transferred to a self-hosted wallet, irrespective of whether the transfer takes place immediately or following a holding period on the platform.</w:t>
            </w:r>
          </w:p>
          <w:p w14:paraId="5610D62B" w14:textId="6AD912D4" w:rsidR="001F2E9D" w:rsidRPr="00BE70F2" w:rsidRDefault="007100CC" w:rsidP="0059652A">
            <w:pPr>
              <w:pStyle w:val="InstructionsText2"/>
              <w:rPr>
                <w:rFonts w:asciiTheme="minorHAnsi" w:hAnsiTheme="minorHAnsi"/>
                <w:lang w:val="en-US"/>
              </w:rPr>
            </w:pPr>
            <w:r w:rsidRPr="00705CEC">
              <w:rPr>
                <w:rFonts w:asciiTheme="minorHAnsi" w:hAnsiTheme="minorHAnsi"/>
                <w:bCs/>
                <w:sz w:val="20"/>
                <w:szCs w:val="20"/>
                <w:lang w:val="en-US"/>
              </w:rPr>
              <w:t xml:space="preserve">Indicate </w:t>
            </w:r>
            <w:r w:rsidR="00085A17" w:rsidRPr="00705CEC">
              <w:rPr>
                <w:rFonts w:asciiTheme="minorHAnsi" w:hAnsiTheme="minorHAnsi"/>
                <w:bCs/>
                <w:sz w:val="20"/>
                <w:szCs w:val="20"/>
                <w:lang w:val="en-US"/>
              </w:rPr>
              <w:t>the t</w:t>
            </w:r>
            <w:r w:rsidR="0099694B" w:rsidRPr="00705CEC">
              <w:rPr>
                <w:rFonts w:asciiTheme="minorHAnsi" w:hAnsiTheme="minorHAnsi"/>
                <w:bCs/>
                <w:sz w:val="20"/>
                <w:szCs w:val="20"/>
                <w:lang w:val="en-US"/>
              </w:rPr>
              <w:t>otal number of transactions funds-to-crypto to self-hosted address</w:t>
            </w:r>
            <w:r w:rsidR="006D779E">
              <w:rPr>
                <w:rFonts w:asciiTheme="minorHAnsi" w:hAnsiTheme="minorHAnsi"/>
                <w:bCs/>
                <w:sz w:val="20"/>
                <w:szCs w:val="20"/>
                <w:lang w:val="en-US"/>
              </w:rPr>
              <w:t xml:space="preserve"> </w:t>
            </w:r>
            <w:r w:rsidR="006D779E" w:rsidRPr="00595AC9">
              <w:rPr>
                <w:rFonts w:asciiTheme="minorHAnsi" w:hAnsiTheme="minorHAnsi"/>
                <w:sz w:val="20"/>
                <w:lang w:val="en-IE"/>
              </w:rPr>
              <w:t>during the reference year.</w:t>
            </w:r>
          </w:p>
        </w:tc>
      </w:tr>
    </w:tbl>
    <w:p w14:paraId="5F83DE94" w14:textId="1FD9969B" w:rsidR="00A7596C" w:rsidRPr="009B282E" w:rsidRDefault="00AE5299" w:rsidP="00BD138D">
      <w:pPr>
        <w:pStyle w:val="Heading3"/>
        <w:numPr>
          <w:ilvl w:val="0"/>
          <w:numId w:val="0"/>
        </w:numPr>
        <w:ind w:left="720"/>
        <w:rPr>
          <w:lang w:val="en-GB"/>
        </w:rPr>
      </w:pPr>
      <w:bookmarkStart w:id="224" w:name="_Toc221355988"/>
      <w:bookmarkStart w:id="225" w:name="_Toc223104854"/>
      <w:r w:rsidRPr="009B282E">
        <w:rPr>
          <w:lang w:val="en-GB"/>
        </w:rPr>
        <w:t xml:space="preserve">Exchange </w:t>
      </w:r>
      <w:r w:rsidR="0034548E">
        <w:rPr>
          <w:lang w:val="en-GB"/>
        </w:rPr>
        <w:t>c</w:t>
      </w:r>
      <w:r w:rsidR="0063611C" w:rsidRPr="009B282E">
        <w:rPr>
          <w:lang w:val="en-GB"/>
        </w:rPr>
        <w:t>ryp</w:t>
      </w:r>
      <w:r w:rsidR="00953B06" w:rsidRPr="009B282E">
        <w:rPr>
          <w:lang w:val="en-GB"/>
        </w:rPr>
        <w:t>to</w:t>
      </w:r>
      <w:r w:rsidR="00F65854" w:rsidRPr="009B282E">
        <w:rPr>
          <w:lang w:val="en-GB"/>
        </w:rPr>
        <w:t>-</w:t>
      </w:r>
      <w:r w:rsidR="0034548E">
        <w:rPr>
          <w:lang w:val="en-GB"/>
        </w:rPr>
        <w:t>a</w:t>
      </w:r>
      <w:r w:rsidR="00F65854" w:rsidRPr="009B282E">
        <w:rPr>
          <w:lang w:val="en-GB"/>
        </w:rPr>
        <w:t>ssets</w:t>
      </w:r>
      <w:r w:rsidR="00953B06" w:rsidRPr="009B282E">
        <w:rPr>
          <w:lang w:val="en-GB"/>
        </w:rPr>
        <w:t xml:space="preserve"> for funds</w:t>
      </w:r>
      <w:bookmarkEnd w:id="224"/>
      <w:bookmarkEnd w:id="225"/>
    </w:p>
    <w:p w14:paraId="05852980" w14:textId="6BDF1142" w:rsidR="00FE1020" w:rsidRPr="009B0173" w:rsidRDefault="006E7502" w:rsidP="009B0173">
      <w:pPr>
        <w:rPr>
          <w:rFonts w:asciiTheme="minorHAnsi" w:hAnsiTheme="minorHAnsi"/>
          <w:lang w:val="en-GB"/>
        </w:rPr>
      </w:pPr>
      <w:r w:rsidRPr="009B0173">
        <w:rPr>
          <w:rFonts w:asciiTheme="minorHAnsi" w:hAnsiTheme="minorHAnsi"/>
          <w:lang w:val="en-GB"/>
        </w:rPr>
        <w:t xml:space="preserve">The provision by an obliged entity of services in line with Article 3(1)(16)(c) of Regulation (EU) 2023/1114, insofar as they involve the </w:t>
      </w:r>
      <w:r w:rsidR="00946730" w:rsidRPr="009B0173">
        <w:rPr>
          <w:rFonts w:asciiTheme="minorHAnsi" w:hAnsiTheme="minorHAnsi"/>
          <w:lang w:val="en-GB"/>
        </w:rPr>
        <w:t xml:space="preserve">directional </w:t>
      </w:r>
      <w:r w:rsidRPr="009B0173">
        <w:rPr>
          <w:rFonts w:asciiTheme="minorHAnsi" w:hAnsiTheme="minorHAnsi"/>
          <w:lang w:val="en-GB"/>
        </w:rPr>
        <w:t>exchange of crypto-assets for funds.</w:t>
      </w:r>
    </w:p>
    <w:p w14:paraId="26CD41A5" w14:textId="67A61393" w:rsidR="00FE1020" w:rsidRPr="00BE70F2" w:rsidRDefault="00FE1020" w:rsidP="00231318">
      <w:pPr>
        <w:pStyle w:val="ListParagraph"/>
        <w:ind w:left="0"/>
        <w:jc w:val="both"/>
        <w:rPr>
          <w:rFonts w:asciiTheme="minorHAnsi" w:hAnsiTheme="minorHAnsi"/>
          <w:lang w:val="en-GB"/>
        </w:rPr>
      </w:pPr>
      <w:bookmarkStart w:id="226" w:name="_Hlk219458429"/>
      <w:r w:rsidRPr="00BE70F2">
        <w:rPr>
          <w:rFonts w:asciiTheme="minorHAnsi" w:hAnsiTheme="minorHAnsi"/>
        </w:rPr>
        <w:t xml:space="preserve"> ‘</w:t>
      </w:r>
      <w:r w:rsidR="007B14AE">
        <w:rPr>
          <w:rFonts w:asciiTheme="minorHAnsi" w:hAnsiTheme="minorHAnsi"/>
        </w:rPr>
        <w:t>S</w:t>
      </w:r>
      <w:r w:rsidR="007B14AE" w:rsidRPr="00BE70F2">
        <w:rPr>
          <w:rFonts w:asciiTheme="minorHAnsi" w:hAnsiTheme="minorHAnsi"/>
        </w:rPr>
        <w:t>elf</w:t>
      </w:r>
      <w:r w:rsidRPr="00BE70F2">
        <w:rPr>
          <w:rFonts w:asciiTheme="minorHAnsi" w:hAnsiTheme="minorHAnsi"/>
        </w:rPr>
        <w:t xml:space="preserve">-hosted </w:t>
      </w:r>
      <w:r w:rsidR="2EA5D5DF" w:rsidRPr="47AA6669">
        <w:rPr>
          <w:rFonts w:asciiTheme="minorHAnsi" w:hAnsiTheme="minorHAnsi"/>
        </w:rPr>
        <w:t>address</w:t>
      </w:r>
      <w:r w:rsidRPr="47AA6669">
        <w:rPr>
          <w:rFonts w:asciiTheme="minorHAnsi" w:hAnsiTheme="minorHAnsi"/>
        </w:rPr>
        <w:t>’</w:t>
      </w:r>
      <w:r w:rsidRPr="00BE70F2">
        <w:rPr>
          <w:rFonts w:asciiTheme="minorHAnsi" w:hAnsiTheme="minorHAnsi"/>
        </w:rPr>
        <w:t xml:space="preserve"> </w:t>
      </w:r>
      <w:r w:rsidR="007B14AE">
        <w:rPr>
          <w:rFonts w:asciiTheme="minorHAnsi" w:hAnsiTheme="minorHAnsi"/>
        </w:rPr>
        <w:t xml:space="preserve">should be intended </w:t>
      </w:r>
      <w:r w:rsidRPr="00BE70F2">
        <w:rPr>
          <w:rFonts w:asciiTheme="minorHAnsi" w:hAnsiTheme="minorHAnsi"/>
        </w:rPr>
        <w:t>as defined in Article 3(20) of Regulation (EU) 2023/1113.</w:t>
      </w:r>
    </w:p>
    <w:tbl>
      <w:tblPr>
        <w:tblW w:w="92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3"/>
        <w:gridCol w:w="7616"/>
      </w:tblGrid>
      <w:tr w:rsidR="005E211E" w:rsidRPr="009B282E" w14:paraId="6129A0FC" w14:textId="77777777" w:rsidTr="0E0C7B51">
        <w:tc>
          <w:tcPr>
            <w:tcW w:w="16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bookmarkEnd w:id="226"/>
          <w:p w14:paraId="1B1761B9" w14:textId="77777777" w:rsidR="0097506C" w:rsidRPr="009275BC" w:rsidRDefault="0097506C" w:rsidP="00F32516">
            <w:pPr>
              <w:pStyle w:val="InstructionsText"/>
              <w:rPr>
                <w:rStyle w:val="InstructionsTabelleText"/>
                <w:rFonts w:asciiTheme="minorHAnsi" w:hAnsiTheme="minorHAnsi"/>
                <w:bCs w:val="0"/>
                <w:lang w:eastAsia="en-US"/>
              </w:rPr>
            </w:pPr>
            <w:r w:rsidRPr="009275BC">
              <w:rPr>
                <w:rStyle w:val="InstructionsTabelleText"/>
                <w:rFonts w:asciiTheme="minorHAnsi" w:hAnsiTheme="minorHAnsi"/>
              </w:rPr>
              <w:t>Column code</w:t>
            </w:r>
          </w:p>
        </w:tc>
        <w:tc>
          <w:tcPr>
            <w:tcW w:w="76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0CB286" w14:textId="77777777" w:rsidR="0097506C" w:rsidRPr="009275BC" w:rsidRDefault="0097506C" w:rsidP="00F32516">
            <w:pPr>
              <w:pStyle w:val="InstructionsText"/>
              <w:rPr>
                <w:rStyle w:val="InstructionsTabelleText"/>
                <w:rFonts w:asciiTheme="minorHAnsi" w:hAnsiTheme="minorHAnsi"/>
                <w:bCs w:val="0"/>
                <w:lang w:eastAsia="en-US"/>
              </w:rPr>
            </w:pPr>
            <w:r w:rsidRPr="009275BC">
              <w:rPr>
                <w:rStyle w:val="InstructionsTabelleText"/>
                <w:rFonts w:asciiTheme="minorHAnsi" w:hAnsiTheme="minorHAnsi"/>
              </w:rPr>
              <w:t>Legal references and instructions</w:t>
            </w:r>
          </w:p>
        </w:tc>
      </w:tr>
      <w:tr w:rsidR="005E211E" w:rsidRPr="009B282E" w14:paraId="2173851D" w14:textId="77777777" w:rsidTr="002425D3">
        <w:tc>
          <w:tcPr>
            <w:tcW w:w="1673" w:type="dxa"/>
            <w:tcBorders>
              <w:top w:val="single" w:sz="4" w:space="0" w:color="auto"/>
              <w:left w:val="single" w:sz="4" w:space="0" w:color="auto"/>
              <w:bottom w:val="single" w:sz="4" w:space="0" w:color="auto"/>
              <w:right w:val="single" w:sz="4" w:space="0" w:color="auto"/>
            </w:tcBorders>
            <w:vAlign w:val="center"/>
          </w:tcPr>
          <w:p w14:paraId="1511C961" w14:textId="2434503A" w:rsidR="00934591" w:rsidRPr="009275BC" w:rsidRDefault="002C22C8"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C0050</w:t>
            </w:r>
          </w:p>
        </w:tc>
        <w:tc>
          <w:tcPr>
            <w:tcW w:w="7616" w:type="dxa"/>
            <w:tcBorders>
              <w:top w:val="single" w:sz="8" w:space="0" w:color="auto"/>
              <w:left w:val="single" w:sz="4" w:space="0" w:color="auto"/>
              <w:bottom w:val="single" w:sz="4" w:space="0" w:color="auto"/>
              <w:right w:val="single" w:sz="4" w:space="0" w:color="auto"/>
            </w:tcBorders>
            <w:vAlign w:val="center"/>
          </w:tcPr>
          <w:p w14:paraId="792F6CE3" w14:textId="77777777" w:rsidR="00491899" w:rsidRDefault="00491899" w:rsidP="00934591">
            <w:pPr>
              <w:pStyle w:val="InstructionsText2"/>
              <w:rPr>
                <w:rFonts w:asciiTheme="minorHAnsi" w:hAnsiTheme="minorHAnsi"/>
                <w:sz w:val="20"/>
                <w:lang w:val="en-IE"/>
              </w:rPr>
            </w:pPr>
            <w:r w:rsidRPr="003B7CDA">
              <w:rPr>
                <w:rFonts w:ascii="Aptos" w:hAnsi="Aptos"/>
                <w:b/>
                <w:sz w:val="20"/>
                <w:u w:val="single"/>
                <w:lang w:val="en-IE"/>
              </w:rPr>
              <w:t>Crypto-to-Funds - Value</w:t>
            </w:r>
          </w:p>
          <w:p w14:paraId="66673BF1" w14:textId="27B67D87" w:rsidR="00BB3597" w:rsidRPr="00BB3597" w:rsidRDefault="00C267DA" w:rsidP="006A4D5A">
            <w:pPr>
              <w:pStyle w:val="InstructionsText2"/>
              <w:rPr>
                <w:rFonts w:asciiTheme="minorHAnsi" w:hAnsiTheme="minorHAnsi"/>
                <w:lang w:val="en-US"/>
              </w:rPr>
            </w:pPr>
            <w:r w:rsidRPr="00595AC9">
              <w:rPr>
                <w:rFonts w:asciiTheme="minorHAnsi" w:hAnsiTheme="minorHAnsi"/>
                <w:sz w:val="20"/>
                <w:lang w:val="en-IE"/>
              </w:rPr>
              <w:t>Indicate the exchange</w:t>
            </w:r>
            <w:r w:rsidR="00BC627D">
              <w:rPr>
                <w:rFonts w:asciiTheme="minorHAnsi" w:hAnsiTheme="minorHAnsi"/>
                <w:sz w:val="20"/>
                <w:lang w:val="en-IE"/>
              </w:rPr>
              <w:t>s</w:t>
            </w:r>
            <w:r w:rsidRPr="00595AC9">
              <w:rPr>
                <w:rFonts w:asciiTheme="minorHAnsi" w:hAnsiTheme="minorHAnsi"/>
                <w:sz w:val="20"/>
                <w:lang w:val="en-IE"/>
              </w:rPr>
              <w:t xml:space="preserve"> of </w:t>
            </w:r>
            <w:r w:rsidRPr="00C267DA">
              <w:rPr>
                <w:rFonts w:asciiTheme="minorHAnsi" w:hAnsiTheme="minorHAnsi"/>
                <w:sz w:val="20"/>
                <w:lang w:val="en-IE"/>
              </w:rPr>
              <w:t xml:space="preserve">Crypto-to-Funds </w:t>
            </w:r>
            <w:r w:rsidRPr="00595AC9">
              <w:rPr>
                <w:rFonts w:asciiTheme="minorHAnsi" w:hAnsiTheme="minorHAnsi"/>
                <w:sz w:val="20"/>
                <w:lang w:val="en-IE"/>
              </w:rPr>
              <w:t>- Value during the reference year</w:t>
            </w:r>
            <w:r>
              <w:rPr>
                <w:rFonts w:asciiTheme="minorHAnsi" w:hAnsiTheme="minorHAnsi"/>
                <w:sz w:val="20"/>
                <w:lang w:val="en-IE"/>
              </w:rPr>
              <w:t>.</w:t>
            </w:r>
          </w:p>
        </w:tc>
      </w:tr>
      <w:tr w:rsidR="005E211E" w:rsidRPr="009B282E" w14:paraId="0210CEB1" w14:textId="77777777" w:rsidTr="002425D3">
        <w:tc>
          <w:tcPr>
            <w:tcW w:w="1673" w:type="dxa"/>
            <w:tcBorders>
              <w:top w:val="single" w:sz="4" w:space="0" w:color="auto"/>
              <w:left w:val="single" w:sz="4" w:space="0" w:color="auto"/>
              <w:bottom w:val="single" w:sz="4" w:space="0" w:color="auto"/>
              <w:right w:val="single" w:sz="4" w:space="0" w:color="auto"/>
            </w:tcBorders>
            <w:vAlign w:val="center"/>
          </w:tcPr>
          <w:p w14:paraId="67C666F9" w14:textId="2B407E26" w:rsidR="00934591" w:rsidRPr="009275BC" w:rsidRDefault="002C22C8"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C0060</w:t>
            </w:r>
          </w:p>
        </w:tc>
        <w:tc>
          <w:tcPr>
            <w:tcW w:w="7616" w:type="dxa"/>
            <w:tcBorders>
              <w:top w:val="nil"/>
              <w:left w:val="single" w:sz="4" w:space="0" w:color="auto"/>
              <w:bottom w:val="single" w:sz="4" w:space="0" w:color="auto"/>
              <w:right w:val="single" w:sz="4" w:space="0" w:color="auto"/>
            </w:tcBorders>
            <w:vAlign w:val="center"/>
          </w:tcPr>
          <w:p w14:paraId="5C43734E" w14:textId="56DAB161" w:rsidR="00491899" w:rsidRDefault="00491899" w:rsidP="00934591">
            <w:pPr>
              <w:pStyle w:val="InstructionsText2"/>
              <w:rPr>
                <w:rFonts w:asciiTheme="minorHAnsi" w:hAnsiTheme="minorHAnsi"/>
                <w:sz w:val="20"/>
                <w:lang w:val="en-IE"/>
              </w:rPr>
            </w:pPr>
            <w:r w:rsidRPr="006D7E39">
              <w:rPr>
                <w:rFonts w:ascii="Aptos" w:hAnsi="Aptos"/>
                <w:b/>
                <w:sz w:val="20"/>
                <w:u w:val="single"/>
                <w:lang w:val="en-IE"/>
              </w:rPr>
              <w:t xml:space="preserve">Crypto-to-Funds - </w:t>
            </w:r>
            <w:r w:rsidR="00AD7315">
              <w:rPr>
                <w:rFonts w:ascii="Aptos" w:hAnsi="Aptos"/>
                <w:b/>
                <w:sz w:val="20"/>
                <w:u w:val="single"/>
                <w:lang w:val="en-IE"/>
              </w:rPr>
              <w:t>Number</w:t>
            </w:r>
          </w:p>
          <w:p w14:paraId="41695C90" w14:textId="56216275" w:rsidR="00BB3597" w:rsidRPr="00BB3597" w:rsidRDefault="00384AEB" w:rsidP="006A4D5A">
            <w:pPr>
              <w:pStyle w:val="InstructionsText2"/>
              <w:rPr>
                <w:rFonts w:asciiTheme="minorHAnsi" w:hAnsiTheme="minorHAnsi"/>
                <w:lang w:val="en-US"/>
              </w:rPr>
            </w:pPr>
            <w:r w:rsidRPr="00413C67">
              <w:rPr>
                <w:rFonts w:asciiTheme="minorHAnsi" w:hAnsiTheme="minorHAnsi"/>
                <w:sz w:val="20"/>
                <w:lang w:val="en-IE"/>
              </w:rPr>
              <w:t>Indicate the exchange</w:t>
            </w:r>
            <w:r w:rsidR="00BC627D">
              <w:rPr>
                <w:rFonts w:asciiTheme="minorHAnsi" w:hAnsiTheme="minorHAnsi"/>
                <w:sz w:val="20"/>
                <w:lang w:val="en-IE"/>
              </w:rPr>
              <w:t>s</w:t>
            </w:r>
            <w:r w:rsidRPr="00413C67">
              <w:rPr>
                <w:rFonts w:asciiTheme="minorHAnsi" w:hAnsiTheme="minorHAnsi"/>
                <w:sz w:val="20"/>
                <w:lang w:val="en-IE"/>
              </w:rPr>
              <w:t xml:space="preserve"> of </w:t>
            </w:r>
            <w:r w:rsidRPr="00384AEB">
              <w:rPr>
                <w:rFonts w:asciiTheme="minorHAnsi" w:hAnsiTheme="minorHAnsi"/>
                <w:sz w:val="20"/>
                <w:lang w:val="en-IE"/>
              </w:rPr>
              <w:t xml:space="preserve">Crypto-to-Funds </w:t>
            </w:r>
            <w:r w:rsidRPr="00413C67">
              <w:rPr>
                <w:rFonts w:asciiTheme="minorHAnsi" w:hAnsiTheme="minorHAnsi"/>
                <w:sz w:val="20"/>
                <w:lang w:val="en-IE"/>
              </w:rPr>
              <w:t xml:space="preserve">- Number </w:t>
            </w:r>
            <w:r>
              <w:rPr>
                <w:rFonts w:asciiTheme="minorHAnsi" w:hAnsiTheme="minorHAnsi"/>
                <w:sz w:val="20"/>
                <w:lang w:val="en-IE"/>
              </w:rPr>
              <w:t xml:space="preserve">of transactions </w:t>
            </w:r>
            <w:r w:rsidRPr="00413C67">
              <w:rPr>
                <w:rFonts w:asciiTheme="minorHAnsi" w:hAnsiTheme="minorHAnsi"/>
                <w:sz w:val="20"/>
                <w:lang w:val="en-IE"/>
              </w:rPr>
              <w:t>during the reference year.</w:t>
            </w:r>
          </w:p>
        </w:tc>
      </w:tr>
      <w:tr w:rsidR="005E211E" w:rsidRPr="009B282E" w14:paraId="34791E58" w14:textId="77777777" w:rsidTr="002425D3">
        <w:tc>
          <w:tcPr>
            <w:tcW w:w="1673" w:type="dxa"/>
            <w:tcBorders>
              <w:top w:val="single" w:sz="4" w:space="0" w:color="auto"/>
              <w:left w:val="single" w:sz="4" w:space="0" w:color="auto"/>
              <w:bottom w:val="single" w:sz="4" w:space="0" w:color="auto"/>
              <w:right w:val="single" w:sz="4" w:space="0" w:color="auto"/>
            </w:tcBorders>
            <w:vAlign w:val="center"/>
          </w:tcPr>
          <w:p w14:paraId="59D60FA0" w14:textId="2FE92BD0" w:rsidR="00934591" w:rsidRPr="009275BC" w:rsidRDefault="002C22C8"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C0070</w:t>
            </w:r>
          </w:p>
        </w:tc>
        <w:tc>
          <w:tcPr>
            <w:tcW w:w="7616" w:type="dxa"/>
            <w:tcBorders>
              <w:top w:val="nil"/>
              <w:left w:val="single" w:sz="4" w:space="0" w:color="auto"/>
              <w:bottom w:val="single" w:sz="4" w:space="0" w:color="auto"/>
              <w:right w:val="single" w:sz="4" w:space="0" w:color="auto"/>
            </w:tcBorders>
            <w:vAlign w:val="center"/>
          </w:tcPr>
          <w:p w14:paraId="389B16A5" w14:textId="73A7D820" w:rsidR="00491899" w:rsidRDefault="00491899" w:rsidP="00934591">
            <w:pPr>
              <w:pStyle w:val="InstructionsText2"/>
              <w:rPr>
                <w:rFonts w:asciiTheme="minorHAnsi" w:hAnsiTheme="minorHAnsi"/>
                <w:sz w:val="20"/>
                <w:szCs w:val="20"/>
                <w:lang w:val="en-IE"/>
              </w:rPr>
            </w:pPr>
            <w:r w:rsidRPr="006D7E39">
              <w:rPr>
                <w:rFonts w:ascii="Aptos" w:hAnsi="Aptos"/>
                <w:b/>
                <w:sz w:val="20"/>
                <w:szCs w:val="20"/>
                <w:u w:val="single"/>
                <w:lang w:val="en-IE"/>
              </w:rPr>
              <w:t>Crypto-</w:t>
            </w:r>
            <w:r w:rsidR="00796A18" w:rsidRPr="0BDA97AB">
              <w:rPr>
                <w:rFonts w:ascii="Aptos" w:hAnsi="Aptos"/>
                <w:b/>
                <w:sz w:val="20"/>
                <w:szCs w:val="20"/>
                <w:u w:val="single"/>
                <w:lang w:val="en-IE"/>
              </w:rPr>
              <w:t>to-</w:t>
            </w:r>
            <w:r w:rsidRPr="0BDA97AB">
              <w:rPr>
                <w:rFonts w:ascii="Aptos" w:hAnsi="Aptos"/>
                <w:b/>
                <w:sz w:val="20"/>
                <w:szCs w:val="20"/>
                <w:u w:val="single"/>
                <w:lang w:val="en-IE"/>
              </w:rPr>
              <w:t>Funds - Customers</w:t>
            </w:r>
          </w:p>
          <w:p w14:paraId="0422573B" w14:textId="31C69214" w:rsidR="00BB3597" w:rsidRPr="00FD5BC8" w:rsidRDefault="006A4D5A" w:rsidP="006A4D5A">
            <w:pPr>
              <w:pStyle w:val="InstructionsText2"/>
              <w:rPr>
                <w:rFonts w:asciiTheme="minorHAnsi" w:hAnsiTheme="minorHAnsi"/>
                <w:sz w:val="20"/>
                <w:lang w:val="en-US"/>
              </w:rPr>
            </w:pPr>
            <w:r>
              <w:rPr>
                <w:rFonts w:asciiTheme="minorHAnsi" w:hAnsiTheme="minorHAnsi"/>
                <w:sz w:val="20"/>
                <w:lang w:val="en-IE"/>
              </w:rPr>
              <w:t>In</w:t>
            </w:r>
            <w:r w:rsidR="00FA56FB" w:rsidRPr="00413C67">
              <w:rPr>
                <w:rFonts w:asciiTheme="minorHAnsi" w:hAnsiTheme="minorHAnsi"/>
                <w:sz w:val="20"/>
                <w:lang w:val="en-IE"/>
              </w:rPr>
              <w:t>dicate the exchange</w:t>
            </w:r>
            <w:r w:rsidR="00BC627D">
              <w:rPr>
                <w:rFonts w:asciiTheme="minorHAnsi" w:hAnsiTheme="minorHAnsi"/>
                <w:sz w:val="20"/>
                <w:lang w:val="en-IE"/>
              </w:rPr>
              <w:t>s</w:t>
            </w:r>
            <w:r w:rsidR="00FA56FB" w:rsidRPr="00413C67">
              <w:rPr>
                <w:rFonts w:asciiTheme="minorHAnsi" w:hAnsiTheme="minorHAnsi"/>
                <w:sz w:val="20"/>
                <w:lang w:val="en-IE"/>
              </w:rPr>
              <w:t xml:space="preserve"> of </w:t>
            </w:r>
            <w:r w:rsidR="00FA56FB" w:rsidRPr="00FA56FB">
              <w:rPr>
                <w:rFonts w:asciiTheme="minorHAnsi" w:hAnsiTheme="minorHAnsi"/>
                <w:sz w:val="20"/>
                <w:lang w:val="en-IE"/>
              </w:rPr>
              <w:t>Crypto</w:t>
            </w:r>
            <w:r w:rsidR="003B6BDC">
              <w:rPr>
                <w:rFonts w:asciiTheme="minorHAnsi" w:hAnsiTheme="minorHAnsi"/>
                <w:sz w:val="20"/>
                <w:lang w:val="en-IE"/>
              </w:rPr>
              <w:t>-</w:t>
            </w:r>
            <w:r w:rsidR="00342E22">
              <w:rPr>
                <w:rFonts w:asciiTheme="minorHAnsi" w:hAnsiTheme="minorHAnsi"/>
                <w:sz w:val="20"/>
                <w:lang w:val="en-IE"/>
              </w:rPr>
              <w:t>t</w:t>
            </w:r>
            <w:r w:rsidR="0015547A">
              <w:rPr>
                <w:rFonts w:asciiTheme="minorHAnsi" w:hAnsiTheme="minorHAnsi"/>
                <w:sz w:val="20"/>
                <w:lang w:val="en-IE"/>
              </w:rPr>
              <w:t>o</w:t>
            </w:r>
            <w:r w:rsidR="003B6BDC">
              <w:rPr>
                <w:rFonts w:asciiTheme="minorHAnsi" w:hAnsiTheme="minorHAnsi"/>
                <w:sz w:val="20"/>
                <w:lang w:val="en-IE"/>
              </w:rPr>
              <w:t>-</w:t>
            </w:r>
            <w:r w:rsidR="00FA56FB" w:rsidRPr="00FA56FB">
              <w:rPr>
                <w:rFonts w:asciiTheme="minorHAnsi" w:hAnsiTheme="minorHAnsi"/>
                <w:sz w:val="20"/>
                <w:lang w:val="en-IE"/>
              </w:rPr>
              <w:t xml:space="preserve">Funds </w:t>
            </w:r>
            <w:r w:rsidR="00FA56FB" w:rsidRPr="00413C67">
              <w:rPr>
                <w:rFonts w:asciiTheme="minorHAnsi" w:hAnsiTheme="minorHAnsi"/>
                <w:sz w:val="20"/>
                <w:lang w:val="en-IE"/>
              </w:rPr>
              <w:t>-</w:t>
            </w:r>
            <w:r w:rsidR="00FA56FB" w:rsidRPr="00595AC9">
              <w:rPr>
                <w:rFonts w:asciiTheme="minorHAnsi" w:hAnsiTheme="minorHAnsi"/>
                <w:sz w:val="20"/>
                <w:lang w:val="en-IE"/>
              </w:rPr>
              <w:t xml:space="preserve"> Number of Customers using this service during the reference year.</w:t>
            </w:r>
          </w:p>
        </w:tc>
      </w:tr>
      <w:tr w:rsidR="005E211E" w:rsidRPr="009B282E" w14:paraId="60185CAB" w14:textId="77777777" w:rsidTr="002425D3">
        <w:tc>
          <w:tcPr>
            <w:tcW w:w="1673" w:type="dxa"/>
            <w:tcBorders>
              <w:top w:val="single" w:sz="4" w:space="0" w:color="auto"/>
              <w:left w:val="single" w:sz="4" w:space="0" w:color="auto"/>
              <w:bottom w:val="single" w:sz="4" w:space="0" w:color="auto"/>
              <w:right w:val="single" w:sz="4" w:space="0" w:color="auto"/>
            </w:tcBorders>
            <w:vAlign w:val="center"/>
          </w:tcPr>
          <w:p w14:paraId="258DDA61" w14:textId="6A3BE946" w:rsidR="00934591" w:rsidRPr="009275BC" w:rsidRDefault="002C22C8"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C0080</w:t>
            </w:r>
          </w:p>
        </w:tc>
        <w:tc>
          <w:tcPr>
            <w:tcW w:w="7616" w:type="dxa"/>
            <w:tcBorders>
              <w:top w:val="nil"/>
              <w:left w:val="single" w:sz="4" w:space="0" w:color="auto"/>
              <w:bottom w:val="single" w:sz="8" w:space="0" w:color="auto"/>
              <w:right w:val="single" w:sz="4" w:space="0" w:color="auto"/>
            </w:tcBorders>
            <w:vAlign w:val="center"/>
          </w:tcPr>
          <w:p w14:paraId="14AE785B" w14:textId="0435D100" w:rsidR="00491899" w:rsidRDefault="00491899" w:rsidP="006E6CFF">
            <w:pPr>
              <w:pStyle w:val="InstructionsText2"/>
              <w:rPr>
                <w:rFonts w:asciiTheme="minorHAnsi" w:hAnsiTheme="minorHAnsi"/>
                <w:sz w:val="20"/>
                <w:szCs w:val="20"/>
                <w:lang w:val="en-IE"/>
              </w:rPr>
            </w:pPr>
            <w:r w:rsidRPr="006D7E39">
              <w:rPr>
                <w:rFonts w:ascii="Aptos" w:hAnsi="Aptos"/>
                <w:b/>
                <w:sz w:val="20"/>
                <w:szCs w:val="20"/>
                <w:u w:val="single"/>
                <w:lang w:val="en-IE"/>
              </w:rPr>
              <w:t xml:space="preserve">Crypto-to-Funds (from Self-hosted) - </w:t>
            </w:r>
            <w:r w:rsidR="003E1D37" w:rsidRPr="0BDA97AB">
              <w:rPr>
                <w:rFonts w:ascii="Aptos" w:hAnsi="Aptos"/>
                <w:b/>
                <w:sz w:val="20"/>
                <w:szCs w:val="20"/>
                <w:u w:val="single"/>
                <w:lang w:val="en-IE"/>
              </w:rPr>
              <w:t>Number</w:t>
            </w:r>
          </w:p>
          <w:p w14:paraId="29A289F9" w14:textId="77777777" w:rsidR="00491899" w:rsidRDefault="00491899" w:rsidP="006E6CFF">
            <w:pPr>
              <w:pStyle w:val="InstructionsText2"/>
              <w:rPr>
                <w:rFonts w:asciiTheme="minorHAnsi" w:hAnsiTheme="minorHAnsi"/>
                <w:sz w:val="20"/>
                <w:szCs w:val="20"/>
                <w:lang w:val="en-IE"/>
              </w:rPr>
            </w:pPr>
            <w:r>
              <w:rPr>
                <w:rFonts w:asciiTheme="minorHAnsi" w:hAnsiTheme="minorHAnsi"/>
                <w:sz w:val="20"/>
                <w:szCs w:val="20"/>
                <w:lang w:val="en-IE"/>
              </w:rPr>
              <w:t>Transactions should be counted where crypto assets originating from a self-hosted wallet are exchanged for funds by the CASP, regardless of whether the exchange occurs immediately or after a holding period during the reference year.</w:t>
            </w:r>
          </w:p>
          <w:p w14:paraId="4DFF8EDC" w14:textId="6ADDA237" w:rsidR="000C5443" w:rsidRPr="00BE70F2" w:rsidRDefault="00DC7716" w:rsidP="006E6CFF">
            <w:pPr>
              <w:pStyle w:val="InstructionsText2"/>
              <w:rPr>
                <w:rFonts w:asciiTheme="minorHAnsi" w:hAnsiTheme="minorHAnsi"/>
                <w:sz w:val="20"/>
                <w:szCs w:val="20"/>
                <w:lang w:val="en-IE"/>
              </w:rPr>
            </w:pPr>
            <w:r w:rsidRPr="00595AC9">
              <w:rPr>
                <w:rFonts w:asciiTheme="minorHAnsi" w:hAnsiTheme="minorHAnsi"/>
                <w:bCs/>
                <w:sz w:val="20"/>
                <w:szCs w:val="20"/>
                <w:lang w:val="en-US"/>
              </w:rPr>
              <w:t>Indicate the total number of transactions crypto</w:t>
            </w:r>
            <w:r>
              <w:rPr>
                <w:rFonts w:asciiTheme="minorHAnsi" w:hAnsiTheme="minorHAnsi"/>
                <w:bCs/>
                <w:sz w:val="20"/>
                <w:szCs w:val="20"/>
                <w:lang w:val="en-US"/>
              </w:rPr>
              <w:t>-to</w:t>
            </w:r>
            <w:r w:rsidR="000A00B8">
              <w:rPr>
                <w:rFonts w:asciiTheme="minorHAnsi" w:hAnsiTheme="minorHAnsi"/>
                <w:bCs/>
                <w:sz w:val="20"/>
                <w:szCs w:val="20"/>
                <w:lang w:val="en-US"/>
              </w:rPr>
              <w:t xml:space="preserve">-funds from </w:t>
            </w:r>
            <w:r w:rsidRPr="00595AC9">
              <w:rPr>
                <w:rFonts w:asciiTheme="minorHAnsi" w:hAnsiTheme="minorHAnsi"/>
                <w:bCs/>
                <w:sz w:val="20"/>
                <w:szCs w:val="20"/>
                <w:lang w:val="en-US"/>
              </w:rPr>
              <w:t>self-hosted address</w:t>
            </w:r>
            <w:r>
              <w:rPr>
                <w:rFonts w:asciiTheme="minorHAnsi" w:hAnsiTheme="minorHAnsi"/>
                <w:bCs/>
                <w:sz w:val="20"/>
                <w:szCs w:val="20"/>
                <w:lang w:val="en-US"/>
              </w:rPr>
              <w:t xml:space="preserve"> </w:t>
            </w:r>
            <w:r w:rsidRPr="00595AC9">
              <w:rPr>
                <w:rFonts w:asciiTheme="minorHAnsi" w:hAnsiTheme="minorHAnsi"/>
                <w:sz w:val="20"/>
                <w:lang w:val="en-IE"/>
              </w:rPr>
              <w:t>during the reference year.</w:t>
            </w:r>
          </w:p>
        </w:tc>
      </w:tr>
    </w:tbl>
    <w:p w14:paraId="5B85F6DC" w14:textId="0643DDA9" w:rsidR="00953B06" w:rsidRPr="009B282E" w:rsidRDefault="003F05FD" w:rsidP="00732F8B">
      <w:pPr>
        <w:pStyle w:val="Heading3"/>
        <w:numPr>
          <w:ilvl w:val="0"/>
          <w:numId w:val="0"/>
        </w:numPr>
        <w:ind w:left="720"/>
        <w:rPr>
          <w:lang w:val="en-GB"/>
        </w:rPr>
      </w:pPr>
      <w:bookmarkStart w:id="227" w:name="_Toc221355989"/>
      <w:bookmarkStart w:id="228" w:name="_Toc223104855"/>
      <w:r w:rsidRPr="009B282E">
        <w:rPr>
          <w:lang w:val="en-GB"/>
        </w:rPr>
        <w:t xml:space="preserve">Exchange </w:t>
      </w:r>
      <w:r w:rsidR="00350E49" w:rsidRPr="009B282E">
        <w:rPr>
          <w:lang w:val="en-GB"/>
        </w:rPr>
        <w:t xml:space="preserve">of </w:t>
      </w:r>
      <w:r w:rsidRPr="009B282E">
        <w:rPr>
          <w:lang w:val="en-GB"/>
        </w:rPr>
        <w:t>crypto</w:t>
      </w:r>
      <w:r w:rsidR="002B6920" w:rsidRPr="009B282E">
        <w:rPr>
          <w:lang w:val="en-GB"/>
        </w:rPr>
        <w:t>-assets</w:t>
      </w:r>
      <w:r w:rsidRPr="009B282E">
        <w:rPr>
          <w:lang w:val="en-GB"/>
        </w:rPr>
        <w:t xml:space="preserve"> for </w:t>
      </w:r>
      <w:r w:rsidR="00350E49" w:rsidRPr="009B282E">
        <w:rPr>
          <w:lang w:val="en-GB"/>
        </w:rPr>
        <w:t xml:space="preserve">other </w:t>
      </w:r>
      <w:r w:rsidRPr="009B282E">
        <w:rPr>
          <w:lang w:val="en-GB"/>
        </w:rPr>
        <w:t>crypto</w:t>
      </w:r>
      <w:r w:rsidR="002B6920" w:rsidRPr="009B282E">
        <w:rPr>
          <w:lang w:val="en-GB"/>
        </w:rPr>
        <w:t>-assets</w:t>
      </w:r>
      <w:bookmarkEnd w:id="227"/>
      <w:bookmarkEnd w:id="228"/>
    </w:p>
    <w:p w14:paraId="7B5F7B73" w14:textId="15144B7A" w:rsidR="00603A23" w:rsidRPr="00BE70F2" w:rsidRDefault="002B6920" w:rsidP="00961D88">
      <w:pPr>
        <w:rPr>
          <w:rFonts w:asciiTheme="minorHAnsi" w:hAnsiTheme="minorHAnsi"/>
          <w:lang w:val="en-GB"/>
        </w:rPr>
      </w:pPr>
      <w:r w:rsidRPr="00BE70F2">
        <w:rPr>
          <w:rFonts w:asciiTheme="minorHAnsi" w:hAnsiTheme="minorHAnsi"/>
          <w:lang w:val="en-GB"/>
        </w:rPr>
        <w:t>The provision by an obliged entity of services in line with Article 3(1)(16)(</w:t>
      </w:r>
      <w:r w:rsidR="00350E49" w:rsidRPr="00BE70F2">
        <w:rPr>
          <w:rFonts w:asciiTheme="minorHAnsi" w:hAnsiTheme="minorHAnsi"/>
          <w:lang w:val="en-GB"/>
        </w:rPr>
        <w:t>d</w:t>
      </w:r>
      <w:r w:rsidRPr="00BE70F2">
        <w:rPr>
          <w:rFonts w:asciiTheme="minorHAnsi" w:hAnsiTheme="minorHAnsi"/>
          <w:lang w:val="en-GB"/>
        </w:rPr>
        <w:t>) of Regulation (EU) 2023/1114</w:t>
      </w:r>
      <w:r w:rsidR="00603A23" w:rsidRPr="00BE70F2">
        <w:rPr>
          <w:rFonts w:asciiTheme="minorHAnsi" w:hAnsiTheme="minorHAnsi"/>
          <w:lang w:val="en-GB"/>
        </w:rPr>
        <w:t>.</w:t>
      </w:r>
      <w:bookmarkStart w:id="229" w:name="_Hlk219457576"/>
    </w:p>
    <w:bookmarkEnd w:id="229"/>
    <w:p w14:paraId="7EFE93DD" w14:textId="0E7D78F2" w:rsidR="00AC17E0" w:rsidRPr="00BE70F2" w:rsidRDefault="004E4E73" w:rsidP="00AC17E0">
      <w:pPr>
        <w:rPr>
          <w:rFonts w:asciiTheme="minorHAnsi" w:hAnsiTheme="minorHAnsi"/>
          <w:lang w:val="en-GB"/>
        </w:rPr>
      </w:pPr>
      <w:r w:rsidRPr="00BE70F2">
        <w:rPr>
          <w:rFonts w:asciiTheme="minorHAnsi" w:hAnsiTheme="minorHAnsi"/>
          <w:lang w:val="en-GB"/>
        </w:rPr>
        <w:t xml:space="preserve"> ‘</w:t>
      </w:r>
      <w:r w:rsidR="007B14AE">
        <w:rPr>
          <w:rFonts w:asciiTheme="minorHAnsi" w:hAnsiTheme="minorHAnsi"/>
          <w:lang w:val="en-GB"/>
        </w:rPr>
        <w:t>S</w:t>
      </w:r>
      <w:r w:rsidR="007B14AE" w:rsidRPr="00BE70F2">
        <w:rPr>
          <w:rFonts w:asciiTheme="minorHAnsi" w:hAnsiTheme="minorHAnsi"/>
          <w:lang w:val="en-GB"/>
        </w:rPr>
        <w:t>elf</w:t>
      </w:r>
      <w:r w:rsidRPr="00BE70F2">
        <w:rPr>
          <w:rFonts w:asciiTheme="minorHAnsi" w:hAnsiTheme="minorHAnsi"/>
          <w:lang w:val="en-GB"/>
        </w:rPr>
        <w:t xml:space="preserve">-hosted </w:t>
      </w:r>
      <w:r w:rsidR="4D6E53B9" w:rsidRPr="47AA6669">
        <w:rPr>
          <w:rFonts w:asciiTheme="minorHAnsi" w:hAnsiTheme="minorHAnsi"/>
          <w:lang w:val="en-GB"/>
        </w:rPr>
        <w:t>address</w:t>
      </w:r>
      <w:r w:rsidRPr="47AA6669">
        <w:rPr>
          <w:rFonts w:asciiTheme="minorHAnsi" w:hAnsiTheme="minorHAnsi"/>
          <w:lang w:val="en-GB"/>
        </w:rPr>
        <w:t>’</w:t>
      </w:r>
      <w:r w:rsidRPr="00BE70F2">
        <w:rPr>
          <w:rFonts w:asciiTheme="minorHAnsi" w:hAnsiTheme="minorHAnsi"/>
          <w:lang w:val="en-GB"/>
        </w:rPr>
        <w:t xml:space="preserve"> </w:t>
      </w:r>
      <w:r w:rsidR="007B14AE">
        <w:rPr>
          <w:rFonts w:asciiTheme="minorHAnsi" w:hAnsiTheme="minorHAnsi"/>
        </w:rPr>
        <w:t xml:space="preserve">should be intended </w:t>
      </w:r>
      <w:r w:rsidRPr="00BE70F2">
        <w:rPr>
          <w:rFonts w:asciiTheme="minorHAnsi" w:hAnsiTheme="minorHAnsi"/>
          <w:lang w:val="en-GB"/>
        </w:rPr>
        <w:t>as defined in Article 3(20) of Regulation (EU) 2023/1113.</w:t>
      </w:r>
    </w:p>
    <w:tbl>
      <w:tblPr>
        <w:tblW w:w="92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3"/>
        <w:gridCol w:w="7616"/>
      </w:tblGrid>
      <w:tr w:rsidR="005E211E" w:rsidRPr="009B282E" w14:paraId="7ED53E8E" w14:textId="77777777" w:rsidTr="2B2C152E">
        <w:tc>
          <w:tcPr>
            <w:tcW w:w="16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117CEC" w14:textId="77777777" w:rsidR="0097506C" w:rsidRPr="009275BC" w:rsidRDefault="0097506C" w:rsidP="00F32516">
            <w:pPr>
              <w:pStyle w:val="InstructionsText"/>
              <w:rPr>
                <w:rStyle w:val="InstructionsTabelleText"/>
                <w:rFonts w:asciiTheme="minorHAnsi" w:hAnsiTheme="minorHAnsi"/>
                <w:bCs w:val="0"/>
                <w:lang w:eastAsia="en-US"/>
              </w:rPr>
            </w:pPr>
            <w:r w:rsidRPr="009275BC">
              <w:rPr>
                <w:rStyle w:val="InstructionsTabelleText"/>
                <w:rFonts w:asciiTheme="minorHAnsi" w:hAnsiTheme="minorHAnsi"/>
              </w:rPr>
              <w:t>Column code</w:t>
            </w:r>
          </w:p>
        </w:tc>
        <w:tc>
          <w:tcPr>
            <w:tcW w:w="76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F23B2F" w14:textId="77777777" w:rsidR="0097506C" w:rsidRPr="009275BC" w:rsidRDefault="0097506C" w:rsidP="00F32516">
            <w:pPr>
              <w:pStyle w:val="InstructionsText"/>
              <w:rPr>
                <w:rStyle w:val="InstructionsTabelleText"/>
                <w:rFonts w:asciiTheme="minorHAnsi" w:hAnsiTheme="minorHAnsi"/>
                <w:bCs w:val="0"/>
                <w:lang w:eastAsia="en-US"/>
              </w:rPr>
            </w:pPr>
            <w:r w:rsidRPr="009275BC">
              <w:rPr>
                <w:rStyle w:val="InstructionsTabelleText"/>
                <w:rFonts w:asciiTheme="minorHAnsi" w:hAnsiTheme="minorHAnsi"/>
              </w:rPr>
              <w:t>Legal references and instructions</w:t>
            </w:r>
          </w:p>
        </w:tc>
      </w:tr>
      <w:tr w:rsidR="005E211E" w:rsidRPr="009B282E" w14:paraId="6FD24540" w14:textId="77777777" w:rsidTr="002425D3">
        <w:tc>
          <w:tcPr>
            <w:tcW w:w="1673" w:type="dxa"/>
            <w:tcBorders>
              <w:top w:val="single" w:sz="4" w:space="0" w:color="auto"/>
              <w:left w:val="single" w:sz="4" w:space="0" w:color="auto"/>
              <w:bottom w:val="single" w:sz="4" w:space="0" w:color="auto"/>
              <w:right w:val="single" w:sz="4" w:space="0" w:color="auto"/>
            </w:tcBorders>
            <w:vAlign w:val="center"/>
          </w:tcPr>
          <w:p w14:paraId="55CDCE89" w14:textId="669D032E" w:rsidR="00AF01CB" w:rsidRPr="009275BC" w:rsidRDefault="002C22C8"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C0090</w:t>
            </w:r>
          </w:p>
        </w:tc>
        <w:tc>
          <w:tcPr>
            <w:tcW w:w="7616" w:type="dxa"/>
            <w:tcBorders>
              <w:top w:val="single" w:sz="8" w:space="0" w:color="auto"/>
              <w:left w:val="single" w:sz="4" w:space="0" w:color="auto"/>
              <w:bottom w:val="single" w:sz="4" w:space="0" w:color="auto"/>
              <w:right w:val="single" w:sz="4" w:space="0" w:color="auto"/>
            </w:tcBorders>
            <w:vAlign w:val="center"/>
          </w:tcPr>
          <w:p w14:paraId="557286BA" w14:textId="77777777" w:rsidR="00491899" w:rsidRDefault="00491899" w:rsidP="00AF01CB">
            <w:pPr>
              <w:pStyle w:val="InstructionsText2"/>
              <w:rPr>
                <w:rFonts w:asciiTheme="minorHAnsi" w:hAnsiTheme="minorHAnsi"/>
                <w:sz w:val="20"/>
                <w:lang w:val="en-IE"/>
              </w:rPr>
            </w:pPr>
            <w:r w:rsidRPr="006D7E39">
              <w:rPr>
                <w:rFonts w:ascii="Aptos" w:hAnsi="Aptos"/>
                <w:b/>
                <w:sz w:val="20"/>
                <w:u w:val="single"/>
                <w:lang w:val="en-IE"/>
              </w:rPr>
              <w:t>Crypto-to-Crypto - Value</w:t>
            </w:r>
          </w:p>
          <w:p w14:paraId="53794ED6" w14:textId="7656E01C" w:rsidR="009B2826" w:rsidRPr="009B2826" w:rsidRDefault="00491899" w:rsidP="00C055D4">
            <w:pPr>
              <w:pStyle w:val="InstructionsText2"/>
              <w:rPr>
                <w:rFonts w:asciiTheme="minorHAnsi" w:hAnsiTheme="minorHAnsi"/>
                <w:lang w:val="en-US"/>
              </w:rPr>
            </w:pPr>
            <w:r w:rsidRPr="008F7E92">
              <w:rPr>
                <w:rFonts w:asciiTheme="minorHAnsi" w:hAnsiTheme="minorHAnsi"/>
                <w:sz w:val="20"/>
                <w:lang w:val="en-IE"/>
              </w:rPr>
              <w:t>Indicate Crypto-to-Crypto - Value during the reference year.</w:t>
            </w:r>
          </w:p>
        </w:tc>
      </w:tr>
      <w:tr w:rsidR="005E211E" w:rsidRPr="009B282E" w14:paraId="73F22563" w14:textId="77777777" w:rsidTr="002425D3">
        <w:tc>
          <w:tcPr>
            <w:tcW w:w="1673" w:type="dxa"/>
            <w:tcBorders>
              <w:top w:val="single" w:sz="4" w:space="0" w:color="auto"/>
              <w:left w:val="single" w:sz="4" w:space="0" w:color="auto"/>
              <w:bottom w:val="single" w:sz="4" w:space="0" w:color="auto"/>
              <w:right w:val="single" w:sz="4" w:space="0" w:color="auto"/>
            </w:tcBorders>
            <w:vAlign w:val="center"/>
          </w:tcPr>
          <w:p w14:paraId="70B79C76" w14:textId="54151B38" w:rsidR="00AF01CB" w:rsidRPr="009275BC" w:rsidRDefault="00F214E9"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C0100</w:t>
            </w:r>
          </w:p>
        </w:tc>
        <w:tc>
          <w:tcPr>
            <w:tcW w:w="7616" w:type="dxa"/>
            <w:tcBorders>
              <w:top w:val="nil"/>
              <w:left w:val="single" w:sz="4" w:space="0" w:color="auto"/>
              <w:bottom w:val="single" w:sz="4" w:space="0" w:color="auto"/>
              <w:right w:val="single" w:sz="4" w:space="0" w:color="auto"/>
            </w:tcBorders>
            <w:vAlign w:val="center"/>
          </w:tcPr>
          <w:p w14:paraId="1700E27E" w14:textId="4F14F120" w:rsidR="00491899" w:rsidRDefault="000A246F" w:rsidP="00AF01CB">
            <w:pPr>
              <w:pStyle w:val="InstructionsText2"/>
              <w:rPr>
                <w:rFonts w:asciiTheme="minorHAnsi" w:hAnsiTheme="minorHAnsi"/>
                <w:sz w:val="20"/>
                <w:lang w:val="en-IE"/>
              </w:rPr>
            </w:pPr>
            <w:r w:rsidRPr="00595AC9">
              <w:rPr>
                <w:rFonts w:ascii="Aptos" w:hAnsi="Aptos"/>
                <w:b/>
                <w:sz w:val="20"/>
                <w:u w:val="single"/>
                <w:lang w:val="en-IE"/>
              </w:rPr>
              <w:t xml:space="preserve">Crypto-to-Crypto - </w:t>
            </w:r>
            <w:r w:rsidR="00491899" w:rsidRPr="006D7E39">
              <w:rPr>
                <w:rFonts w:ascii="Aptos" w:hAnsi="Aptos"/>
                <w:b/>
                <w:sz w:val="20"/>
                <w:u w:val="single"/>
                <w:lang w:val="en-IE"/>
              </w:rPr>
              <w:t>Customers</w:t>
            </w:r>
          </w:p>
          <w:p w14:paraId="4EFA5094" w14:textId="3316BB27" w:rsidR="009B2826" w:rsidRPr="009B2826" w:rsidRDefault="00491899" w:rsidP="00C055D4">
            <w:pPr>
              <w:pStyle w:val="InstructionsText2"/>
              <w:rPr>
                <w:rFonts w:asciiTheme="minorHAnsi" w:hAnsiTheme="minorHAnsi"/>
                <w:lang w:val="en-US"/>
              </w:rPr>
            </w:pPr>
            <w:r w:rsidRPr="006D7E39">
              <w:rPr>
                <w:rFonts w:asciiTheme="minorHAnsi" w:hAnsiTheme="minorHAnsi"/>
                <w:sz w:val="20"/>
                <w:lang w:val="en-IE"/>
              </w:rPr>
              <w:t xml:space="preserve">Indicate </w:t>
            </w:r>
            <w:r w:rsidR="00191DCD" w:rsidRPr="006D7E39">
              <w:rPr>
                <w:rFonts w:asciiTheme="minorHAnsi" w:hAnsiTheme="minorHAnsi"/>
                <w:sz w:val="20"/>
                <w:lang w:val="en-IE"/>
              </w:rPr>
              <w:t xml:space="preserve">the </w:t>
            </w:r>
            <w:r w:rsidR="00AA7380" w:rsidRPr="006D7E39">
              <w:rPr>
                <w:rFonts w:asciiTheme="minorHAnsi" w:hAnsiTheme="minorHAnsi"/>
                <w:sz w:val="20"/>
                <w:lang w:val="en-IE"/>
              </w:rPr>
              <w:t>exchange</w:t>
            </w:r>
            <w:r w:rsidR="00BF3A9E">
              <w:rPr>
                <w:rFonts w:asciiTheme="minorHAnsi" w:hAnsiTheme="minorHAnsi"/>
                <w:sz w:val="20"/>
                <w:lang w:val="en-IE"/>
              </w:rPr>
              <w:t>s</w:t>
            </w:r>
            <w:r w:rsidR="00AA7380" w:rsidRPr="006D7E39">
              <w:rPr>
                <w:rFonts w:asciiTheme="minorHAnsi" w:hAnsiTheme="minorHAnsi"/>
                <w:sz w:val="20"/>
                <w:lang w:val="en-IE"/>
              </w:rPr>
              <w:t xml:space="preserve"> of </w:t>
            </w:r>
            <w:r w:rsidR="00D151ED" w:rsidRPr="006D7E39">
              <w:rPr>
                <w:rFonts w:asciiTheme="minorHAnsi" w:hAnsiTheme="minorHAnsi"/>
                <w:sz w:val="20"/>
                <w:lang w:val="en-IE"/>
              </w:rPr>
              <w:t xml:space="preserve">Crypto-to-Crypto </w:t>
            </w:r>
            <w:r w:rsidRPr="006D7E39">
              <w:rPr>
                <w:rFonts w:asciiTheme="minorHAnsi" w:hAnsiTheme="minorHAnsi"/>
                <w:sz w:val="20"/>
                <w:lang w:val="en-IE"/>
              </w:rPr>
              <w:t xml:space="preserve">- </w:t>
            </w:r>
            <w:r w:rsidR="00191DCD" w:rsidRPr="00B7202F">
              <w:rPr>
                <w:rFonts w:asciiTheme="minorHAnsi" w:hAnsiTheme="minorHAnsi"/>
                <w:sz w:val="20"/>
                <w:lang w:val="en-IE"/>
              </w:rPr>
              <w:t>N</w:t>
            </w:r>
            <w:r w:rsidR="00191DCD" w:rsidRPr="00595AC9">
              <w:rPr>
                <w:rFonts w:asciiTheme="minorHAnsi" w:hAnsiTheme="minorHAnsi"/>
                <w:sz w:val="20"/>
                <w:lang w:val="en-IE"/>
              </w:rPr>
              <w:t>umber of Customers using this service during the reference year.</w:t>
            </w:r>
          </w:p>
        </w:tc>
      </w:tr>
      <w:tr w:rsidR="005E211E" w:rsidRPr="009B282E" w14:paraId="53F92EAD" w14:textId="77777777" w:rsidTr="002425D3">
        <w:tc>
          <w:tcPr>
            <w:tcW w:w="1673" w:type="dxa"/>
            <w:tcBorders>
              <w:top w:val="single" w:sz="4" w:space="0" w:color="auto"/>
              <w:left w:val="single" w:sz="4" w:space="0" w:color="auto"/>
              <w:bottom w:val="single" w:sz="4" w:space="0" w:color="auto"/>
              <w:right w:val="single" w:sz="4" w:space="0" w:color="auto"/>
            </w:tcBorders>
            <w:vAlign w:val="center"/>
          </w:tcPr>
          <w:p w14:paraId="2B914F30" w14:textId="26EEE20D" w:rsidR="00AF01CB" w:rsidRPr="009275BC" w:rsidRDefault="00F214E9"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C0110</w:t>
            </w:r>
          </w:p>
        </w:tc>
        <w:tc>
          <w:tcPr>
            <w:tcW w:w="7616" w:type="dxa"/>
            <w:tcBorders>
              <w:top w:val="nil"/>
              <w:left w:val="single" w:sz="4" w:space="0" w:color="auto"/>
              <w:bottom w:val="single" w:sz="4" w:space="0" w:color="auto"/>
              <w:right w:val="single" w:sz="4" w:space="0" w:color="auto"/>
            </w:tcBorders>
            <w:vAlign w:val="center"/>
          </w:tcPr>
          <w:p w14:paraId="50C9912B" w14:textId="1D91B241" w:rsidR="00491899" w:rsidRDefault="00491899" w:rsidP="00AF01CB">
            <w:pPr>
              <w:pStyle w:val="InstructionsText2"/>
              <w:rPr>
                <w:rFonts w:asciiTheme="minorHAnsi" w:hAnsiTheme="minorHAnsi"/>
                <w:sz w:val="20"/>
                <w:lang w:val="en-IE"/>
              </w:rPr>
            </w:pPr>
            <w:r w:rsidRPr="008F7E92">
              <w:rPr>
                <w:rFonts w:ascii="Aptos" w:hAnsi="Aptos"/>
                <w:b/>
                <w:sz w:val="20"/>
                <w:u w:val="single"/>
                <w:lang w:val="en-IE"/>
              </w:rPr>
              <w:t xml:space="preserve">Crypto-to-Crypto - </w:t>
            </w:r>
            <w:r w:rsidR="00B47868">
              <w:rPr>
                <w:rFonts w:ascii="Aptos" w:hAnsi="Aptos"/>
                <w:b/>
                <w:sz w:val="20"/>
                <w:u w:val="single"/>
                <w:lang w:val="en-IE"/>
              </w:rPr>
              <w:t>Number</w:t>
            </w:r>
          </w:p>
          <w:p w14:paraId="0097A09C" w14:textId="371FC4F2" w:rsidR="009B2826" w:rsidRPr="009B2826" w:rsidRDefault="00697596" w:rsidP="00C055D4">
            <w:pPr>
              <w:pStyle w:val="InstructionsText2"/>
              <w:rPr>
                <w:rFonts w:asciiTheme="minorHAnsi" w:hAnsiTheme="minorHAnsi"/>
                <w:lang w:val="en-US"/>
              </w:rPr>
            </w:pPr>
            <w:r w:rsidRPr="00CE6833">
              <w:rPr>
                <w:rFonts w:asciiTheme="minorHAnsi" w:hAnsiTheme="minorHAnsi"/>
                <w:sz w:val="20"/>
                <w:lang w:val="en-IE"/>
              </w:rPr>
              <w:t>Indicate the exchanges of Crypto-to-Crypto</w:t>
            </w:r>
            <w:r w:rsidR="00491899" w:rsidRPr="008F7E92">
              <w:rPr>
                <w:rFonts w:asciiTheme="minorHAnsi" w:hAnsiTheme="minorHAnsi"/>
                <w:sz w:val="20"/>
                <w:lang w:val="en-IE"/>
              </w:rPr>
              <w:t xml:space="preserve"> - </w:t>
            </w:r>
            <w:r w:rsidR="00CE6833" w:rsidRPr="00CE6833">
              <w:rPr>
                <w:rFonts w:asciiTheme="minorHAnsi" w:hAnsiTheme="minorHAnsi"/>
                <w:sz w:val="20"/>
                <w:lang w:val="en-IE"/>
              </w:rPr>
              <w:t>Number of transactions during the reference year.</w:t>
            </w:r>
          </w:p>
        </w:tc>
      </w:tr>
      <w:tr w:rsidR="005E211E" w:rsidRPr="009B282E" w14:paraId="7F0FDDC0" w14:textId="77777777" w:rsidTr="009A75E5">
        <w:tc>
          <w:tcPr>
            <w:tcW w:w="1673" w:type="dxa"/>
            <w:tcBorders>
              <w:top w:val="single" w:sz="4" w:space="0" w:color="auto"/>
              <w:left w:val="single" w:sz="4" w:space="0" w:color="auto"/>
              <w:bottom w:val="single" w:sz="4" w:space="0" w:color="auto"/>
              <w:right w:val="single" w:sz="4" w:space="0" w:color="auto"/>
            </w:tcBorders>
            <w:vAlign w:val="center"/>
          </w:tcPr>
          <w:p w14:paraId="198090EC" w14:textId="79A507FC" w:rsidR="00AF01CB" w:rsidRPr="009275BC" w:rsidRDefault="00F214E9"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C0120</w:t>
            </w:r>
          </w:p>
        </w:tc>
        <w:tc>
          <w:tcPr>
            <w:tcW w:w="7616" w:type="dxa"/>
            <w:tcBorders>
              <w:top w:val="nil"/>
              <w:left w:val="single" w:sz="4" w:space="0" w:color="auto"/>
              <w:bottom w:val="single" w:sz="4" w:space="0" w:color="auto"/>
              <w:right w:val="single" w:sz="4" w:space="0" w:color="auto"/>
            </w:tcBorders>
            <w:vAlign w:val="center"/>
          </w:tcPr>
          <w:p w14:paraId="0F1A3253" w14:textId="28955547" w:rsidR="00491899" w:rsidRDefault="00491899" w:rsidP="00AF01CB">
            <w:pPr>
              <w:pStyle w:val="InstructionsText2"/>
              <w:rPr>
                <w:rFonts w:asciiTheme="minorHAnsi" w:hAnsiTheme="minorHAnsi"/>
                <w:sz w:val="20"/>
                <w:lang w:val="en-IE"/>
              </w:rPr>
            </w:pPr>
            <w:r w:rsidRPr="008F7E92">
              <w:rPr>
                <w:rFonts w:ascii="Aptos" w:hAnsi="Aptos"/>
                <w:b/>
                <w:sz w:val="20"/>
                <w:u w:val="single"/>
                <w:lang w:val="en-IE"/>
              </w:rPr>
              <w:t xml:space="preserve">Crypto-to-Crypto (to Self-hosted) - </w:t>
            </w:r>
            <w:r w:rsidR="00CC217B">
              <w:rPr>
                <w:rFonts w:ascii="Aptos" w:hAnsi="Aptos"/>
                <w:b/>
                <w:sz w:val="20"/>
                <w:u w:val="single"/>
                <w:lang w:val="en-IE"/>
              </w:rPr>
              <w:t>Number</w:t>
            </w:r>
          </w:p>
          <w:p w14:paraId="74446627" w14:textId="6C9F767C" w:rsidR="009B2826" w:rsidRPr="009B2826" w:rsidRDefault="00C055D4" w:rsidP="00C055D4">
            <w:pPr>
              <w:pStyle w:val="InstructionsText2"/>
              <w:rPr>
                <w:rFonts w:asciiTheme="minorHAnsi" w:hAnsiTheme="minorHAnsi"/>
                <w:lang w:val="en-US"/>
              </w:rPr>
            </w:pPr>
            <w:r>
              <w:rPr>
                <w:rFonts w:asciiTheme="minorHAnsi" w:hAnsiTheme="minorHAnsi"/>
                <w:sz w:val="20"/>
                <w:lang w:val="en-IE"/>
              </w:rPr>
              <w:t>I</w:t>
            </w:r>
            <w:r w:rsidR="00491899" w:rsidRPr="006D7E39">
              <w:rPr>
                <w:rFonts w:asciiTheme="minorHAnsi" w:hAnsiTheme="minorHAnsi"/>
                <w:sz w:val="20"/>
                <w:lang w:val="en-IE"/>
              </w:rPr>
              <w:t xml:space="preserve">ndicate </w:t>
            </w:r>
            <w:r w:rsidR="00CC217B" w:rsidRPr="006D7E39">
              <w:rPr>
                <w:rFonts w:asciiTheme="minorHAnsi" w:hAnsiTheme="minorHAnsi"/>
                <w:sz w:val="20"/>
                <w:lang w:val="en-IE"/>
              </w:rPr>
              <w:t xml:space="preserve">the exchanges of </w:t>
            </w:r>
            <w:r w:rsidR="00491899" w:rsidRPr="006D7E39">
              <w:rPr>
                <w:rFonts w:asciiTheme="minorHAnsi" w:hAnsiTheme="minorHAnsi"/>
                <w:sz w:val="20"/>
                <w:lang w:val="en-IE"/>
              </w:rPr>
              <w:t xml:space="preserve">Crypto-to-Crypto (to Self-hosted) </w:t>
            </w:r>
            <w:r w:rsidR="00CC217B" w:rsidRPr="006D7E39">
              <w:rPr>
                <w:rFonts w:asciiTheme="minorHAnsi" w:hAnsiTheme="minorHAnsi"/>
                <w:sz w:val="20"/>
                <w:lang w:val="en-IE"/>
              </w:rPr>
              <w:t>–</w:t>
            </w:r>
            <w:r w:rsidR="00491899" w:rsidRPr="006D7E39">
              <w:rPr>
                <w:rFonts w:asciiTheme="minorHAnsi" w:hAnsiTheme="minorHAnsi"/>
                <w:sz w:val="20"/>
                <w:lang w:val="en-IE"/>
              </w:rPr>
              <w:t xml:space="preserve"> </w:t>
            </w:r>
            <w:r w:rsidR="00CC217B" w:rsidRPr="006D7E39">
              <w:rPr>
                <w:rFonts w:asciiTheme="minorHAnsi" w:hAnsiTheme="minorHAnsi"/>
                <w:sz w:val="20"/>
                <w:lang w:val="en-IE"/>
              </w:rPr>
              <w:t>Number of transactions</w:t>
            </w:r>
            <w:r w:rsidR="00491899" w:rsidRPr="006D7E39">
              <w:rPr>
                <w:rFonts w:asciiTheme="minorHAnsi" w:hAnsiTheme="minorHAnsi"/>
                <w:sz w:val="20"/>
                <w:lang w:val="en-IE"/>
              </w:rPr>
              <w:t xml:space="preserve"> during the reference year.</w:t>
            </w:r>
          </w:p>
        </w:tc>
      </w:tr>
      <w:tr w:rsidR="009A75E5" w:rsidRPr="009B282E" w14:paraId="205A7E06" w14:textId="77777777" w:rsidTr="009A75E5">
        <w:tc>
          <w:tcPr>
            <w:tcW w:w="1673" w:type="dxa"/>
            <w:tcBorders>
              <w:top w:val="single" w:sz="4" w:space="0" w:color="auto"/>
              <w:left w:val="single" w:sz="4" w:space="0" w:color="auto"/>
              <w:bottom w:val="single" w:sz="4" w:space="0" w:color="auto"/>
              <w:right w:val="single" w:sz="4" w:space="0" w:color="auto"/>
            </w:tcBorders>
            <w:vAlign w:val="center"/>
          </w:tcPr>
          <w:p w14:paraId="22417001" w14:textId="20EF7C55" w:rsidR="009A75E5" w:rsidRPr="009275BC" w:rsidRDefault="00055CE9" w:rsidP="00F32516">
            <w:pPr>
              <w:pStyle w:val="InstructionsText"/>
              <w:rPr>
                <w:rStyle w:val="FormatvorlageInstructionsTabelleText"/>
                <w:rFonts w:asciiTheme="minorHAnsi" w:hAnsiTheme="minorHAnsi"/>
              </w:rPr>
            </w:pPr>
            <w:r>
              <w:rPr>
                <w:rStyle w:val="FormatvorlageInstructionsTabelleText"/>
                <w:rFonts w:asciiTheme="minorHAnsi" w:hAnsiTheme="minorHAnsi"/>
              </w:rPr>
              <w:t>C0130</w:t>
            </w:r>
          </w:p>
        </w:tc>
        <w:tc>
          <w:tcPr>
            <w:tcW w:w="7616" w:type="dxa"/>
            <w:tcBorders>
              <w:top w:val="single" w:sz="4" w:space="0" w:color="auto"/>
              <w:left w:val="single" w:sz="4" w:space="0" w:color="auto"/>
              <w:bottom w:val="single" w:sz="4" w:space="0" w:color="auto"/>
              <w:right w:val="single" w:sz="4" w:space="0" w:color="auto"/>
            </w:tcBorders>
            <w:vAlign w:val="center"/>
          </w:tcPr>
          <w:p w14:paraId="5E56B77F" w14:textId="1E25FAA3" w:rsidR="009A75E5" w:rsidRPr="009A75E5" w:rsidRDefault="009A75E5" w:rsidP="009A75E5">
            <w:pPr>
              <w:pStyle w:val="InstructionsText2"/>
              <w:rPr>
                <w:rFonts w:ascii="Aptos" w:hAnsi="Aptos"/>
                <w:b/>
                <w:sz w:val="20"/>
                <w:u w:val="single"/>
                <w:lang w:val="en-IE"/>
              </w:rPr>
            </w:pPr>
            <w:r w:rsidRPr="009A75E5">
              <w:rPr>
                <w:rFonts w:ascii="Aptos" w:hAnsi="Aptos"/>
                <w:b/>
                <w:sz w:val="20"/>
                <w:u w:val="single"/>
                <w:lang w:val="en-IE"/>
              </w:rPr>
              <w:t>Crypto-to-Crypto (</w:t>
            </w:r>
            <w:r w:rsidR="00055CE9">
              <w:rPr>
                <w:rFonts w:ascii="Aptos" w:hAnsi="Aptos"/>
                <w:b/>
                <w:sz w:val="20"/>
                <w:u w:val="single"/>
                <w:lang w:val="en-IE"/>
              </w:rPr>
              <w:t>from</w:t>
            </w:r>
            <w:r w:rsidRPr="009A75E5">
              <w:rPr>
                <w:rFonts w:ascii="Aptos" w:hAnsi="Aptos"/>
                <w:b/>
                <w:sz w:val="20"/>
                <w:u w:val="single"/>
                <w:lang w:val="en-IE"/>
              </w:rPr>
              <w:t xml:space="preserve"> Self-hosted) - Number</w:t>
            </w:r>
          </w:p>
          <w:p w14:paraId="4372A616" w14:textId="6E40EA12" w:rsidR="009A75E5" w:rsidRPr="008F7E92" w:rsidRDefault="009A75E5" w:rsidP="00C055D4">
            <w:pPr>
              <w:pStyle w:val="InstructionsText2"/>
              <w:rPr>
                <w:rFonts w:ascii="Aptos" w:hAnsi="Aptos"/>
                <w:b/>
                <w:sz w:val="20"/>
                <w:u w:val="single"/>
                <w:lang w:val="en-IE"/>
              </w:rPr>
            </w:pPr>
            <w:r w:rsidRPr="009A75E5">
              <w:rPr>
                <w:rFonts w:ascii="Aptos" w:hAnsi="Aptos"/>
                <w:bCs/>
                <w:sz w:val="20"/>
                <w:lang w:val="en-IE"/>
              </w:rPr>
              <w:t>Indicate the exchanges of Crypto-to-Crypto (</w:t>
            </w:r>
            <w:r w:rsidR="00055CE9">
              <w:rPr>
                <w:rFonts w:ascii="Aptos" w:hAnsi="Aptos"/>
                <w:bCs/>
                <w:sz w:val="20"/>
                <w:lang w:val="en-IE"/>
              </w:rPr>
              <w:t>from</w:t>
            </w:r>
            <w:r w:rsidRPr="009A75E5">
              <w:rPr>
                <w:rFonts w:ascii="Aptos" w:hAnsi="Aptos"/>
                <w:bCs/>
                <w:sz w:val="20"/>
                <w:lang w:val="en-IE"/>
              </w:rPr>
              <w:t xml:space="preserve"> Self-hosted) – Number of transactions during the reference year.</w:t>
            </w:r>
          </w:p>
        </w:tc>
      </w:tr>
    </w:tbl>
    <w:p w14:paraId="11E60C39" w14:textId="5767B18D" w:rsidR="003F05FD" w:rsidRPr="009B282E" w:rsidRDefault="000720A5" w:rsidP="00732F8B">
      <w:pPr>
        <w:pStyle w:val="Heading3"/>
        <w:numPr>
          <w:ilvl w:val="0"/>
          <w:numId w:val="0"/>
        </w:numPr>
        <w:ind w:left="720"/>
        <w:rPr>
          <w:lang w:val="en-GB"/>
        </w:rPr>
      </w:pPr>
      <w:bookmarkStart w:id="230" w:name="_Toc221355990"/>
      <w:bookmarkStart w:id="231" w:name="_Toc223104856"/>
      <w:r>
        <w:rPr>
          <w:lang w:val="en-GB"/>
        </w:rPr>
        <w:t>T</w:t>
      </w:r>
      <w:r w:rsidR="005B7A0B" w:rsidRPr="00C401AA">
        <w:rPr>
          <w:lang w:val="en-GB"/>
        </w:rPr>
        <w:t>ransfer services for crypto-assets on behalf of clients</w:t>
      </w:r>
      <w:bookmarkEnd w:id="230"/>
      <w:bookmarkEnd w:id="231"/>
    </w:p>
    <w:p w14:paraId="22F65C6A" w14:textId="5A5544EC" w:rsidR="00603A23" w:rsidRPr="002425D3" w:rsidRDefault="005B7A0B" w:rsidP="00135B9D">
      <w:pPr>
        <w:jc w:val="both"/>
        <w:rPr>
          <w:rFonts w:asciiTheme="minorHAnsi" w:hAnsiTheme="minorHAnsi"/>
          <w:lang w:val="en-GB"/>
        </w:rPr>
      </w:pPr>
      <w:r w:rsidRPr="002425D3">
        <w:rPr>
          <w:rFonts w:asciiTheme="minorHAnsi" w:hAnsiTheme="minorHAnsi"/>
          <w:lang w:val="en-GB"/>
        </w:rPr>
        <w:t>The provision by an obliged entity of services in line with Article 3(1)(16)(j) of Regulation (EU) 2023/1114.</w:t>
      </w:r>
    </w:p>
    <w:p w14:paraId="14C05BD1" w14:textId="1441EE0D" w:rsidR="00092B11" w:rsidRPr="002425D3" w:rsidRDefault="004E4E73" w:rsidP="00135B9D">
      <w:pPr>
        <w:jc w:val="both"/>
        <w:rPr>
          <w:rFonts w:asciiTheme="minorHAnsi" w:hAnsiTheme="minorHAnsi"/>
          <w:lang w:val="en-GB"/>
        </w:rPr>
      </w:pPr>
      <w:r w:rsidRPr="002425D3">
        <w:rPr>
          <w:rFonts w:asciiTheme="minorHAnsi" w:hAnsiTheme="minorHAnsi"/>
          <w:lang w:val="en-GB"/>
        </w:rPr>
        <w:t xml:space="preserve"> ‘</w:t>
      </w:r>
      <w:r w:rsidR="007B14AE">
        <w:rPr>
          <w:rFonts w:asciiTheme="minorHAnsi" w:hAnsiTheme="minorHAnsi"/>
          <w:lang w:val="en-GB"/>
        </w:rPr>
        <w:t>S</w:t>
      </w:r>
      <w:r w:rsidR="007B14AE" w:rsidRPr="002425D3">
        <w:rPr>
          <w:rFonts w:asciiTheme="minorHAnsi" w:hAnsiTheme="minorHAnsi"/>
          <w:lang w:val="en-GB"/>
        </w:rPr>
        <w:t>elf</w:t>
      </w:r>
      <w:r w:rsidRPr="002425D3">
        <w:rPr>
          <w:rFonts w:asciiTheme="minorHAnsi" w:hAnsiTheme="minorHAnsi"/>
          <w:lang w:val="en-GB"/>
        </w:rPr>
        <w:t xml:space="preserve">-hosted </w:t>
      </w:r>
      <w:r w:rsidR="50FBC53F" w:rsidRPr="47AA6669">
        <w:rPr>
          <w:rFonts w:asciiTheme="minorHAnsi" w:hAnsiTheme="minorHAnsi"/>
          <w:lang w:val="en-GB"/>
        </w:rPr>
        <w:t>address</w:t>
      </w:r>
      <w:r w:rsidRPr="47AA6669">
        <w:rPr>
          <w:rFonts w:asciiTheme="minorHAnsi" w:hAnsiTheme="minorHAnsi"/>
          <w:lang w:val="en-GB"/>
        </w:rPr>
        <w:t>’</w:t>
      </w:r>
      <w:r w:rsidRPr="002425D3">
        <w:rPr>
          <w:rFonts w:asciiTheme="minorHAnsi" w:hAnsiTheme="minorHAnsi"/>
          <w:lang w:val="en-GB"/>
        </w:rPr>
        <w:t xml:space="preserve"> </w:t>
      </w:r>
      <w:r w:rsidR="007B14AE">
        <w:rPr>
          <w:rFonts w:asciiTheme="minorHAnsi" w:hAnsiTheme="minorHAnsi"/>
        </w:rPr>
        <w:t xml:space="preserve">should be intended </w:t>
      </w:r>
      <w:r w:rsidRPr="002425D3">
        <w:rPr>
          <w:rFonts w:asciiTheme="minorHAnsi" w:hAnsiTheme="minorHAnsi"/>
          <w:lang w:val="en-GB"/>
        </w:rPr>
        <w:t>as defined in Article 3(20), of Regulation (EU) 2023/1113.</w:t>
      </w:r>
    </w:p>
    <w:tbl>
      <w:tblPr>
        <w:tblW w:w="92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3"/>
        <w:gridCol w:w="7616"/>
      </w:tblGrid>
      <w:tr w:rsidR="005E211E" w:rsidRPr="009B282E" w14:paraId="7489DA10" w14:textId="77777777" w:rsidTr="2B2C152E">
        <w:tc>
          <w:tcPr>
            <w:tcW w:w="16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1B77CF" w14:textId="77777777" w:rsidR="0097506C" w:rsidRPr="009275BC" w:rsidRDefault="0097506C" w:rsidP="00F32516">
            <w:pPr>
              <w:pStyle w:val="InstructionsText"/>
              <w:rPr>
                <w:rStyle w:val="InstructionsTabelleText"/>
                <w:rFonts w:asciiTheme="minorHAnsi" w:hAnsiTheme="minorHAnsi"/>
                <w:bCs w:val="0"/>
                <w:lang w:eastAsia="en-US"/>
              </w:rPr>
            </w:pPr>
            <w:r w:rsidRPr="009275BC">
              <w:rPr>
                <w:rStyle w:val="InstructionsTabelleText"/>
                <w:rFonts w:asciiTheme="minorHAnsi" w:hAnsiTheme="minorHAnsi"/>
              </w:rPr>
              <w:t>Column code</w:t>
            </w:r>
          </w:p>
        </w:tc>
        <w:tc>
          <w:tcPr>
            <w:tcW w:w="76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00CDA" w14:textId="77777777" w:rsidR="0097506C" w:rsidRPr="009275BC" w:rsidRDefault="0097506C" w:rsidP="00F32516">
            <w:pPr>
              <w:pStyle w:val="InstructionsText"/>
              <w:rPr>
                <w:rStyle w:val="InstructionsTabelleText"/>
                <w:rFonts w:asciiTheme="minorHAnsi" w:hAnsiTheme="minorHAnsi"/>
                <w:bCs w:val="0"/>
                <w:lang w:eastAsia="en-US"/>
              </w:rPr>
            </w:pPr>
            <w:r w:rsidRPr="009275BC">
              <w:rPr>
                <w:rStyle w:val="InstructionsTabelleText"/>
                <w:rFonts w:asciiTheme="minorHAnsi" w:hAnsiTheme="minorHAnsi"/>
              </w:rPr>
              <w:t>Legal references and instructions</w:t>
            </w:r>
          </w:p>
        </w:tc>
      </w:tr>
      <w:tr w:rsidR="005E211E" w:rsidRPr="009B282E" w14:paraId="086265CB" w14:textId="77777777" w:rsidTr="002425D3">
        <w:tc>
          <w:tcPr>
            <w:tcW w:w="1673" w:type="dxa"/>
            <w:tcBorders>
              <w:top w:val="single" w:sz="4" w:space="0" w:color="auto"/>
              <w:left w:val="single" w:sz="4" w:space="0" w:color="auto"/>
              <w:bottom w:val="single" w:sz="4" w:space="0" w:color="auto"/>
              <w:right w:val="single" w:sz="4" w:space="0" w:color="auto"/>
            </w:tcBorders>
            <w:vAlign w:val="center"/>
          </w:tcPr>
          <w:p w14:paraId="677F93F7" w14:textId="2FED1DD2" w:rsidR="00B6758A" w:rsidRPr="009275BC" w:rsidRDefault="00D56208"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C01</w:t>
            </w:r>
            <w:r w:rsidR="00055CE9">
              <w:rPr>
                <w:rStyle w:val="FormatvorlageInstructionsTabelleText"/>
                <w:rFonts w:asciiTheme="minorHAnsi" w:hAnsiTheme="minorHAnsi"/>
              </w:rPr>
              <w:t>40</w:t>
            </w:r>
          </w:p>
        </w:tc>
        <w:tc>
          <w:tcPr>
            <w:tcW w:w="7616" w:type="dxa"/>
            <w:tcBorders>
              <w:top w:val="single" w:sz="8" w:space="0" w:color="auto"/>
              <w:left w:val="single" w:sz="4" w:space="0" w:color="auto"/>
              <w:bottom w:val="single" w:sz="4" w:space="0" w:color="auto"/>
              <w:right w:val="single" w:sz="4" w:space="0" w:color="auto"/>
            </w:tcBorders>
            <w:vAlign w:val="center"/>
          </w:tcPr>
          <w:p w14:paraId="2A4502A4" w14:textId="77777777" w:rsidR="00491899" w:rsidRDefault="00491899" w:rsidP="00F7667B">
            <w:pPr>
              <w:pStyle w:val="InstructionsText2"/>
              <w:rPr>
                <w:rFonts w:asciiTheme="minorHAnsi" w:hAnsiTheme="minorHAnsi"/>
                <w:sz w:val="20"/>
                <w:lang w:val="en-IE"/>
              </w:rPr>
            </w:pPr>
            <w:r w:rsidRPr="006D7E39">
              <w:rPr>
                <w:rFonts w:ascii="Aptos" w:hAnsi="Aptos"/>
                <w:b/>
                <w:sz w:val="20"/>
                <w:u w:val="single"/>
                <w:lang w:val="en-IE"/>
              </w:rPr>
              <w:t>Transfers - Value</w:t>
            </w:r>
          </w:p>
          <w:p w14:paraId="245C6A2F" w14:textId="6563F7EA" w:rsidR="00F7667B" w:rsidRPr="00F7667B" w:rsidRDefault="00491899" w:rsidP="00C055D4">
            <w:pPr>
              <w:pStyle w:val="InstructionsText2"/>
              <w:rPr>
                <w:rFonts w:asciiTheme="minorHAnsi" w:hAnsiTheme="minorHAnsi"/>
                <w:lang w:val="en-US"/>
              </w:rPr>
            </w:pPr>
            <w:r w:rsidRPr="006D7E39">
              <w:rPr>
                <w:rFonts w:asciiTheme="minorHAnsi" w:hAnsiTheme="minorHAnsi"/>
                <w:sz w:val="20"/>
                <w:lang w:val="en-IE"/>
              </w:rPr>
              <w:t xml:space="preserve">Indicate Transfers - Value </w:t>
            </w:r>
            <w:r w:rsidR="00405A9F" w:rsidRPr="006D7E39">
              <w:rPr>
                <w:rFonts w:asciiTheme="minorHAnsi" w:hAnsiTheme="minorHAnsi"/>
                <w:sz w:val="20"/>
                <w:lang w:val="en-IE"/>
              </w:rPr>
              <w:t xml:space="preserve">transferred </w:t>
            </w:r>
            <w:r w:rsidRPr="006D7E39">
              <w:rPr>
                <w:rFonts w:asciiTheme="minorHAnsi" w:hAnsiTheme="minorHAnsi"/>
                <w:sz w:val="20"/>
                <w:lang w:val="en-IE"/>
              </w:rPr>
              <w:t>during the reference year.</w:t>
            </w:r>
          </w:p>
        </w:tc>
      </w:tr>
      <w:tr w:rsidR="005E211E" w:rsidRPr="009B282E" w14:paraId="79E55B20" w14:textId="77777777" w:rsidTr="002425D3">
        <w:tc>
          <w:tcPr>
            <w:tcW w:w="1673" w:type="dxa"/>
            <w:tcBorders>
              <w:top w:val="single" w:sz="4" w:space="0" w:color="auto"/>
              <w:left w:val="single" w:sz="4" w:space="0" w:color="auto"/>
              <w:bottom w:val="single" w:sz="4" w:space="0" w:color="auto"/>
              <w:right w:val="single" w:sz="4" w:space="0" w:color="auto"/>
            </w:tcBorders>
            <w:vAlign w:val="center"/>
          </w:tcPr>
          <w:p w14:paraId="41E7D29F" w14:textId="6E87887F" w:rsidR="00B6758A" w:rsidRPr="009275BC" w:rsidRDefault="00D56208"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C01</w:t>
            </w:r>
            <w:r w:rsidR="00055CE9">
              <w:rPr>
                <w:rStyle w:val="FormatvorlageInstructionsTabelleText"/>
                <w:rFonts w:asciiTheme="minorHAnsi" w:hAnsiTheme="minorHAnsi"/>
              </w:rPr>
              <w:t>5</w:t>
            </w:r>
            <w:r w:rsidRPr="009275BC">
              <w:rPr>
                <w:rStyle w:val="FormatvorlageInstructionsTabelleText"/>
                <w:rFonts w:asciiTheme="minorHAnsi" w:hAnsiTheme="minorHAnsi"/>
              </w:rPr>
              <w:t>0</w:t>
            </w:r>
          </w:p>
        </w:tc>
        <w:tc>
          <w:tcPr>
            <w:tcW w:w="7616" w:type="dxa"/>
            <w:tcBorders>
              <w:top w:val="nil"/>
              <w:left w:val="single" w:sz="4" w:space="0" w:color="auto"/>
              <w:bottom w:val="single" w:sz="4" w:space="0" w:color="auto"/>
              <w:right w:val="single" w:sz="4" w:space="0" w:color="auto"/>
            </w:tcBorders>
            <w:vAlign w:val="center"/>
          </w:tcPr>
          <w:p w14:paraId="27078828" w14:textId="1EBEA016" w:rsidR="00B6758A" w:rsidRDefault="00E55F4E" w:rsidP="00B6758A">
            <w:pPr>
              <w:pStyle w:val="InstructionsText2"/>
              <w:rPr>
                <w:rFonts w:asciiTheme="minorHAnsi" w:hAnsiTheme="minorHAnsi"/>
                <w:b/>
                <w:bCs/>
                <w:sz w:val="20"/>
                <w:u w:val="single"/>
                <w:lang w:val="en-US"/>
              </w:rPr>
            </w:pPr>
            <w:r>
              <w:rPr>
                <w:rFonts w:asciiTheme="minorHAnsi" w:hAnsiTheme="minorHAnsi"/>
                <w:b/>
                <w:bCs/>
                <w:sz w:val="20"/>
                <w:u w:val="single"/>
                <w:lang w:val="en-US"/>
              </w:rPr>
              <w:t>Transfers - Customers</w:t>
            </w:r>
          </w:p>
          <w:p w14:paraId="7587E83D" w14:textId="318D7530" w:rsidR="00F7667B" w:rsidRPr="00F7667B" w:rsidRDefault="00491899" w:rsidP="00C055D4">
            <w:pPr>
              <w:pStyle w:val="InstructionsText2"/>
              <w:rPr>
                <w:rFonts w:asciiTheme="minorHAnsi" w:hAnsiTheme="minorHAnsi"/>
                <w:lang w:val="en-US"/>
              </w:rPr>
            </w:pPr>
            <w:r w:rsidRPr="006D7E39">
              <w:rPr>
                <w:rFonts w:asciiTheme="minorHAnsi" w:hAnsiTheme="minorHAnsi"/>
                <w:sz w:val="20"/>
                <w:lang w:val="en-IE"/>
              </w:rPr>
              <w:t xml:space="preserve">Indicate </w:t>
            </w:r>
            <w:r w:rsidR="00BB0FC3" w:rsidRPr="00BB0FC3">
              <w:rPr>
                <w:rFonts w:asciiTheme="minorHAnsi" w:hAnsiTheme="minorHAnsi"/>
                <w:sz w:val="20"/>
                <w:lang w:val="en-IE"/>
              </w:rPr>
              <w:t>Transfers</w:t>
            </w:r>
            <w:r w:rsidR="005674EC" w:rsidRPr="0057395D">
              <w:rPr>
                <w:rFonts w:asciiTheme="minorHAnsi" w:hAnsiTheme="minorHAnsi"/>
                <w:sz w:val="20"/>
                <w:lang w:val="en-IE"/>
              </w:rPr>
              <w:t xml:space="preserve"> - </w:t>
            </w:r>
            <w:r w:rsidRPr="0057395D">
              <w:rPr>
                <w:rFonts w:asciiTheme="minorHAnsi" w:hAnsiTheme="minorHAnsi"/>
                <w:sz w:val="20"/>
                <w:lang w:val="en-IE"/>
              </w:rPr>
              <w:t xml:space="preserve">Customers </w:t>
            </w:r>
            <w:r w:rsidR="003A1930" w:rsidRPr="0057395D">
              <w:rPr>
                <w:rFonts w:asciiTheme="minorHAnsi" w:hAnsiTheme="minorHAnsi"/>
                <w:sz w:val="20"/>
                <w:lang w:val="en-IE"/>
              </w:rPr>
              <w:t>using thes</w:t>
            </w:r>
            <w:r w:rsidR="00701660" w:rsidRPr="0057395D">
              <w:rPr>
                <w:rFonts w:asciiTheme="minorHAnsi" w:hAnsiTheme="minorHAnsi"/>
                <w:sz w:val="20"/>
                <w:lang w:val="en-IE"/>
              </w:rPr>
              <w:t xml:space="preserve">e services </w:t>
            </w:r>
            <w:r w:rsidRPr="0057395D">
              <w:rPr>
                <w:rFonts w:asciiTheme="minorHAnsi" w:hAnsiTheme="minorHAnsi"/>
                <w:sz w:val="20"/>
                <w:lang w:val="en-IE"/>
              </w:rPr>
              <w:t>during the reference year.</w:t>
            </w:r>
          </w:p>
        </w:tc>
      </w:tr>
      <w:tr w:rsidR="005E211E" w:rsidRPr="009B282E" w14:paraId="18B13C9F" w14:textId="77777777" w:rsidTr="002425D3">
        <w:tc>
          <w:tcPr>
            <w:tcW w:w="1673" w:type="dxa"/>
            <w:tcBorders>
              <w:top w:val="single" w:sz="4" w:space="0" w:color="auto"/>
              <w:left w:val="single" w:sz="4" w:space="0" w:color="auto"/>
              <w:bottom w:val="single" w:sz="4" w:space="0" w:color="auto"/>
              <w:right w:val="single" w:sz="4" w:space="0" w:color="auto"/>
            </w:tcBorders>
            <w:vAlign w:val="center"/>
          </w:tcPr>
          <w:p w14:paraId="6EE5DB46" w14:textId="38759DAE" w:rsidR="00B6758A" w:rsidRPr="009275BC" w:rsidRDefault="00D56208"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C01</w:t>
            </w:r>
            <w:r w:rsidR="00055CE9">
              <w:rPr>
                <w:rStyle w:val="FormatvorlageInstructionsTabelleText"/>
                <w:rFonts w:asciiTheme="minorHAnsi" w:hAnsiTheme="minorHAnsi"/>
              </w:rPr>
              <w:t>6</w:t>
            </w:r>
            <w:r w:rsidRPr="009275BC">
              <w:rPr>
                <w:rStyle w:val="FormatvorlageInstructionsTabelleText"/>
                <w:rFonts w:asciiTheme="minorHAnsi" w:hAnsiTheme="minorHAnsi"/>
              </w:rPr>
              <w:t>0</w:t>
            </w:r>
          </w:p>
        </w:tc>
        <w:tc>
          <w:tcPr>
            <w:tcW w:w="7616" w:type="dxa"/>
            <w:tcBorders>
              <w:top w:val="nil"/>
              <w:left w:val="single" w:sz="4" w:space="0" w:color="auto"/>
              <w:bottom w:val="single" w:sz="4" w:space="0" w:color="auto"/>
              <w:right w:val="single" w:sz="4" w:space="0" w:color="auto"/>
            </w:tcBorders>
            <w:vAlign w:val="center"/>
          </w:tcPr>
          <w:p w14:paraId="490462ED" w14:textId="0FAA0976" w:rsidR="00491899" w:rsidRDefault="00491899" w:rsidP="00B6758A">
            <w:pPr>
              <w:pStyle w:val="InstructionsText2"/>
              <w:rPr>
                <w:rFonts w:asciiTheme="minorHAnsi" w:hAnsiTheme="minorHAnsi"/>
                <w:sz w:val="20"/>
                <w:lang w:val="en-IE"/>
              </w:rPr>
            </w:pPr>
            <w:r w:rsidRPr="002937C9">
              <w:rPr>
                <w:rFonts w:ascii="Aptos" w:hAnsi="Aptos"/>
                <w:b/>
                <w:sz w:val="20"/>
                <w:u w:val="single"/>
                <w:lang w:val="en-IE"/>
              </w:rPr>
              <w:t xml:space="preserve">Transfers - </w:t>
            </w:r>
            <w:r w:rsidR="00A51803">
              <w:rPr>
                <w:rFonts w:ascii="Aptos" w:hAnsi="Aptos"/>
                <w:b/>
                <w:sz w:val="20"/>
                <w:u w:val="single"/>
                <w:lang w:val="en-IE"/>
              </w:rPr>
              <w:t>Number</w:t>
            </w:r>
          </w:p>
          <w:p w14:paraId="031A07FE" w14:textId="43253D7F" w:rsidR="00F7667B" w:rsidRPr="00F7667B" w:rsidRDefault="00491899" w:rsidP="00C055D4">
            <w:pPr>
              <w:pStyle w:val="InstructionsText2"/>
              <w:rPr>
                <w:rFonts w:asciiTheme="minorHAnsi" w:hAnsiTheme="minorHAnsi"/>
                <w:lang w:val="en-US"/>
              </w:rPr>
            </w:pPr>
            <w:r w:rsidRPr="007B5931">
              <w:rPr>
                <w:rFonts w:asciiTheme="minorHAnsi" w:hAnsiTheme="minorHAnsi"/>
                <w:sz w:val="20"/>
                <w:lang w:val="en-IE"/>
              </w:rPr>
              <w:t xml:space="preserve">Indicate Transfers </w:t>
            </w:r>
            <w:r w:rsidR="008C1594" w:rsidRPr="007B5931">
              <w:rPr>
                <w:rFonts w:asciiTheme="minorHAnsi" w:hAnsiTheme="minorHAnsi"/>
                <w:sz w:val="20"/>
                <w:lang w:val="en-IE"/>
              </w:rPr>
              <w:t>–</w:t>
            </w:r>
            <w:r w:rsidRPr="007B5931">
              <w:rPr>
                <w:rFonts w:asciiTheme="minorHAnsi" w:hAnsiTheme="minorHAnsi"/>
                <w:sz w:val="20"/>
                <w:lang w:val="en-IE"/>
              </w:rPr>
              <w:t xml:space="preserve"> </w:t>
            </w:r>
            <w:r w:rsidR="008C1594" w:rsidRPr="007B5931">
              <w:rPr>
                <w:rFonts w:asciiTheme="minorHAnsi" w:hAnsiTheme="minorHAnsi"/>
                <w:sz w:val="20"/>
                <w:lang w:val="en-IE"/>
              </w:rPr>
              <w:t>number</w:t>
            </w:r>
            <w:r w:rsidRPr="007B5931">
              <w:rPr>
                <w:rFonts w:asciiTheme="minorHAnsi" w:hAnsiTheme="minorHAnsi"/>
                <w:sz w:val="20"/>
                <w:lang w:val="en-IE"/>
              </w:rPr>
              <w:t xml:space="preserve"> </w:t>
            </w:r>
            <w:r w:rsidR="00DD0EED">
              <w:rPr>
                <w:rFonts w:asciiTheme="minorHAnsi" w:hAnsiTheme="minorHAnsi"/>
                <w:sz w:val="20"/>
                <w:lang w:val="en-IE"/>
              </w:rPr>
              <w:t xml:space="preserve">of transfers </w:t>
            </w:r>
            <w:r w:rsidRPr="002937C9">
              <w:rPr>
                <w:rFonts w:asciiTheme="minorHAnsi" w:hAnsiTheme="minorHAnsi"/>
                <w:sz w:val="20"/>
                <w:lang w:val="en-IE"/>
              </w:rPr>
              <w:t>during the reference year.</w:t>
            </w:r>
          </w:p>
        </w:tc>
      </w:tr>
      <w:tr w:rsidR="005E211E" w:rsidRPr="009B282E" w14:paraId="24B86C94" w14:textId="77777777" w:rsidTr="002425D3">
        <w:tc>
          <w:tcPr>
            <w:tcW w:w="1673" w:type="dxa"/>
            <w:tcBorders>
              <w:top w:val="single" w:sz="4" w:space="0" w:color="auto"/>
              <w:left w:val="single" w:sz="4" w:space="0" w:color="auto"/>
              <w:bottom w:val="single" w:sz="4" w:space="0" w:color="auto"/>
              <w:right w:val="single" w:sz="4" w:space="0" w:color="auto"/>
            </w:tcBorders>
            <w:vAlign w:val="center"/>
          </w:tcPr>
          <w:p w14:paraId="626F4CB8" w14:textId="6A022D6B" w:rsidR="00B6758A" w:rsidRPr="009275BC" w:rsidRDefault="00D56208"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C01</w:t>
            </w:r>
            <w:r w:rsidR="00055CE9">
              <w:rPr>
                <w:rStyle w:val="FormatvorlageInstructionsTabelleText"/>
                <w:rFonts w:asciiTheme="minorHAnsi" w:hAnsiTheme="minorHAnsi"/>
              </w:rPr>
              <w:t>7</w:t>
            </w:r>
            <w:r w:rsidRPr="009275BC">
              <w:rPr>
                <w:rStyle w:val="FormatvorlageInstructionsTabelleText"/>
                <w:rFonts w:asciiTheme="minorHAnsi" w:hAnsiTheme="minorHAnsi"/>
              </w:rPr>
              <w:t>0</w:t>
            </w:r>
          </w:p>
        </w:tc>
        <w:tc>
          <w:tcPr>
            <w:tcW w:w="7616" w:type="dxa"/>
            <w:tcBorders>
              <w:top w:val="nil"/>
              <w:left w:val="single" w:sz="4" w:space="0" w:color="auto"/>
              <w:bottom w:val="single" w:sz="4" w:space="0" w:color="auto"/>
              <w:right w:val="single" w:sz="4" w:space="0" w:color="auto"/>
            </w:tcBorders>
            <w:vAlign w:val="center"/>
          </w:tcPr>
          <w:p w14:paraId="3FF887C6" w14:textId="552A74DA" w:rsidR="00491899" w:rsidRDefault="00491899" w:rsidP="00B6758A">
            <w:pPr>
              <w:pStyle w:val="InstructionsText2"/>
              <w:rPr>
                <w:rFonts w:asciiTheme="minorHAnsi" w:hAnsiTheme="minorHAnsi"/>
                <w:sz w:val="20"/>
                <w:lang w:val="en-IE"/>
              </w:rPr>
            </w:pPr>
            <w:r w:rsidRPr="002937C9">
              <w:rPr>
                <w:rFonts w:ascii="Aptos" w:hAnsi="Aptos"/>
                <w:b/>
                <w:sz w:val="20"/>
                <w:u w:val="single"/>
                <w:lang w:val="en-IE"/>
              </w:rPr>
              <w:t xml:space="preserve">Transfers (to Self-hosted) </w:t>
            </w:r>
            <w:r w:rsidR="00DD0EED">
              <w:rPr>
                <w:rFonts w:ascii="Aptos" w:hAnsi="Aptos"/>
                <w:b/>
                <w:sz w:val="20"/>
                <w:u w:val="single"/>
                <w:lang w:val="en-IE"/>
              </w:rPr>
              <w:t>–</w:t>
            </w:r>
            <w:r w:rsidRPr="002937C9">
              <w:rPr>
                <w:rFonts w:ascii="Aptos" w:hAnsi="Aptos"/>
                <w:b/>
                <w:sz w:val="20"/>
                <w:u w:val="single"/>
                <w:lang w:val="en-IE"/>
              </w:rPr>
              <w:t xml:space="preserve"> </w:t>
            </w:r>
            <w:r w:rsidR="008C1594">
              <w:rPr>
                <w:rFonts w:ascii="Aptos" w:hAnsi="Aptos"/>
                <w:b/>
                <w:sz w:val="20"/>
                <w:u w:val="single"/>
                <w:lang w:val="en-IE"/>
              </w:rPr>
              <w:t>Number</w:t>
            </w:r>
          </w:p>
          <w:p w14:paraId="62DF1F16" w14:textId="6264BE35" w:rsidR="00F7667B" w:rsidRPr="00F7667B" w:rsidRDefault="00491899" w:rsidP="00C055D4">
            <w:pPr>
              <w:pStyle w:val="InstructionsText2"/>
              <w:rPr>
                <w:rFonts w:asciiTheme="minorHAnsi" w:hAnsiTheme="minorHAnsi"/>
                <w:lang w:val="en-US"/>
              </w:rPr>
            </w:pPr>
            <w:r w:rsidRPr="00C852DE">
              <w:rPr>
                <w:rFonts w:asciiTheme="minorHAnsi" w:hAnsiTheme="minorHAnsi"/>
                <w:sz w:val="20"/>
                <w:lang w:val="en-IE"/>
              </w:rPr>
              <w:t xml:space="preserve">Indicate Transfers (to Self-hosted) </w:t>
            </w:r>
            <w:r w:rsidR="00DD0EED" w:rsidRPr="00C852DE">
              <w:rPr>
                <w:rFonts w:asciiTheme="minorHAnsi" w:hAnsiTheme="minorHAnsi"/>
                <w:sz w:val="20"/>
                <w:lang w:val="en-IE"/>
              </w:rPr>
              <w:t>–</w:t>
            </w:r>
            <w:r w:rsidRPr="00C852DE">
              <w:rPr>
                <w:rFonts w:asciiTheme="minorHAnsi" w:hAnsiTheme="minorHAnsi"/>
                <w:sz w:val="20"/>
                <w:lang w:val="en-IE"/>
              </w:rPr>
              <w:t xml:space="preserve"> </w:t>
            </w:r>
            <w:r w:rsidR="00DD0EED" w:rsidRPr="00C852DE">
              <w:rPr>
                <w:rFonts w:asciiTheme="minorHAnsi" w:hAnsiTheme="minorHAnsi"/>
                <w:sz w:val="20"/>
                <w:lang w:val="en-IE"/>
              </w:rPr>
              <w:t>Number of transfers</w:t>
            </w:r>
            <w:r w:rsidRPr="00C852DE">
              <w:rPr>
                <w:rFonts w:asciiTheme="minorHAnsi" w:hAnsiTheme="minorHAnsi"/>
                <w:sz w:val="20"/>
                <w:lang w:val="en-IE"/>
              </w:rPr>
              <w:t xml:space="preserve"> during the reference year.</w:t>
            </w:r>
          </w:p>
        </w:tc>
      </w:tr>
      <w:tr w:rsidR="005E211E" w:rsidRPr="009B282E" w14:paraId="282459E7" w14:textId="77777777" w:rsidTr="002425D3">
        <w:tc>
          <w:tcPr>
            <w:tcW w:w="1673" w:type="dxa"/>
            <w:tcBorders>
              <w:top w:val="single" w:sz="4" w:space="0" w:color="auto"/>
              <w:left w:val="single" w:sz="4" w:space="0" w:color="auto"/>
              <w:bottom w:val="single" w:sz="4" w:space="0" w:color="auto"/>
              <w:right w:val="single" w:sz="4" w:space="0" w:color="auto"/>
            </w:tcBorders>
            <w:vAlign w:val="center"/>
          </w:tcPr>
          <w:p w14:paraId="522A3E95" w14:textId="0FA73FAD" w:rsidR="00B6758A" w:rsidRPr="009275BC" w:rsidRDefault="00D56208"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C01</w:t>
            </w:r>
            <w:r w:rsidR="00055CE9">
              <w:rPr>
                <w:rStyle w:val="FormatvorlageInstructionsTabelleText"/>
                <w:rFonts w:asciiTheme="minorHAnsi" w:hAnsiTheme="minorHAnsi"/>
              </w:rPr>
              <w:t>8</w:t>
            </w:r>
            <w:r w:rsidRPr="009275BC">
              <w:rPr>
                <w:rStyle w:val="FormatvorlageInstructionsTabelleText"/>
                <w:rFonts w:asciiTheme="minorHAnsi" w:hAnsiTheme="minorHAnsi"/>
              </w:rPr>
              <w:t>0</w:t>
            </w:r>
          </w:p>
        </w:tc>
        <w:tc>
          <w:tcPr>
            <w:tcW w:w="7616" w:type="dxa"/>
            <w:tcBorders>
              <w:top w:val="nil"/>
              <w:left w:val="single" w:sz="4" w:space="0" w:color="auto"/>
              <w:bottom w:val="single" w:sz="8" w:space="0" w:color="auto"/>
              <w:right w:val="single" w:sz="4" w:space="0" w:color="auto"/>
            </w:tcBorders>
            <w:vAlign w:val="center"/>
          </w:tcPr>
          <w:p w14:paraId="39DCDD7E" w14:textId="2922F319" w:rsidR="00491899" w:rsidRDefault="00491899" w:rsidP="00B6758A">
            <w:pPr>
              <w:pStyle w:val="InstructionsText2"/>
              <w:rPr>
                <w:rFonts w:asciiTheme="minorHAnsi" w:hAnsiTheme="minorHAnsi"/>
                <w:sz w:val="20"/>
                <w:lang w:val="en-IE"/>
              </w:rPr>
            </w:pPr>
            <w:r w:rsidRPr="002937C9">
              <w:rPr>
                <w:rFonts w:ascii="Aptos" w:hAnsi="Aptos"/>
                <w:b/>
                <w:sz w:val="20"/>
                <w:u w:val="single"/>
                <w:lang w:val="en-IE"/>
              </w:rPr>
              <w:t xml:space="preserve">Transfers (from Self-hosted) - </w:t>
            </w:r>
            <w:r w:rsidR="00DD0EED">
              <w:rPr>
                <w:rFonts w:ascii="Aptos" w:hAnsi="Aptos"/>
                <w:b/>
                <w:sz w:val="20"/>
                <w:u w:val="single"/>
                <w:lang w:val="en-IE"/>
              </w:rPr>
              <w:t>Number</w:t>
            </w:r>
          </w:p>
          <w:p w14:paraId="39AFCBA5" w14:textId="6BBD01BE" w:rsidR="00F7667B" w:rsidRPr="00F7667B" w:rsidRDefault="00491899" w:rsidP="00C055D4">
            <w:pPr>
              <w:pStyle w:val="InstructionsText2"/>
              <w:rPr>
                <w:rFonts w:asciiTheme="minorHAnsi" w:hAnsiTheme="minorHAnsi"/>
                <w:sz w:val="20"/>
                <w:lang w:val="en-US"/>
              </w:rPr>
            </w:pPr>
            <w:r w:rsidRPr="002937C9">
              <w:rPr>
                <w:rFonts w:asciiTheme="minorHAnsi" w:hAnsiTheme="minorHAnsi"/>
                <w:sz w:val="20"/>
                <w:lang w:val="en-IE"/>
              </w:rPr>
              <w:t xml:space="preserve">Indicate Transfers (from Self-hosted) </w:t>
            </w:r>
            <w:r w:rsidR="00DD0EED" w:rsidRPr="002937C9">
              <w:rPr>
                <w:rFonts w:asciiTheme="minorHAnsi" w:hAnsiTheme="minorHAnsi"/>
                <w:sz w:val="20"/>
                <w:lang w:val="en-IE"/>
              </w:rPr>
              <w:t>–</w:t>
            </w:r>
            <w:r w:rsidRPr="002937C9">
              <w:rPr>
                <w:rFonts w:asciiTheme="minorHAnsi" w:hAnsiTheme="minorHAnsi"/>
                <w:sz w:val="20"/>
                <w:lang w:val="en-IE"/>
              </w:rPr>
              <w:t xml:space="preserve"> </w:t>
            </w:r>
            <w:r w:rsidR="00DD0EED" w:rsidRPr="002937C9">
              <w:rPr>
                <w:rFonts w:asciiTheme="minorHAnsi" w:hAnsiTheme="minorHAnsi"/>
                <w:sz w:val="20"/>
                <w:lang w:val="en-IE"/>
              </w:rPr>
              <w:t>Number of transfers</w:t>
            </w:r>
            <w:r w:rsidRPr="002937C9">
              <w:rPr>
                <w:rFonts w:asciiTheme="minorHAnsi" w:hAnsiTheme="minorHAnsi"/>
                <w:sz w:val="20"/>
                <w:lang w:val="en-IE"/>
              </w:rPr>
              <w:t xml:space="preserve"> during the reference year.</w:t>
            </w:r>
          </w:p>
        </w:tc>
      </w:tr>
    </w:tbl>
    <w:p w14:paraId="7F4A6759" w14:textId="3CA31CEE" w:rsidR="00B66FD6" w:rsidRDefault="009A679A" w:rsidP="00CB14A2">
      <w:pPr>
        <w:pStyle w:val="Heading3"/>
        <w:rPr>
          <w:lang w:val="en-GB"/>
        </w:rPr>
      </w:pPr>
      <w:bookmarkStart w:id="232" w:name="_Toc223086580"/>
      <w:bookmarkStart w:id="233" w:name="_Toc223086674"/>
      <w:bookmarkStart w:id="234" w:name="_Toc223086768"/>
      <w:bookmarkStart w:id="235" w:name="_Toc223086862"/>
      <w:bookmarkStart w:id="236" w:name="_Toc223086581"/>
      <w:bookmarkStart w:id="237" w:name="_Toc223086675"/>
      <w:bookmarkStart w:id="238" w:name="_Toc223086769"/>
      <w:bookmarkStart w:id="239" w:name="_Toc223086863"/>
      <w:bookmarkStart w:id="240" w:name="_Toc221355991"/>
      <w:bookmarkStart w:id="241" w:name="_Toc223104857"/>
      <w:bookmarkEnd w:id="232"/>
      <w:bookmarkEnd w:id="233"/>
      <w:bookmarkEnd w:id="234"/>
      <w:bookmarkEnd w:id="235"/>
      <w:bookmarkEnd w:id="236"/>
      <w:bookmarkEnd w:id="237"/>
      <w:bookmarkEnd w:id="238"/>
      <w:bookmarkEnd w:id="239"/>
      <w:r w:rsidRPr="009B282E">
        <w:rPr>
          <w:lang w:val="en-GB"/>
        </w:rPr>
        <w:t>AML</w:t>
      </w:r>
      <w:r w:rsidR="002252E7" w:rsidRPr="009B282E">
        <w:rPr>
          <w:lang w:val="en-GB"/>
        </w:rPr>
        <w:t xml:space="preserve">.04.11 </w:t>
      </w:r>
      <w:r w:rsidR="007D3DA7" w:rsidRPr="009B282E">
        <w:rPr>
          <w:lang w:val="en-GB"/>
        </w:rPr>
        <w:t xml:space="preserve">Management of </w:t>
      </w:r>
      <w:r w:rsidR="0044435A" w:rsidRPr="009B282E">
        <w:rPr>
          <w:lang w:val="en-GB"/>
        </w:rPr>
        <w:t>U</w:t>
      </w:r>
      <w:r w:rsidR="007D3DA7" w:rsidRPr="009B282E">
        <w:rPr>
          <w:lang w:val="en-GB"/>
        </w:rPr>
        <w:t>CITS</w:t>
      </w:r>
      <w:r w:rsidR="00764CC8" w:rsidRPr="009B282E">
        <w:rPr>
          <w:lang w:val="en-GB"/>
        </w:rPr>
        <w:t xml:space="preserve"> </w:t>
      </w:r>
      <w:r w:rsidR="009A4591">
        <w:rPr>
          <w:lang w:val="en-GB"/>
        </w:rPr>
        <w:t>and</w:t>
      </w:r>
      <w:r w:rsidR="00764CC8" w:rsidRPr="009B282E">
        <w:rPr>
          <w:lang w:val="en-GB"/>
        </w:rPr>
        <w:t xml:space="preserve"> AIFs</w:t>
      </w:r>
      <w:bookmarkEnd w:id="240"/>
      <w:bookmarkEnd w:id="241"/>
    </w:p>
    <w:p w14:paraId="3D974535" w14:textId="77777777" w:rsidR="006B6D53" w:rsidRPr="00A017EB" w:rsidRDefault="006B6D53" w:rsidP="006B6D53">
      <w:pPr>
        <w:rPr>
          <w:rFonts w:asciiTheme="minorHAnsi" w:hAnsiTheme="minorHAnsi"/>
          <w:b/>
          <w:bCs/>
          <w:iCs/>
        </w:rPr>
      </w:pPr>
      <w:r w:rsidRPr="00A017EB">
        <w:rPr>
          <w:rFonts w:asciiTheme="minorHAnsi" w:hAnsiTheme="minorHAnsi"/>
          <w:b/>
          <w:bCs/>
          <w:iCs/>
        </w:rPr>
        <w:t>Template Remarks</w:t>
      </w:r>
    </w:p>
    <w:p w14:paraId="6F46DE6A" w14:textId="61A22EF0" w:rsidR="006B6D53" w:rsidRDefault="006B6D53" w:rsidP="006B6D53">
      <w:pPr>
        <w:jc w:val="both"/>
        <w:rPr>
          <w:rFonts w:asciiTheme="minorHAnsi" w:hAnsiTheme="minorHAnsi"/>
          <w:bCs/>
          <w:iCs/>
        </w:rPr>
      </w:pPr>
      <w:r w:rsidRPr="00A017EB">
        <w:rPr>
          <w:rFonts w:asciiTheme="minorHAnsi" w:hAnsiTheme="minorHAnsi"/>
          <w:lang w:val="en-GB"/>
        </w:rPr>
        <w:t xml:space="preserve">Fill out this template if you </w:t>
      </w:r>
      <w:r w:rsidRPr="00A017EB">
        <w:rPr>
          <w:rFonts w:asciiTheme="minorHAnsi" w:hAnsiTheme="minorHAnsi"/>
        </w:rPr>
        <w:t xml:space="preserve">offer some of these services and/or products, normally this template is applicable for </w:t>
      </w:r>
      <w:r>
        <w:rPr>
          <w:rFonts w:asciiTheme="minorHAnsi" w:hAnsiTheme="minorHAnsi"/>
        </w:rPr>
        <w:t>AMC</w:t>
      </w:r>
      <w:r w:rsidRPr="00A017EB">
        <w:rPr>
          <w:rFonts w:asciiTheme="minorHAnsi" w:hAnsiTheme="minorHAnsi"/>
        </w:rPr>
        <w:t>.</w:t>
      </w:r>
    </w:p>
    <w:p w14:paraId="65106ECD" w14:textId="659B3AF6" w:rsidR="00764CC8" w:rsidRPr="009B282E" w:rsidRDefault="00764CC8" w:rsidP="00414414">
      <w:pPr>
        <w:pStyle w:val="Heading3"/>
        <w:numPr>
          <w:ilvl w:val="0"/>
          <w:numId w:val="0"/>
        </w:numPr>
        <w:ind w:left="720"/>
        <w:rPr>
          <w:lang w:val="en-GB"/>
        </w:rPr>
      </w:pPr>
      <w:bookmarkStart w:id="242" w:name="_Toc221355992"/>
      <w:bookmarkStart w:id="243" w:name="_Toc223104858"/>
      <w:r w:rsidRPr="009B282E">
        <w:rPr>
          <w:lang w:val="en-GB"/>
        </w:rPr>
        <w:t>Management of UCITS</w:t>
      </w:r>
      <w:bookmarkEnd w:id="242"/>
      <w:bookmarkEnd w:id="243"/>
    </w:p>
    <w:p w14:paraId="00AA69F3" w14:textId="247E598E" w:rsidR="00AC55FA" w:rsidRPr="00340232" w:rsidRDefault="00AC55FA" w:rsidP="00231318">
      <w:pPr>
        <w:jc w:val="both"/>
        <w:rPr>
          <w:rFonts w:asciiTheme="minorHAnsi" w:hAnsiTheme="minorHAnsi"/>
          <w:lang w:val="en-GB"/>
        </w:rPr>
      </w:pPr>
      <w:r w:rsidRPr="00340232">
        <w:rPr>
          <w:rFonts w:asciiTheme="minorHAnsi" w:hAnsiTheme="minorHAnsi"/>
          <w:lang w:val="en-GB"/>
        </w:rPr>
        <w:t>An undertaking for collective investment in transferable securities (UCITS) is a collective investment vehicle that raises capital from the public and invests it, with due regard to specific restrictions on investments and diversification requirements. The characteristics of a UCITS have been set down in the UCITS Directive (2009/65/EC).</w:t>
      </w:r>
    </w:p>
    <w:tbl>
      <w:tblPr>
        <w:tblW w:w="92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3"/>
        <w:gridCol w:w="7616"/>
      </w:tblGrid>
      <w:tr w:rsidR="005E211E" w:rsidRPr="009B282E" w14:paraId="687A1E06" w14:textId="77777777" w:rsidTr="7C6581AF">
        <w:tc>
          <w:tcPr>
            <w:tcW w:w="16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87DAB6" w14:textId="77777777" w:rsidR="0097506C" w:rsidRPr="009275BC" w:rsidRDefault="0097506C" w:rsidP="00F32516">
            <w:pPr>
              <w:pStyle w:val="InstructionsText"/>
              <w:rPr>
                <w:rStyle w:val="InstructionsTabelleText"/>
                <w:rFonts w:asciiTheme="minorHAnsi" w:hAnsiTheme="minorHAnsi"/>
                <w:bCs w:val="0"/>
                <w:lang w:eastAsia="en-US"/>
              </w:rPr>
            </w:pPr>
            <w:r w:rsidRPr="009275BC">
              <w:rPr>
                <w:rStyle w:val="InstructionsTabelleText"/>
                <w:rFonts w:asciiTheme="minorHAnsi" w:hAnsiTheme="minorHAnsi"/>
              </w:rPr>
              <w:t>Column code</w:t>
            </w:r>
          </w:p>
        </w:tc>
        <w:tc>
          <w:tcPr>
            <w:tcW w:w="76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DE3A95" w14:textId="77777777" w:rsidR="0097506C" w:rsidRPr="009275BC" w:rsidRDefault="0097506C" w:rsidP="00F32516">
            <w:pPr>
              <w:pStyle w:val="InstructionsText"/>
              <w:rPr>
                <w:rStyle w:val="InstructionsTabelleText"/>
                <w:rFonts w:asciiTheme="minorHAnsi" w:hAnsiTheme="minorHAnsi"/>
                <w:bCs w:val="0"/>
                <w:lang w:eastAsia="en-US"/>
              </w:rPr>
            </w:pPr>
            <w:r w:rsidRPr="009275BC">
              <w:rPr>
                <w:rStyle w:val="InstructionsTabelleText"/>
                <w:rFonts w:asciiTheme="minorHAnsi" w:hAnsiTheme="minorHAnsi"/>
              </w:rPr>
              <w:t>Legal references and instructions</w:t>
            </w:r>
          </w:p>
        </w:tc>
      </w:tr>
      <w:tr w:rsidR="005E211E" w:rsidRPr="009B282E" w14:paraId="67A01BCD" w14:textId="77777777" w:rsidTr="001F159F">
        <w:tc>
          <w:tcPr>
            <w:tcW w:w="1673" w:type="dxa"/>
            <w:tcBorders>
              <w:top w:val="single" w:sz="4" w:space="0" w:color="auto"/>
              <w:left w:val="single" w:sz="4" w:space="0" w:color="auto"/>
              <w:bottom w:val="single" w:sz="4" w:space="0" w:color="auto"/>
              <w:right w:val="single" w:sz="4" w:space="0" w:color="auto"/>
            </w:tcBorders>
            <w:vAlign w:val="center"/>
          </w:tcPr>
          <w:p w14:paraId="2FDEB95A" w14:textId="125C1BF1" w:rsidR="00D23266" w:rsidRPr="009275BC" w:rsidRDefault="00103ACA"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C0010</w:t>
            </w:r>
          </w:p>
        </w:tc>
        <w:tc>
          <w:tcPr>
            <w:tcW w:w="7616" w:type="dxa"/>
            <w:tcBorders>
              <w:top w:val="single" w:sz="8" w:space="0" w:color="auto"/>
              <w:left w:val="single" w:sz="4" w:space="0" w:color="auto"/>
              <w:bottom w:val="single" w:sz="4" w:space="0" w:color="auto"/>
              <w:right w:val="single" w:sz="4" w:space="0" w:color="auto"/>
            </w:tcBorders>
            <w:vAlign w:val="center"/>
          </w:tcPr>
          <w:p w14:paraId="63DC75EB" w14:textId="77777777" w:rsidR="00491899" w:rsidRDefault="00491899" w:rsidP="00D23266">
            <w:pPr>
              <w:pStyle w:val="InstructionsText2"/>
              <w:rPr>
                <w:rFonts w:asciiTheme="minorHAnsi" w:hAnsiTheme="minorHAnsi"/>
                <w:sz w:val="20"/>
                <w:szCs w:val="20"/>
                <w:lang w:val="en-US"/>
              </w:rPr>
            </w:pPr>
            <w:r w:rsidRPr="00DC23AC">
              <w:rPr>
                <w:rFonts w:ascii="Aptos" w:hAnsi="Aptos"/>
                <w:b/>
                <w:sz w:val="20"/>
                <w:szCs w:val="20"/>
                <w:u w:val="single"/>
                <w:lang w:val="en-US"/>
              </w:rPr>
              <w:t>Management of UCITS - Retail Investors</w:t>
            </w:r>
          </w:p>
          <w:p w14:paraId="1BD36C8A" w14:textId="77777777" w:rsidR="00D35054" w:rsidRDefault="00D35054" w:rsidP="00D23266">
            <w:pPr>
              <w:pStyle w:val="InstructionsText2"/>
              <w:rPr>
                <w:rFonts w:asciiTheme="minorHAnsi" w:hAnsiTheme="minorHAnsi"/>
                <w:sz w:val="20"/>
                <w:szCs w:val="20"/>
                <w:lang w:val="en-US"/>
              </w:rPr>
            </w:pPr>
            <w:r w:rsidRPr="00B83449">
              <w:rPr>
                <w:rFonts w:asciiTheme="minorHAnsi" w:hAnsiTheme="minorHAnsi"/>
                <w:sz w:val="20"/>
                <w:szCs w:val="20"/>
                <w:lang w:val="en-US"/>
              </w:rPr>
              <w:t>The person investing in the UCIT</w:t>
            </w:r>
            <w:r w:rsidR="00455B02">
              <w:rPr>
                <w:rFonts w:asciiTheme="minorHAnsi" w:hAnsiTheme="minorHAnsi"/>
                <w:sz w:val="20"/>
                <w:szCs w:val="20"/>
                <w:lang w:val="en-US"/>
              </w:rPr>
              <w:t>S</w:t>
            </w:r>
            <w:r w:rsidRPr="00B83449">
              <w:rPr>
                <w:rFonts w:asciiTheme="minorHAnsi" w:hAnsiTheme="minorHAnsi"/>
                <w:sz w:val="20"/>
                <w:szCs w:val="20"/>
                <w:lang w:val="en-US"/>
              </w:rPr>
              <w:t xml:space="preserve"> (generally by purchasing the shares issued by such UCIT</w:t>
            </w:r>
            <w:r w:rsidR="00762391">
              <w:rPr>
                <w:rFonts w:asciiTheme="minorHAnsi" w:hAnsiTheme="minorHAnsi"/>
                <w:sz w:val="20"/>
                <w:szCs w:val="20"/>
                <w:lang w:val="en-US"/>
              </w:rPr>
              <w:t>S</w:t>
            </w:r>
            <w:r w:rsidRPr="00B83449">
              <w:rPr>
                <w:rFonts w:asciiTheme="minorHAnsi" w:hAnsiTheme="minorHAnsi"/>
                <w:sz w:val="20"/>
                <w:szCs w:val="20"/>
                <w:lang w:val="en-US"/>
              </w:rPr>
              <w:t>), where this person is retail client as defined in MiFID. Where the obliged entity is an asset management company which does not have access to this information (as is often the case in practice), this field is not mandatory.</w:t>
            </w:r>
          </w:p>
          <w:p w14:paraId="0E798997" w14:textId="4EC45FF1" w:rsidR="00D35054" w:rsidRPr="00B83449" w:rsidRDefault="00313F5D" w:rsidP="00D23266">
            <w:pPr>
              <w:pStyle w:val="InstructionsText2"/>
              <w:rPr>
                <w:rFonts w:asciiTheme="minorHAnsi" w:hAnsiTheme="minorHAnsi"/>
                <w:sz w:val="20"/>
                <w:szCs w:val="20"/>
                <w:lang w:val="en-US"/>
              </w:rPr>
            </w:pPr>
            <w:r>
              <w:rPr>
                <w:rFonts w:asciiTheme="minorHAnsi" w:hAnsiTheme="minorHAnsi"/>
                <w:sz w:val="20"/>
                <w:szCs w:val="20"/>
                <w:lang w:val="en-US"/>
              </w:rPr>
              <w:t>Indicate the number of customers who are retail investors</w:t>
            </w:r>
            <w:r w:rsidR="19F241C7" w:rsidRPr="103B0696">
              <w:rPr>
                <w:rFonts w:asciiTheme="minorHAnsi" w:hAnsiTheme="minorHAnsi"/>
                <w:sz w:val="20"/>
                <w:szCs w:val="20"/>
                <w:lang w:val="en-US"/>
              </w:rPr>
              <w:t>, as of the end of the reference year</w:t>
            </w:r>
            <w:r w:rsidRPr="103B0696">
              <w:rPr>
                <w:rFonts w:asciiTheme="minorHAnsi" w:hAnsiTheme="minorHAnsi"/>
                <w:sz w:val="20"/>
                <w:szCs w:val="20"/>
                <w:lang w:val="en-US"/>
              </w:rPr>
              <w:t>.</w:t>
            </w:r>
          </w:p>
        </w:tc>
      </w:tr>
      <w:tr w:rsidR="005E211E" w:rsidRPr="009B282E" w14:paraId="39FD78F4" w14:textId="77777777" w:rsidTr="001F159F">
        <w:tc>
          <w:tcPr>
            <w:tcW w:w="1673" w:type="dxa"/>
            <w:tcBorders>
              <w:top w:val="single" w:sz="4" w:space="0" w:color="auto"/>
              <w:left w:val="single" w:sz="4" w:space="0" w:color="auto"/>
              <w:bottom w:val="single" w:sz="4" w:space="0" w:color="auto"/>
              <w:right w:val="single" w:sz="4" w:space="0" w:color="auto"/>
            </w:tcBorders>
            <w:vAlign w:val="center"/>
          </w:tcPr>
          <w:p w14:paraId="04577F49" w14:textId="61EDBEE5" w:rsidR="00D23266" w:rsidRPr="009275BC" w:rsidRDefault="00103ACA"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w:t>
            </w:r>
            <w:r w:rsidR="008E68CC" w:rsidRPr="009275BC">
              <w:rPr>
                <w:rStyle w:val="FormatvorlageInstructionsTabelleText"/>
                <w:rFonts w:asciiTheme="minorHAnsi" w:hAnsiTheme="minorHAnsi"/>
              </w:rPr>
              <w:t>20</w:t>
            </w:r>
          </w:p>
        </w:tc>
        <w:tc>
          <w:tcPr>
            <w:tcW w:w="7616" w:type="dxa"/>
            <w:tcBorders>
              <w:top w:val="nil"/>
              <w:left w:val="single" w:sz="4" w:space="0" w:color="auto"/>
              <w:bottom w:val="nil"/>
              <w:right w:val="single" w:sz="4" w:space="0" w:color="auto"/>
            </w:tcBorders>
            <w:vAlign w:val="center"/>
          </w:tcPr>
          <w:p w14:paraId="1475A8B0" w14:textId="77777777" w:rsidR="00491899" w:rsidRDefault="00491899" w:rsidP="00D23266">
            <w:pPr>
              <w:pStyle w:val="InstructionsText2"/>
              <w:rPr>
                <w:rFonts w:asciiTheme="minorHAnsi" w:hAnsiTheme="minorHAnsi"/>
                <w:sz w:val="20"/>
                <w:szCs w:val="20"/>
                <w:lang w:val="en-US"/>
              </w:rPr>
            </w:pPr>
            <w:r w:rsidRPr="00E624CE">
              <w:rPr>
                <w:rFonts w:ascii="Aptos" w:hAnsi="Aptos"/>
                <w:b/>
                <w:sz w:val="20"/>
                <w:szCs w:val="20"/>
                <w:u w:val="single"/>
                <w:lang w:val="en-US"/>
              </w:rPr>
              <w:t>Management of UCITS - Professional Investors</w:t>
            </w:r>
          </w:p>
          <w:p w14:paraId="53F1BD24" w14:textId="77777777" w:rsidR="002061C5" w:rsidRDefault="002061C5" w:rsidP="00D23266">
            <w:pPr>
              <w:pStyle w:val="InstructionsText2"/>
              <w:rPr>
                <w:rFonts w:asciiTheme="minorHAnsi" w:hAnsiTheme="minorHAnsi"/>
                <w:sz w:val="20"/>
                <w:szCs w:val="20"/>
                <w:lang w:val="en-US"/>
              </w:rPr>
            </w:pPr>
            <w:r w:rsidRPr="00B83449">
              <w:rPr>
                <w:rFonts w:asciiTheme="minorHAnsi" w:hAnsiTheme="minorHAnsi"/>
                <w:sz w:val="20"/>
                <w:szCs w:val="20"/>
                <w:lang w:val="en-US"/>
              </w:rPr>
              <w:t>The person investing in the UCIT (generally by purchasing the shares issued by such UCIT), where this person is a professional client as defined in MiFID. Where the obliged entity is an asset management company which does not have access to this information (as is often the case in practice), this field is not mandatory.</w:t>
            </w:r>
          </w:p>
          <w:p w14:paraId="2BBAD801" w14:textId="6B955723" w:rsidR="002061C5" w:rsidRPr="00B83449" w:rsidRDefault="00B468E2" w:rsidP="00D23266">
            <w:pPr>
              <w:pStyle w:val="InstructionsText2"/>
              <w:rPr>
                <w:rFonts w:asciiTheme="minorHAnsi" w:hAnsiTheme="minorHAnsi"/>
                <w:sz w:val="20"/>
                <w:szCs w:val="20"/>
                <w:lang w:val="en-US"/>
              </w:rPr>
            </w:pPr>
            <w:r>
              <w:rPr>
                <w:rFonts w:asciiTheme="minorHAnsi" w:hAnsiTheme="minorHAnsi"/>
                <w:sz w:val="20"/>
                <w:szCs w:val="20"/>
                <w:lang w:val="en-US"/>
              </w:rPr>
              <w:t>Indicate the number of customers who are professional investors</w:t>
            </w:r>
            <w:r w:rsidR="51D6CB82" w:rsidRPr="3A133D1F">
              <w:rPr>
                <w:rFonts w:asciiTheme="minorHAnsi" w:hAnsiTheme="minorHAnsi"/>
                <w:sz w:val="20"/>
                <w:szCs w:val="20"/>
                <w:lang w:val="en-US"/>
              </w:rPr>
              <w:t>, as of the end of the reference year</w:t>
            </w:r>
            <w:r>
              <w:rPr>
                <w:rFonts w:asciiTheme="minorHAnsi" w:hAnsiTheme="minorHAnsi"/>
                <w:sz w:val="20"/>
                <w:szCs w:val="20"/>
                <w:lang w:val="en-US"/>
              </w:rPr>
              <w:t>.</w:t>
            </w:r>
          </w:p>
        </w:tc>
      </w:tr>
      <w:tr w:rsidR="005E211E" w:rsidRPr="009B282E" w14:paraId="21E056A5" w14:textId="77777777" w:rsidTr="7C6581AF">
        <w:tc>
          <w:tcPr>
            <w:tcW w:w="1673" w:type="dxa"/>
            <w:tcBorders>
              <w:top w:val="single" w:sz="4" w:space="0" w:color="auto"/>
              <w:left w:val="single" w:sz="4" w:space="0" w:color="auto"/>
              <w:bottom w:val="single" w:sz="4" w:space="0" w:color="auto"/>
              <w:right w:val="single" w:sz="4" w:space="0" w:color="auto"/>
            </w:tcBorders>
            <w:vAlign w:val="center"/>
          </w:tcPr>
          <w:p w14:paraId="4C15F345" w14:textId="07AD7408" w:rsidR="00D23266" w:rsidRPr="009275BC" w:rsidRDefault="008E68CC"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C0030</w:t>
            </w:r>
          </w:p>
        </w:tc>
        <w:tc>
          <w:tcPr>
            <w:tcW w:w="7616" w:type="dxa"/>
            <w:tcBorders>
              <w:top w:val="single" w:sz="4" w:space="0" w:color="000000" w:themeColor="text1"/>
              <w:left w:val="single" w:sz="4" w:space="0" w:color="000000" w:themeColor="text1"/>
              <w:bottom w:val="single" w:sz="8" w:space="0" w:color="auto"/>
              <w:right w:val="single" w:sz="4" w:space="0" w:color="000000" w:themeColor="text1"/>
            </w:tcBorders>
            <w:vAlign w:val="center"/>
          </w:tcPr>
          <w:p w14:paraId="0B91F749" w14:textId="77777777" w:rsidR="00491899" w:rsidRDefault="00491899" w:rsidP="00D23266">
            <w:pPr>
              <w:pStyle w:val="InstructionsText2"/>
              <w:rPr>
                <w:rFonts w:asciiTheme="minorHAnsi" w:hAnsiTheme="minorHAnsi"/>
                <w:sz w:val="20"/>
                <w:szCs w:val="20"/>
                <w:lang w:val="en-US"/>
              </w:rPr>
            </w:pPr>
            <w:r w:rsidRPr="00E624CE">
              <w:rPr>
                <w:rFonts w:ascii="Aptos" w:hAnsi="Aptos"/>
                <w:b/>
                <w:sz w:val="20"/>
                <w:szCs w:val="20"/>
                <w:u w:val="single"/>
                <w:lang w:val="en-US"/>
              </w:rPr>
              <w:t>Management of UCITS - Total AUM</w:t>
            </w:r>
          </w:p>
          <w:p w14:paraId="5283099C" w14:textId="13944481" w:rsidR="00491899" w:rsidRDefault="00491899" w:rsidP="00D23266">
            <w:pPr>
              <w:pStyle w:val="InstructionsText2"/>
              <w:rPr>
                <w:rFonts w:asciiTheme="minorHAnsi" w:hAnsiTheme="minorHAnsi"/>
                <w:sz w:val="20"/>
                <w:szCs w:val="20"/>
                <w:lang w:val="en-US"/>
              </w:rPr>
            </w:pPr>
            <w:r>
              <w:rPr>
                <w:rFonts w:asciiTheme="minorHAnsi" w:hAnsiTheme="minorHAnsi"/>
                <w:sz w:val="20"/>
                <w:szCs w:val="20"/>
                <w:lang w:val="en-US"/>
              </w:rPr>
              <w:t xml:space="preserve">The concept of Total Asset under Management of UCITSs should refer to the sum as of end of the reference year </w:t>
            </w:r>
            <w:r>
              <w:rPr>
                <w:rFonts w:ascii="Aptos" w:hAnsi="Aptos" w:cs="Aptos"/>
                <w:sz w:val="20"/>
                <w:szCs w:val="20"/>
                <w:lang w:val="en-US"/>
              </w:rPr>
              <w:t>“</w:t>
            </w:r>
            <w:r>
              <w:rPr>
                <w:rFonts w:asciiTheme="minorHAnsi" w:hAnsiTheme="minorHAnsi"/>
                <w:sz w:val="20"/>
                <w:szCs w:val="20"/>
                <w:lang w:val="en-US"/>
              </w:rPr>
              <w:t>Total Net Asset Value</w:t>
            </w:r>
            <w:r>
              <w:rPr>
                <w:rFonts w:ascii="Aptos" w:hAnsi="Aptos" w:cs="Aptos"/>
                <w:sz w:val="20"/>
                <w:szCs w:val="20"/>
                <w:lang w:val="en-US"/>
              </w:rPr>
              <w:t>”</w:t>
            </w:r>
            <w:r>
              <w:rPr>
                <w:rFonts w:asciiTheme="minorHAnsi" w:hAnsiTheme="minorHAnsi"/>
                <w:sz w:val="20"/>
                <w:szCs w:val="20"/>
                <w:lang w:val="en-US"/>
              </w:rPr>
              <w:t xml:space="preserve"> of all UCITS funds managed by the Management Company, as presented in Schedule B of Annex I. of the UCITS Directive (2009/65/EC).</w:t>
            </w:r>
          </w:p>
          <w:p w14:paraId="0122749D" w14:textId="55A0EA28" w:rsidR="006F1662" w:rsidRPr="008A3C01" w:rsidRDefault="00A3160C" w:rsidP="00D23266">
            <w:pPr>
              <w:pStyle w:val="InstructionsText2"/>
              <w:rPr>
                <w:rFonts w:asciiTheme="minorHAnsi" w:hAnsiTheme="minorHAnsi"/>
                <w:sz w:val="20"/>
                <w:szCs w:val="20"/>
                <w:lang w:val="en-US"/>
              </w:rPr>
            </w:pPr>
            <w:r w:rsidRPr="00AD1E2A">
              <w:rPr>
                <w:rFonts w:asciiTheme="minorHAnsi" w:hAnsiTheme="minorHAnsi"/>
                <w:sz w:val="20"/>
                <w:szCs w:val="20"/>
                <w:lang w:val="en-US"/>
              </w:rPr>
              <w:t>Indicate the total assets under management of UCITS</w:t>
            </w:r>
            <w:r w:rsidR="00C62198" w:rsidRPr="00AD1E2A">
              <w:rPr>
                <w:rFonts w:asciiTheme="minorHAnsi" w:hAnsiTheme="minorHAnsi"/>
                <w:sz w:val="20"/>
                <w:szCs w:val="20"/>
                <w:lang w:val="en-US"/>
              </w:rPr>
              <w:t xml:space="preserve"> </w:t>
            </w:r>
            <w:r w:rsidR="00C62198">
              <w:rPr>
                <w:rFonts w:asciiTheme="minorHAnsi" w:hAnsiTheme="minorHAnsi"/>
                <w:sz w:val="20"/>
                <w:szCs w:val="20"/>
                <w:lang w:val="en-US"/>
              </w:rPr>
              <w:t>as of end of the reference year.</w:t>
            </w:r>
          </w:p>
        </w:tc>
      </w:tr>
    </w:tbl>
    <w:p w14:paraId="2CB82385" w14:textId="426BF1B2" w:rsidR="007D3DA7" w:rsidRPr="009B282E" w:rsidRDefault="0044435A" w:rsidP="00414414">
      <w:pPr>
        <w:pStyle w:val="Heading3"/>
        <w:numPr>
          <w:ilvl w:val="0"/>
          <w:numId w:val="0"/>
        </w:numPr>
        <w:ind w:left="1440" w:hanging="720"/>
        <w:rPr>
          <w:lang w:val="en-GB"/>
        </w:rPr>
      </w:pPr>
      <w:bookmarkStart w:id="244" w:name="_Toc221355993"/>
      <w:bookmarkStart w:id="245" w:name="_Toc223104859"/>
      <w:r w:rsidRPr="009B282E">
        <w:rPr>
          <w:lang w:val="en-GB"/>
        </w:rPr>
        <w:t>Management of AIFs</w:t>
      </w:r>
      <w:bookmarkEnd w:id="244"/>
      <w:bookmarkEnd w:id="245"/>
    </w:p>
    <w:p w14:paraId="2AC9B06A" w14:textId="453ECC5E" w:rsidR="00AC55FA" w:rsidRPr="00C8432A" w:rsidRDefault="00827F85" w:rsidP="00003055">
      <w:pPr>
        <w:jc w:val="both"/>
        <w:rPr>
          <w:rFonts w:asciiTheme="minorHAnsi" w:hAnsiTheme="minorHAnsi"/>
          <w:lang w:val="en-GB"/>
        </w:rPr>
      </w:pPr>
      <w:r w:rsidRPr="00C8432A">
        <w:rPr>
          <w:rFonts w:asciiTheme="minorHAnsi" w:hAnsiTheme="minorHAnsi"/>
        </w:rPr>
        <w:t xml:space="preserve">Based on Article </w:t>
      </w:r>
      <w:r w:rsidR="005B17B7" w:rsidRPr="00C8432A">
        <w:rPr>
          <w:rFonts w:asciiTheme="minorHAnsi" w:hAnsiTheme="minorHAnsi"/>
        </w:rPr>
        <w:t>4</w:t>
      </w:r>
      <w:r w:rsidR="006D6177">
        <w:rPr>
          <w:rFonts w:asciiTheme="minorHAnsi" w:hAnsiTheme="minorHAnsi"/>
        </w:rPr>
        <w:t>(</w:t>
      </w:r>
      <w:r w:rsidR="005B17B7" w:rsidRPr="00C8432A">
        <w:rPr>
          <w:rFonts w:asciiTheme="minorHAnsi" w:hAnsiTheme="minorHAnsi"/>
        </w:rPr>
        <w:t>1</w:t>
      </w:r>
      <w:r w:rsidR="006D6177">
        <w:rPr>
          <w:rFonts w:asciiTheme="minorHAnsi" w:hAnsiTheme="minorHAnsi"/>
        </w:rPr>
        <w:t>)</w:t>
      </w:r>
      <w:r w:rsidR="005B17B7" w:rsidRPr="00C8432A">
        <w:rPr>
          <w:rFonts w:asciiTheme="minorHAnsi" w:hAnsiTheme="minorHAnsi"/>
        </w:rPr>
        <w:t>(a) of</w:t>
      </w:r>
      <w:r w:rsidRPr="00C8432A">
        <w:rPr>
          <w:rFonts w:asciiTheme="minorHAnsi" w:hAnsiTheme="minorHAnsi"/>
        </w:rPr>
        <w:t xml:space="preserve"> </w:t>
      </w:r>
      <w:r w:rsidR="00BD291B" w:rsidRPr="00C8432A">
        <w:rPr>
          <w:rFonts w:asciiTheme="minorHAnsi" w:hAnsiTheme="minorHAnsi"/>
        </w:rPr>
        <w:t>Directive 2011/61/EU Alternative Investment Funds (AIFs’) mean collective investment undertakings, including investment compartments thereof, which: (i) raise capital from a number of investors, with a view to investing it in accordance with a defined investment policy for the benefit of those investors; and (ii) do not require authorisation pursuant to Article 5 of Directive 2009/65/EC</w:t>
      </w:r>
    </w:p>
    <w:tbl>
      <w:tblPr>
        <w:tblW w:w="92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3"/>
        <w:gridCol w:w="7616"/>
      </w:tblGrid>
      <w:tr w:rsidR="005E211E" w:rsidRPr="009B282E" w14:paraId="2B84EAC1" w14:textId="77777777" w:rsidTr="0FB424C6">
        <w:tc>
          <w:tcPr>
            <w:tcW w:w="16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3410AE" w14:textId="77777777" w:rsidR="0097506C" w:rsidRPr="009275BC" w:rsidRDefault="0097506C" w:rsidP="00F32516">
            <w:pPr>
              <w:pStyle w:val="InstructionsText"/>
              <w:rPr>
                <w:rStyle w:val="InstructionsTabelleText"/>
                <w:rFonts w:asciiTheme="minorHAnsi" w:hAnsiTheme="minorHAnsi"/>
                <w:bCs w:val="0"/>
                <w:lang w:eastAsia="en-US"/>
              </w:rPr>
            </w:pPr>
            <w:r w:rsidRPr="009275BC">
              <w:rPr>
                <w:rStyle w:val="InstructionsTabelleText"/>
                <w:rFonts w:asciiTheme="minorHAnsi" w:hAnsiTheme="minorHAnsi"/>
              </w:rPr>
              <w:t>Column code</w:t>
            </w:r>
          </w:p>
        </w:tc>
        <w:tc>
          <w:tcPr>
            <w:tcW w:w="76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70AC0C" w14:textId="77777777" w:rsidR="0097506C" w:rsidRPr="009275BC" w:rsidRDefault="0097506C" w:rsidP="00F32516">
            <w:pPr>
              <w:pStyle w:val="InstructionsText"/>
              <w:rPr>
                <w:rStyle w:val="InstructionsTabelleText"/>
                <w:rFonts w:asciiTheme="minorHAnsi" w:hAnsiTheme="minorHAnsi"/>
                <w:bCs w:val="0"/>
                <w:lang w:eastAsia="en-US"/>
              </w:rPr>
            </w:pPr>
            <w:r w:rsidRPr="009275BC">
              <w:rPr>
                <w:rStyle w:val="InstructionsTabelleText"/>
                <w:rFonts w:asciiTheme="minorHAnsi" w:hAnsiTheme="minorHAnsi"/>
              </w:rPr>
              <w:t>Legal references and instructions</w:t>
            </w:r>
          </w:p>
        </w:tc>
      </w:tr>
      <w:tr w:rsidR="005E211E" w:rsidRPr="009B282E" w14:paraId="3DEFE88D" w14:textId="77777777" w:rsidTr="004110A7">
        <w:tc>
          <w:tcPr>
            <w:tcW w:w="1673" w:type="dxa"/>
            <w:tcBorders>
              <w:top w:val="single" w:sz="4" w:space="0" w:color="auto"/>
              <w:left w:val="single" w:sz="4" w:space="0" w:color="auto"/>
              <w:bottom w:val="single" w:sz="4" w:space="0" w:color="auto"/>
              <w:right w:val="single" w:sz="4" w:space="0" w:color="auto"/>
            </w:tcBorders>
            <w:vAlign w:val="center"/>
          </w:tcPr>
          <w:p w14:paraId="252EAFE7" w14:textId="5DA8CC57" w:rsidR="00926E78" w:rsidRPr="009275BC" w:rsidRDefault="008E68CC"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w:t>
            </w:r>
            <w:r w:rsidR="00FD15A5" w:rsidRPr="009275BC">
              <w:rPr>
                <w:rStyle w:val="FormatvorlageInstructionsTabelleText"/>
                <w:rFonts w:asciiTheme="minorHAnsi" w:hAnsiTheme="minorHAnsi"/>
              </w:rPr>
              <w:t>40</w:t>
            </w:r>
          </w:p>
        </w:tc>
        <w:tc>
          <w:tcPr>
            <w:tcW w:w="7616" w:type="dxa"/>
            <w:tcBorders>
              <w:top w:val="single" w:sz="8" w:space="0" w:color="auto"/>
              <w:left w:val="single" w:sz="4" w:space="0" w:color="auto"/>
              <w:bottom w:val="single" w:sz="4" w:space="0" w:color="auto"/>
              <w:right w:val="single" w:sz="4" w:space="0" w:color="auto"/>
            </w:tcBorders>
            <w:vAlign w:val="center"/>
          </w:tcPr>
          <w:p w14:paraId="1469E1E7" w14:textId="77777777" w:rsidR="00491899" w:rsidRDefault="00491899" w:rsidP="00926E78">
            <w:pPr>
              <w:pStyle w:val="InstructionsText2"/>
              <w:rPr>
                <w:rFonts w:asciiTheme="minorHAnsi" w:hAnsiTheme="minorHAnsi"/>
                <w:sz w:val="20"/>
                <w:szCs w:val="20"/>
                <w:lang w:val="en-US"/>
              </w:rPr>
            </w:pPr>
            <w:r w:rsidRPr="00A74311">
              <w:rPr>
                <w:rFonts w:ascii="Aptos" w:hAnsi="Aptos"/>
                <w:b/>
                <w:sz w:val="20"/>
                <w:szCs w:val="20"/>
                <w:u w:val="single"/>
                <w:lang w:val="en-US"/>
              </w:rPr>
              <w:t>Management of AIFs - Retail Investors</w:t>
            </w:r>
          </w:p>
          <w:p w14:paraId="51878A47" w14:textId="77777777" w:rsidR="00B70A97" w:rsidRDefault="00B70A97" w:rsidP="00926E78">
            <w:pPr>
              <w:pStyle w:val="InstructionsText2"/>
              <w:rPr>
                <w:rFonts w:asciiTheme="minorHAnsi" w:hAnsiTheme="minorHAnsi"/>
                <w:sz w:val="20"/>
                <w:szCs w:val="20"/>
                <w:lang w:val="en-US"/>
              </w:rPr>
            </w:pPr>
            <w:r w:rsidRPr="005A2965">
              <w:rPr>
                <w:rFonts w:asciiTheme="minorHAnsi" w:hAnsiTheme="minorHAnsi"/>
                <w:sz w:val="20"/>
                <w:szCs w:val="20"/>
                <w:lang w:val="en-US"/>
              </w:rPr>
              <w:t>The person investing in the AIF (generally by purchasing the shares issued by such AIF), where this person is retail client as defined in MiFID. Where the obliged entity is an asset management company which does not have access to this information (as is often the case in practice), this field is not mandatory.</w:t>
            </w:r>
          </w:p>
          <w:p w14:paraId="0B1EF6D4" w14:textId="4CFB9B45" w:rsidR="00B70A97" w:rsidRPr="005A2965" w:rsidRDefault="00A35260" w:rsidP="00926E78">
            <w:pPr>
              <w:pStyle w:val="InstructionsText2"/>
              <w:rPr>
                <w:rFonts w:asciiTheme="minorHAnsi" w:hAnsiTheme="minorHAnsi"/>
                <w:sz w:val="20"/>
                <w:szCs w:val="20"/>
                <w:lang w:val="en-US"/>
              </w:rPr>
            </w:pPr>
            <w:r>
              <w:rPr>
                <w:rFonts w:asciiTheme="minorHAnsi" w:hAnsiTheme="minorHAnsi"/>
                <w:sz w:val="20"/>
                <w:szCs w:val="20"/>
                <w:lang w:val="en-US"/>
              </w:rPr>
              <w:t>Indicate the number of customers who are retail investors</w:t>
            </w:r>
            <w:r w:rsidR="4E11A785" w:rsidRPr="0FB424C6">
              <w:rPr>
                <w:rFonts w:asciiTheme="minorHAnsi" w:hAnsiTheme="minorHAnsi"/>
                <w:sz w:val="20"/>
                <w:szCs w:val="20"/>
                <w:lang w:val="en-US"/>
              </w:rPr>
              <w:t>, as of the end of the reference year</w:t>
            </w:r>
            <w:r>
              <w:rPr>
                <w:rFonts w:asciiTheme="minorHAnsi" w:hAnsiTheme="minorHAnsi"/>
                <w:sz w:val="20"/>
                <w:szCs w:val="20"/>
                <w:lang w:val="en-US"/>
              </w:rPr>
              <w:t>.</w:t>
            </w:r>
          </w:p>
        </w:tc>
      </w:tr>
      <w:tr w:rsidR="005E211E" w:rsidRPr="009B282E" w14:paraId="38205CEE" w14:textId="77777777" w:rsidTr="004110A7">
        <w:tc>
          <w:tcPr>
            <w:tcW w:w="1673" w:type="dxa"/>
            <w:tcBorders>
              <w:top w:val="single" w:sz="4" w:space="0" w:color="auto"/>
              <w:left w:val="single" w:sz="4" w:space="0" w:color="auto"/>
              <w:bottom w:val="single" w:sz="4" w:space="0" w:color="auto"/>
              <w:right w:val="single" w:sz="4" w:space="0" w:color="auto"/>
            </w:tcBorders>
            <w:vAlign w:val="center"/>
          </w:tcPr>
          <w:p w14:paraId="37B93247" w14:textId="08F65B70" w:rsidR="00926E78" w:rsidRPr="009275BC" w:rsidRDefault="00C45D1F"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w:t>
            </w:r>
            <w:r w:rsidR="00FD15A5" w:rsidRPr="009275BC">
              <w:rPr>
                <w:rStyle w:val="FormatvorlageInstructionsTabelleText"/>
                <w:rFonts w:asciiTheme="minorHAnsi" w:hAnsiTheme="minorHAnsi"/>
              </w:rPr>
              <w:t>50</w:t>
            </w:r>
          </w:p>
        </w:tc>
        <w:tc>
          <w:tcPr>
            <w:tcW w:w="7616" w:type="dxa"/>
            <w:tcBorders>
              <w:top w:val="nil"/>
              <w:left w:val="single" w:sz="4" w:space="0" w:color="auto"/>
              <w:bottom w:val="nil"/>
              <w:right w:val="single" w:sz="4" w:space="0" w:color="auto"/>
            </w:tcBorders>
            <w:vAlign w:val="center"/>
          </w:tcPr>
          <w:p w14:paraId="1656DEEA" w14:textId="77777777" w:rsidR="00491899" w:rsidRDefault="00491899" w:rsidP="00926E78">
            <w:pPr>
              <w:pStyle w:val="InstructionsText2"/>
              <w:rPr>
                <w:rFonts w:asciiTheme="minorHAnsi" w:hAnsiTheme="minorHAnsi"/>
                <w:sz w:val="20"/>
                <w:szCs w:val="20"/>
                <w:lang w:val="en-US"/>
              </w:rPr>
            </w:pPr>
            <w:r w:rsidRPr="00A74311">
              <w:rPr>
                <w:rFonts w:ascii="Aptos" w:hAnsi="Aptos"/>
                <w:b/>
                <w:sz w:val="20"/>
                <w:szCs w:val="20"/>
                <w:u w:val="single"/>
                <w:lang w:val="en-US"/>
              </w:rPr>
              <w:t>Management of AIFs - Professional Investors</w:t>
            </w:r>
          </w:p>
          <w:p w14:paraId="468B590D" w14:textId="77777777" w:rsidR="00BE3FB1" w:rsidRDefault="00BE3FB1" w:rsidP="00926E78">
            <w:pPr>
              <w:pStyle w:val="InstructionsText2"/>
              <w:rPr>
                <w:rFonts w:asciiTheme="minorHAnsi" w:hAnsiTheme="minorHAnsi"/>
                <w:sz w:val="20"/>
                <w:szCs w:val="20"/>
                <w:lang w:val="en-US"/>
              </w:rPr>
            </w:pPr>
            <w:r w:rsidRPr="005A2965">
              <w:rPr>
                <w:rFonts w:asciiTheme="minorHAnsi" w:hAnsiTheme="minorHAnsi"/>
                <w:sz w:val="20"/>
                <w:szCs w:val="20"/>
                <w:lang w:val="en-US"/>
              </w:rPr>
              <w:t>The person investing in the AIF (generally by purchasing the shares issued by such AIF), where this person is a professional client as defined in MiFID. Where the obliged entity is an asset management company which does not have access to this information (as is often the case in practice), this field is not mandatory.</w:t>
            </w:r>
          </w:p>
          <w:p w14:paraId="56CAAB74" w14:textId="4DF1815B" w:rsidR="00BE3FB1" w:rsidRPr="005A2965" w:rsidRDefault="00C764F5" w:rsidP="00926E78">
            <w:pPr>
              <w:pStyle w:val="InstructionsText2"/>
              <w:rPr>
                <w:rFonts w:asciiTheme="minorHAnsi" w:hAnsiTheme="minorHAnsi"/>
                <w:sz w:val="20"/>
                <w:szCs w:val="20"/>
                <w:lang w:val="en-US"/>
              </w:rPr>
            </w:pPr>
            <w:r>
              <w:rPr>
                <w:rFonts w:asciiTheme="minorHAnsi" w:hAnsiTheme="minorHAnsi"/>
                <w:sz w:val="20"/>
                <w:szCs w:val="20"/>
                <w:lang w:val="en-US"/>
              </w:rPr>
              <w:t>Indicate the number of customers who are professional investors</w:t>
            </w:r>
            <w:r w:rsidR="51C46498" w:rsidRPr="47B5A7EA">
              <w:rPr>
                <w:rFonts w:asciiTheme="minorHAnsi" w:hAnsiTheme="minorHAnsi"/>
                <w:sz w:val="20"/>
                <w:szCs w:val="20"/>
                <w:lang w:val="en-US"/>
              </w:rPr>
              <w:t>, as of the end of the reference year</w:t>
            </w:r>
            <w:r>
              <w:rPr>
                <w:rFonts w:asciiTheme="minorHAnsi" w:hAnsiTheme="minorHAnsi"/>
                <w:sz w:val="20"/>
                <w:szCs w:val="20"/>
                <w:lang w:val="en-US"/>
              </w:rPr>
              <w:t>.</w:t>
            </w:r>
          </w:p>
        </w:tc>
      </w:tr>
      <w:tr w:rsidR="005E211E" w:rsidRPr="009B282E" w14:paraId="4C843FC6" w14:textId="77777777" w:rsidTr="004110A7">
        <w:tc>
          <w:tcPr>
            <w:tcW w:w="1673" w:type="dxa"/>
            <w:tcBorders>
              <w:top w:val="single" w:sz="4" w:space="0" w:color="auto"/>
              <w:left w:val="single" w:sz="4" w:space="0" w:color="auto"/>
              <w:bottom w:val="single" w:sz="4" w:space="0" w:color="auto"/>
              <w:right w:val="single" w:sz="4" w:space="0" w:color="auto"/>
            </w:tcBorders>
            <w:vAlign w:val="center"/>
          </w:tcPr>
          <w:p w14:paraId="4C99DD7E" w14:textId="7D07E8F8" w:rsidR="00926E78" w:rsidRPr="009275BC" w:rsidRDefault="003E2583"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w:t>
            </w:r>
            <w:r w:rsidR="00FD15A5" w:rsidRPr="009275BC">
              <w:rPr>
                <w:rStyle w:val="FormatvorlageInstructionsTabelleText"/>
                <w:rFonts w:asciiTheme="minorHAnsi" w:hAnsiTheme="minorHAnsi"/>
              </w:rPr>
              <w:t>60</w:t>
            </w:r>
          </w:p>
        </w:tc>
        <w:tc>
          <w:tcPr>
            <w:tcW w:w="7616" w:type="dxa"/>
            <w:tcBorders>
              <w:top w:val="single" w:sz="4" w:space="0" w:color="auto"/>
              <w:left w:val="single" w:sz="4" w:space="0" w:color="auto"/>
              <w:bottom w:val="nil"/>
              <w:right w:val="single" w:sz="4" w:space="0" w:color="auto"/>
            </w:tcBorders>
            <w:vAlign w:val="center"/>
          </w:tcPr>
          <w:p w14:paraId="6010AFB3" w14:textId="249BEFC4" w:rsidR="00491899" w:rsidRDefault="00491899" w:rsidP="00926E78">
            <w:pPr>
              <w:pStyle w:val="InstructionsText2"/>
              <w:rPr>
                <w:rFonts w:asciiTheme="minorHAnsi" w:hAnsiTheme="minorHAnsi"/>
                <w:sz w:val="20"/>
                <w:szCs w:val="20"/>
                <w:lang w:val="en-US"/>
              </w:rPr>
            </w:pPr>
            <w:r w:rsidRPr="008F7E92">
              <w:rPr>
                <w:rFonts w:ascii="Aptos" w:hAnsi="Aptos"/>
                <w:b/>
                <w:sz w:val="20"/>
                <w:szCs w:val="20"/>
                <w:u w:val="single"/>
                <w:lang w:val="en-US"/>
              </w:rPr>
              <w:t xml:space="preserve">Open-ended Funds - </w:t>
            </w:r>
            <w:r w:rsidR="00DA0733">
              <w:rPr>
                <w:rFonts w:ascii="Aptos" w:hAnsi="Aptos"/>
                <w:b/>
                <w:sz w:val="20"/>
                <w:szCs w:val="20"/>
                <w:u w:val="single"/>
                <w:lang w:val="en-US"/>
              </w:rPr>
              <w:t>Number</w:t>
            </w:r>
          </w:p>
          <w:p w14:paraId="18FB7B87" w14:textId="77777777" w:rsidR="00463811" w:rsidRDefault="00463811" w:rsidP="00926E78">
            <w:pPr>
              <w:pStyle w:val="InstructionsText2"/>
              <w:rPr>
                <w:rFonts w:asciiTheme="minorHAnsi" w:hAnsiTheme="minorHAnsi"/>
                <w:sz w:val="20"/>
                <w:szCs w:val="20"/>
                <w:lang w:val="en-US"/>
              </w:rPr>
            </w:pPr>
            <w:r w:rsidRPr="005A2965">
              <w:rPr>
                <w:rFonts w:asciiTheme="minorHAnsi" w:hAnsiTheme="minorHAnsi"/>
                <w:sz w:val="20"/>
                <w:szCs w:val="20"/>
                <w:lang w:val="en-US"/>
              </w:rPr>
              <w:t>An open-ended fund is a collective investment vehicle in which investors can subscribe and redeem on-demand.</w:t>
            </w:r>
          </w:p>
          <w:p w14:paraId="45D30C1B" w14:textId="38A51495" w:rsidR="00463811" w:rsidRPr="005A2965" w:rsidRDefault="00D16723" w:rsidP="00926E78">
            <w:pPr>
              <w:pStyle w:val="InstructionsText2"/>
              <w:rPr>
                <w:rFonts w:asciiTheme="minorHAnsi" w:hAnsiTheme="minorHAnsi"/>
                <w:sz w:val="20"/>
                <w:szCs w:val="20"/>
                <w:lang w:val="en-US"/>
              </w:rPr>
            </w:pPr>
            <w:r w:rsidRPr="00A74311">
              <w:rPr>
                <w:rFonts w:asciiTheme="minorHAnsi" w:hAnsiTheme="minorHAnsi"/>
                <w:sz w:val="20"/>
                <w:szCs w:val="20"/>
                <w:lang w:val="en-US"/>
              </w:rPr>
              <w:t>Indicate the number of open-ended funds</w:t>
            </w:r>
            <w:r w:rsidR="00DB396A">
              <w:rPr>
                <w:rFonts w:asciiTheme="minorHAnsi" w:hAnsiTheme="minorHAnsi"/>
                <w:sz w:val="20"/>
                <w:szCs w:val="20"/>
                <w:lang w:val="en-US"/>
              </w:rPr>
              <w:t xml:space="preserve"> </w:t>
            </w:r>
            <w:r w:rsidR="002E59AC">
              <w:rPr>
                <w:rFonts w:asciiTheme="minorHAnsi" w:hAnsiTheme="minorHAnsi"/>
                <w:sz w:val="20"/>
                <w:szCs w:val="20"/>
                <w:lang w:val="en-US"/>
              </w:rPr>
              <w:t>as of end of the reference year.</w:t>
            </w:r>
          </w:p>
        </w:tc>
      </w:tr>
      <w:tr w:rsidR="005E211E" w:rsidRPr="009B282E" w14:paraId="396A5EC6" w14:textId="77777777" w:rsidTr="004110A7">
        <w:tc>
          <w:tcPr>
            <w:tcW w:w="1673" w:type="dxa"/>
            <w:tcBorders>
              <w:top w:val="single" w:sz="4" w:space="0" w:color="auto"/>
              <w:left w:val="single" w:sz="4" w:space="0" w:color="auto"/>
              <w:bottom w:val="single" w:sz="4" w:space="0" w:color="auto"/>
              <w:right w:val="single" w:sz="4" w:space="0" w:color="auto"/>
            </w:tcBorders>
            <w:vAlign w:val="center"/>
          </w:tcPr>
          <w:p w14:paraId="088F7237" w14:textId="4E975491" w:rsidR="00926E78" w:rsidRPr="009275BC" w:rsidRDefault="003E2583"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w:t>
            </w:r>
            <w:r w:rsidR="00FD15A5" w:rsidRPr="009275BC">
              <w:rPr>
                <w:rStyle w:val="FormatvorlageInstructionsTabelleText"/>
                <w:rFonts w:asciiTheme="minorHAnsi" w:hAnsiTheme="minorHAnsi"/>
              </w:rPr>
              <w:t>070</w:t>
            </w:r>
          </w:p>
        </w:tc>
        <w:tc>
          <w:tcPr>
            <w:tcW w:w="7616" w:type="dxa"/>
            <w:tcBorders>
              <w:top w:val="single" w:sz="4" w:space="0" w:color="auto"/>
              <w:left w:val="single" w:sz="4" w:space="0" w:color="auto"/>
              <w:bottom w:val="nil"/>
              <w:right w:val="single" w:sz="4" w:space="0" w:color="auto"/>
            </w:tcBorders>
            <w:vAlign w:val="center"/>
          </w:tcPr>
          <w:p w14:paraId="2FF54513" w14:textId="6159D11E" w:rsidR="00491899" w:rsidRDefault="00491899" w:rsidP="00926E78">
            <w:pPr>
              <w:pStyle w:val="InstructionsText2"/>
              <w:rPr>
                <w:rFonts w:asciiTheme="minorHAnsi" w:hAnsiTheme="minorHAnsi"/>
                <w:sz w:val="20"/>
                <w:szCs w:val="20"/>
                <w:lang w:val="en-US"/>
              </w:rPr>
            </w:pPr>
            <w:r w:rsidRPr="008F7E92">
              <w:rPr>
                <w:rFonts w:ascii="Aptos" w:hAnsi="Aptos"/>
                <w:b/>
                <w:sz w:val="20"/>
                <w:szCs w:val="20"/>
                <w:u w:val="single"/>
                <w:lang w:val="en-US"/>
              </w:rPr>
              <w:t xml:space="preserve">Closed-ended Funds - </w:t>
            </w:r>
            <w:r w:rsidR="00DB396A">
              <w:rPr>
                <w:rFonts w:ascii="Aptos" w:hAnsi="Aptos"/>
                <w:b/>
                <w:sz w:val="20"/>
                <w:szCs w:val="20"/>
                <w:u w:val="single"/>
                <w:lang w:val="en-US"/>
              </w:rPr>
              <w:t>Number</w:t>
            </w:r>
          </w:p>
          <w:p w14:paraId="142BCBC1" w14:textId="77777777" w:rsidR="00463811" w:rsidRDefault="00D211E5" w:rsidP="00926E78">
            <w:pPr>
              <w:pStyle w:val="InstructionsText2"/>
              <w:rPr>
                <w:rFonts w:asciiTheme="minorHAnsi" w:hAnsiTheme="minorHAnsi"/>
                <w:sz w:val="20"/>
                <w:szCs w:val="20"/>
                <w:lang w:val="en-US"/>
              </w:rPr>
            </w:pPr>
            <w:r w:rsidRPr="005A2965">
              <w:rPr>
                <w:rFonts w:asciiTheme="minorHAnsi" w:hAnsiTheme="minorHAnsi"/>
                <w:sz w:val="20"/>
                <w:szCs w:val="20"/>
                <w:lang w:val="en-US"/>
              </w:rPr>
              <w:t>Collective investment vehicle in which investors cannot subscribe and redeem on-demand.</w:t>
            </w:r>
          </w:p>
          <w:p w14:paraId="021D4EF3" w14:textId="08717409" w:rsidR="00463811" w:rsidRPr="005A2965" w:rsidRDefault="0028653B" w:rsidP="00926E78">
            <w:pPr>
              <w:pStyle w:val="InstructionsText2"/>
              <w:rPr>
                <w:rFonts w:asciiTheme="minorHAnsi" w:hAnsiTheme="minorHAnsi"/>
                <w:sz w:val="20"/>
                <w:szCs w:val="20"/>
                <w:lang w:val="en-US"/>
              </w:rPr>
            </w:pPr>
            <w:r w:rsidRPr="00A74311">
              <w:rPr>
                <w:rFonts w:asciiTheme="minorHAnsi" w:hAnsiTheme="minorHAnsi"/>
                <w:sz w:val="20"/>
                <w:szCs w:val="20"/>
                <w:lang w:val="en-US"/>
              </w:rPr>
              <w:t xml:space="preserve">Indicate </w:t>
            </w:r>
            <w:r w:rsidR="00420A77" w:rsidRPr="00A74311">
              <w:rPr>
                <w:rFonts w:asciiTheme="minorHAnsi" w:hAnsiTheme="minorHAnsi"/>
                <w:sz w:val="20"/>
                <w:szCs w:val="20"/>
                <w:lang w:val="en-US"/>
              </w:rPr>
              <w:t>the n</w:t>
            </w:r>
            <w:r w:rsidR="00DB396A" w:rsidRPr="00A74311">
              <w:rPr>
                <w:rFonts w:asciiTheme="minorHAnsi" w:hAnsiTheme="minorHAnsi"/>
                <w:sz w:val="20"/>
                <w:szCs w:val="20"/>
                <w:lang w:val="en-US"/>
              </w:rPr>
              <w:t xml:space="preserve">umber of closed-ended funds </w:t>
            </w:r>
            <w:r w:rsidR="00420A77" w:rsidRPr="00420A77">
              <w:rPr>
                <w:rFonts w:asciiTheme="minorHAnsi" w:hAnsiTheme="minorHAnsi"/>
                <w:sz w:val="20"/>
                <w:szCs w:val="20"/>
                <w:lang w:val="en-US"/>
              </w:rPr>
              <w:t>as</w:t>
            </w:r>
            <w:r w:rsidR="00420A77">
              <w:rPr>
                <w:rFonts w:asciiTheme="minorHAnsi" w:hAnsiTheme="minorHAnsi"/>
                <w:sz w:val="20"/>
                <w:szCs w:val="20"/>
                <w:lang w:val="en-US"/>
              </w:rPr>
              <w:t xml:space="preserve"> of end of the reference year.</w:t>
            </w:r>
          </w:p>
        </w:tc>
      </w:tr>
      <w:tr w:rsidR="005E211E" w:rsidRPr="009B282E" w14:paraId="7BBE05E4" w14:textId="77777777" w:rsidTr="002B165A">
        <w:tc>
          <w:tcPr>
            <w:tcW w:w="1673" w:type="dxa"/>
            <w:tcBorders>
              <w:top w:val="single" w:sz="4" w:space="0" w:color="auto"/>
              <w:left w:val="single" w:sz="4" w:space="0" w:color="auto"/>
              <w:bottom w:val="single" w:sz="4" w:space="0" w:color="auto"/>
              <w:right w:val="single" w:sz="4" w:space="0" w:color="auto"/>
            </w:tcBorders>
            <w:vAlign w:val="center"/>
          </w:tcPr>
          <w:p w14:paraId="40C2A900" w14:textId="4A64E08A" w:rsidR="00926E78" w:rsidRPr="009275BC" w:rsidRDefault="003E2583"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w:t>
            </w:r>
            <w:r w:rsidR="00FD15A5" w:rsidRPr="009275BC">
              <w:rPr>
                <w:rStyle w:val="FormatvorlageInstructionsTabelleText"/>
                <w:rFonts w:asciiTheme="minorHAnsi" w:hAnsiTheme="minorHAnsi"/>
              </w:rPr>
              <w:t>080</w:t>
            </w:r>
          </w:p>
        </w:tc>
        <w:tc>
          <w:tcPr>
            <w:tcW w:w="7616" w:type="dxa"/>
            <w:tcBorders>
              <w:top w:val="single" w:sz="4" w:space="0" w:color="auto"/>
              <w:left w:val="single" w:sz="4" w:space="0" w:color="auto"/>
              <w:bottom w:val="nil"/>
              <w:right w:val="single" w:sz="4" w:space="0" w:color="auto"/>
            </w:tcBorders>
            <w:vAlign w:val="center"/>
          </w:tcPr>
          <w:p w14:paraId="78773C98" w14:textId="77777777" w:rsidR="00491899" w:rsidRDefault="00491899" w:rsidP="00926E78">
            <w:pPr>
              <w:pStyle w:val="InstructionsText2"/>
              <w:rPr>
                <w:rFonts w:asciiTheme="minorHAnsi" w:hAnsiTheme="minorHAnsi"/>
                <w:sz w:val="20"/>
                <w:szCs w:val="20"/>
                <w:lang w:val="en-US"/>
              </w:rPr>
            </w:pPr>
            <w:r w:rsidRPr="00A74311">
              <w:rPr>
                <w:rFonts w:ascii="Aptos" w:hAnsi="Aptos"/>
                <w:b/>
                <w:sz w:val="20"/>
                <w:szCs w:val="20"/>
                <w:u w:val="single"/>
                <w:lang w:val="en-US"/>
              </w:rPr>
              <w:t>Management of AIFs - Total AUM</w:t>
            </w:r>
          </w:p>
          <w:p w14:paraId="2795FFC5" w14:textId="342CF3D3" w:rsidR="00491899" w:rsidRDefault="00491899" w:rsidP="00926E78">
            <w:pPr>
              <w:pStyle w:val="InstructionsText2"/>
              <w:rPr>
                <w:rFonts w:asciiTheme="minorHAnsi" w:hAnsiTheme="minorHAnsi"/>
                <w:sz w:val="20"/>
                <w:szCs w:val="20"/>
                <w:lang w:val="en-US"/>
              </w:rPr>
            </w:pPr>
            <w:r>
              <w:rPr>
                <w:rFonts w:asciiTheme="minorHAnsi" w:hAnsiTheme="minorHAnsi"/>
                <w:sz w:val="20"/>
                <w:szCs w:val="20"/>
                <w:lang w:val="en-US"/>
              </w:rPr>
              <w:t xml:space="preserve">The concept of Total Assets under Management of AIFs should refer to the sum </w:t>
            </w:r>
            <w:r w:rsidR="00E44CF0">
              <w:rPr>
                <w:rFonts w:asciiTheme="minorHAnsi" w:hAnsiTheme="minorHAnsi"/>
                <w:sz w:val="20"/>
                <w:szCs w:val="20"/>
                <w:lang w:val="en-US"/>
              </w:rPr>
              <w:t xml:space="preserve">- </w:t>
            </w:r>
            <w:r>
              <w:rPr>
                <w:rFonts w:asciiTheme="minorHAnsi" w:hAnsiTheme="minorHAnsi"/>
                <w:sz w:val="20"/>
                <w:szCs w:val="20"/>
                <w:lang w:val="en-US"/>
              </w:rPr>
              <w:t xml:space="preserve">as of end of the reference year </w:t>
            </w:r>
            <w:r w:rsidR="00E44CF0">
              <w:rPr>
                <w:rFonts w:asciiTheme="minorHAnsi" w:hAnsiTheme="minorHAnsi"/>
                <w:sz w:val="20"/>
                <w:szCs w:val="20"/>
                <w:lang w:val="en-US"/>
              </w:rPr>
              <w:t xml:space="preserve">– of the </w:t>
            </w:r>
            <w:r>
              <w:rPr>
                <w:rFonts w:asciiTheme="minorHAnsi" w:hAnsiTheme="minorHAnsi"/>
                <w:sz w:val="20"/>
                <w:szCs w:val="20"/>
                <w:lang w:val="en-US"/>
              </w:rPr>
              <w:t xml:space="preserve">Total Net Asset Value </w:t>
            </w:r>
            <w:r w:rsidR="00E44CF0">
              <w:rPr>
                <w:rFonts w:asciiTheme="minorHAnsi" w:hAnsiTheme="minorHAnsi"/>
                <w:sz w:val="20"/>
                <w:szCs w:val="20"/>
                <w:lang w:val="en-US"/>
              </w:rPr>
              <w:t xml:space="preserve">(NAV) </w:t>
            </w:r>
            <w:r>
              <w:rPr>
                <w:rFonts w:asciiTheme="minorHAnsi" w:hAnsiTheme="minorHAnsi"/>
                <w:sz w:val="20"/>
                <w:szCs w:val="20"/>
                <w:lang w:val="en-US"/>
              </w:rPr>
              <w:t>of all AIFs managed by the AIFM. While the AIFMD does not provide a formal definition of NAV, Articles 23 and 24 require the AIFM to report the NAV per unit/share to investors and competent authorities, in accordance with the valuation procedures established for each AIF. The Total NAV for each AIF is calculated by multiplying the NAV per unit/share by the total number of units/shares outstanding. Therefore, the obliged entity (AIFM) should report consistently with the information required under the Directive for the AIFs it manages.</w:t>
            </w:r>
          </w:p>
          <w:p w14:paraId="1EC33E02" w14:textId="1DF4083F" w:rsidR="00926E78" w:rsidRPr="005140FC" w:rsidRDefault="00845D9C" w:rsidP="00926E78">
            <w:pPr>
              <w:pStyle w:val="InstructionsText2"/>
              <w:rPr>
                <w:rFonts w:asciiTheme="minorHAnsi" w:hAnsiTheme="minorHAnsi"/>
                <w:b/>
                <w:sz w:val="20"/>
                <w:u w:val="single"/>
                <w:lang w:val="en-US"/>
              </w:rPr>
            </w:pPr>
            <w:r w:rsidRPr="007F30E3">
              <w:rPr>
                <w:rFonts w:asciiTheme="minorHAnsi" w:hAnsiTheme="minorHAnsi"/>
                <w:sz w:val="20"/>
                <w:szCs w:val="20"/>
                <w:lang w:val="en-US"/>
              </w:rPr>
              <w:t xml:space="preserve">Indicate the total assets under management of </w:t>
            </w:r>
            <w:r>
              <w:rPr>
                <w:rFonts w:asciiTheme="minorHAnsi" w:hAnsiTheme="minorHAnsi"/>
                <w:sz w:val="20"/>
                <w:szCs w:val="20"/>
                <w:lang w:val="en-US"/>
              </w:rPr>
              <w:t>AIFM</w:t>
            </w:r>
            <w:r w:rsidRPr="007F30E3">
              <w:rPr>
                <w:rFonts w:asciiTheme="minorHAnsi" w:hAnsiTheme="minorHAnsi"/>
                <w:sz w:val="20"/>
                <w:szCs w:val="20"/>
                <w:lang w:val="en-US"/>
              </w:rPr>
              <w:t xml:space="preserve"> </w:t>
            </w:r>
            <w:r>
              <w:rPr>
                <w:rFonts w:asciiTheme="minorHAnsi" w:hAnsiTheme="minorHAnsi"/>
                <w:sz w:val="20"/>
                <w:szCs w:val="20"/>
                <w:lang w:val="en-US"/>
              </w:rPr>
              <w:t>as of end of the reference year.</w:t>
            </w:r>
          </w:p>
        </w:tc>
      </w:tr>
      <w:tr w:rsidR="005E211E" w:rsidRPr="009B282E" w14:paraId="08C000DF" w14:textId="77777777" w:rsidTr="004110A7">
        <w:tc>
          <w:tcPr>
            <w:tcW w:w="1673" w:type="dxa"/>
            <w:tcBorders>
              <w:top w:val="single" w:sz="4" w:space="0" w:color="auto"/>
              <w:left w:val="single" w:sz="4" w:space="0" w:color="auto"/>
              <w:bottom w:val="single" w:sz="4" w:space="0" w:color="auto"/>
              <w:right w:val="single" w:sz="4" w:space="0" w:color="auto"/>
            </w:tcBorders>
            <w:vAlign w:val="center"/>
          </w:tcPr>
          <w:p w14:paraId="43F4E361" w14:textId="0160D896" w:rsidR="003E2583" w:rsidRPr="009275BC" w:rsidRDefault="003E2583" w:rsidP="00F32516">
            <w:pPr>
              <w:pStyle w:val="InstructionsText"/>
              <w:rPr>
                <w:rStyle w:val="FormatvorlageInstructionsTabelleText"/>
                <w:rFonts w:asciiTheme="minorHAnsi" w:hAnsiTheme="minorHAnsi"/>
                <w:bCs/>
              </w:rPr>
            </w:pPr>
            <w:r w:rsidRPr="009275BC">
              <w:rPr>
                <w:rStyle w:val="FormatvorlageInstructionsTabelleText"/>
                <w:rFonts w:asciiTheme="minorHAnsi" w:hAnsiTheme="minorHAnsi"/>
              </w:rPr>
              <w:t>C0</w:t>
            </w:r>
            <w:r w:rsidR="00FD15A5" w:rsidRPr="009275BC">
              <w:rPr>
                <w:rStyle w:val="FormatvorlageInstructionsTabelleText"/>
                <w:rFonts w:asciiTheme="minorHAnsi" w:hAnsiTheme="minorHAnsi"/>
              </w:rPr>
              <w:t>090</w:t>
            </w:r>
          </w:p>
        </w:tc>
        <w:tc>
          <w:tcPr>
            <w:tcW w:w="7616" w:type="dxa"/>
            <w:tcBorders>
              <w:top w:val="single" w:sz="4" w:space="0" w:color="auto"/>
              <w:left w:val="single" w:sz="4" w:space="0" w:color="auto"/>
              <w:bottom w:val="single" w:sz="8" w:space="0" w:color="auto"/>
              <w:right w:val="single" w:sz="4" w:space="0" w:color="auto"/>
            </w:tcBorders>
            <w:vAlign w:val="center"/>
          </w:tcPr>
          <w:p w14:paraId="535BC737" w14:textId="75CA3285" w:rsidR="00491899" w:rsidRDefault="00491899" w:rsidP="007C0589">
            <w:pPr>
              <w:pStyle w:val="InstructionsText2"/>
              <w:rPr>
                <w:rFonts w:asciiTheme="minorHAnsi" w:hAnsiTheme="minorHAnsi"/>
                <w:sz w:val="20"/>
                <w:szCs w:val="20"/>
                <w:lang w:val="en-US"/>
              </w:rPr>
            </w:pPr>
            <w:r w:rsidRPr="008F7E92">
              <w:rPr>
                <w:rFonts w:ascii="Aptos" w:hAnsi="Aptos"/>
                <w:b/>
                <w:sz w:val="20"/>
                <w:szCs w:val="20"/>
                <w:u w:val="single"/>
                <w:lang w:val="en-US"/>
              </w:rPr>
              <w:t>Management of AIFs - Total AUM</w:t>
            </w:r>
            <w:r w:rsidR="001F43D1">
              <w:rPr>
                <w:rFonts w:ascii="Aptos" w:hAnsi="Aptos"/>
                <w:b/>
                <w:sz w:val="20"/>
                <w:szCs w:val="20"/>
                <w:u w:val="single"/>
                <w:lang w:val="en-US"/>
              </w:rPr>
              <w:t xml:space="preserve"> </w:t>
            </w:r>
            <w:r w:rsidR="001F43D1" w:rsidRPr="005A2965">
              <w:rPr>
                <w:rFonts w:asciiTheme="minorHAnsi" w:hAnsiTheme="minorHAnsi"/>
                <w:b/>
                <w:bCs/>
                <w:sz w:val="20"/>
                <w:szCs w:val="20"/>
                <w:u w:val="single"/>
                <w:lang w:val="en-US"/>
              </w:rPr>
              <w:t>in unlisted assets</w:t>
            </w:r>
          </w:p>
          <w:p w14:paraId="2036941F" w14:textId="77777777" w:rsidR="0069718F" w:rsidRDefault="00F47939" w:rsidP="007C0589">
            <w:pPr>
              <w:pStyle w:val="InstructionsText2"/>
              <w:rPr>
                <w:rFonts w:asciiTheme="minorHAnsi" w:hAnsiTheme="minorHAnsi"/>
                <w:sz w:val="20"/>
                <w:szCs w:val="20"/>
                <w:lang w:val="en-US"/>
              </w:rPr>
            </w:pPr>
            <w:r w:rsidRPr="005A2965">
              <w:rPr>
                <w:rFonts w:asciiTheme="minorHAnsi" w:hAnsiTheme="minorHAnsi"/>
                <w:sz w:val="20"/>
                <w:szCs w:val="20"/>
                <w:lang w:val="en-US"/>
              </w:rPr>
              <w:t>Unlisted assets are financial instruments that are not traded on a regulated market, multilateral trading facility (MTF), or organised trading facility (OTF).</w:t>
            </w:r>
          </w:p>
          <w:p w14:paraId="24C3DB47" w14:textId="4BBA02EF" w:rsidR="0069718F" w:rsidRPr="005A2965" w:rsidRDefault="00E82F1B" w:rsidP="007C0589">
            <w:pPr>
              <w:pStyle w:val="InstructionsText2"/>
              <w:rPr>
                <w:rFonts w:asciiTheme="minorHAnsi" w:hAnsiTheme="minorHAnsi"/>
                <w:sz w:val="20"/>
                <w:szCs w:val="20"/>
                <w:lang w:val="en-US"/>
              </w:rPr>
            </w:pPr>
            <w:r w:rsidRPr="00510E5C">
              <w:rPr>
                <w:rFonts w:asciiTheme="minorHAnsi" w:hAnsiTheme="minorHAnsi"/>
                <w:sz w:val="20"/>
                <w:szCs w:val="20"/>
                <w:lang w:val="en-US"/>
              </w:rPr>
              <w:t xml:space="preserve">Indicate the total assets under management in unlisted assets </w:t>
            </w:r>
            <w:r w:rsidRPr="00420A77">
              <w:rPr>
                <w:rFonts w:asciiTheme="minorHAnsi" w:hAnsiTheme="minorHAnsi"/>
                <w:sz w:val="20"/>
                <w:szCs w:val="20"/>
                <w:lang w:val="en-US"/>
              </w:rPr>
              <w:t>as</w:t>
            </w:r>
            <w:r>
              <w:rPr>
                <w:rFonts w:asciiTheme="minorHAnsi" w:hAnsiTheme="minorHAnsi"/>
                <w:sz w:val="20"/>
                <w:szCs w:val="20"/>
                <w:lang w:val="en-US"/>
              </w:rPr>
              <w:t xml:space="preserve"> of end of the reference year.</w:t>
            </w:r>
          </w:p>
        </w:tc>
      </w:tr>
    </w:tbl>
    <w:p w14:paraId="663C5347" w14:textId="75BB0242" w:rsidR="0044435A" w:rsidRPr="009B282E" w:rsidRDefault="00DE007B" w:rsidP="00CB14A2">
      <w:pPr>
        <w:pStyle w:val="Heading3"/>
        <w:rPr>
          <w:lang w:val="en-GB"/>
        </w:rPr>
      </w:pPr>
      <w:bookmarkStart w:id="246" w:name="_Toc223086585"/>
      <w:bookmarkStart w:id="247" w:name="_Toc223086679"/>
      <w:bookmarkStart w:id="248" w:name="_Toc223086773"/>
      <w:bookmarkStart w:id="249" w:name="_Toc223086867"/>
      <w:bookmarkStart w:id="250" w:name="_Toc221355994"/>
      <w:bookmarkStart w:id="251" w:name="_Toc223104860"/>
      <w:bookmarkEnd w:id="246"/>
      <w:bookmarkEnd w:id="247"/>
      <w:bookmarkEnd w:id="248"/>
      <w:bookmarkEnd w:id="249"/>
      <w:r w:rsidRPr="009B282E">
        <w:rPr>
          <w:lang w:val="en-GB"/>
        </w:rPr>
        <w:t xml:space="preserve">AML.04.12 </w:t>
      </w:r>
      <w:r w:rsidR="00CB14A2" w:rsidRPr="009B282E">
        <w:rPr>
          <w:lang w:val="en-GB"/>
        </w:rPr>
        <w:t xml:space="preserve">Safe </w:t>
      </w:r>
      <w:r w:rsidR="001F775D">
        <w:rPr>
          <w:lang w:val="en-GB"/>
        </w:rPr>
        <w:t>c</w:t>
      </w:r>
      <w:r w:rsidR="00CB14A2" w:rsidRPr="009B282E">
        <w:rPr>
          <w:lang w:val="en-GB"/>
        </w:rPr>
        <w:t xml:space="preserve">ustody </w:t>
      </w:r>
      <w:r w:rsidR="001F775D">
        <w:rPr>
          <w:lang w:val="en-GB"/>
        </w:rPr>
        <w:t>s</w:t>
      </w:r>
      <w:r w:rsidR="00CB14A2" w:rsidRPr="009B282E">
        <w:rPr>
          <w:lang w:val="en-GB"/>
        </w:rPr>
        <w:t>ervices</w:t>
      </w:r>
      <w:bookmarkEnd w:id="250"/>
      <w:bookmarkEnd w:id="251"/>
    </w:p>
    <w:p w14:paraId="7E070961" w14:textId="77777777" w:rsidR="006B6D53" w:rsidRPr="00A017EB" w:rsidRDefault="006B6D53" w:rsidP="006B6D53">
      <w:pPr>
        <w:rPr>
          <w:rFonts w:asciiTheme="minorHAnsi" w:hAnsiTheme="minorHAnsi"/>
          <w:b/>
          <w:bCs/>
          <w:iCs/>
        </w:rPr>
      </w:pPr>
      <w:r w:rsidRPr="00A017EB">
        <w:rPr>
          <w:rFonts w:asciiTheme="minorHAnsi" w:hAnsiTheme="minorHAnsi"/>
          <w:b/>
          <w:bCs/>
          <w:iCs/>
        </w:rPr>
        <w:t>Template Remarks</w:t>
      </w:r>
    </w:p>
    <w:p w14:paraId="6EFFBDA7" w14:textId="19191790" w:rsidR="006B6D53" w:rsidRDefault="006B6D53" w:rsidP="00231318">
      <w:pPr>
        <w:jc w:val="both"/>
        <w:rPr>
          <w:rFonts w:asciiTheme="minorHAnsi" w:hAnsiTheme="minorHAnsi"/>
          <w:bCs/>
          <w:iCs/>
        </w:rPr>
      </w:pPr>
      <w:r w:rsidRPr="00A017EB">
        <w:rPr>
          <w:rFonts w:asciiTheme="minorHAnsi" w:hAnsiTheme="minorHAnsi"/>
          <w:lang w:val="en-GB"/>
        </w:rPr>
        <w:t xml:space="preserve">Fill out this template if you </w:t>
      </w:r>
      <w:r w:rsidRPr="00A017EB">
        <w:rPr>
          <w:rFonts w:asciiTheme="minorHAnsi" w:hAnsiTheme="minorHAnsi"/>
        </w:rPr>
        <w:t xml:space="preserve">offer some of these services and/or products, normally this template is applicable for </w:t>
      </w:r>
      <w:r w:rsidRPr="003B7B62">
        <w:rPr>
          <w:rFonts w:asciiTheme="minorHAnsi" w:hAnsiTheme="minorHAnsi"/>
          <w:bCs/>
          <w:iCs/>
        </w:rPr>
        <w:t>CI</w:t>
      </w:r>
      <w:r>
        <w:rPr>
          <w:rFonts w:asciiTheme="minorHAnsi" w:hAnsiTheme="minorHAnsi"/>
          <w:bCs/>
          <w:iCs/>
        </w:rPr>
        <w:t xml:space="preserve">. </w:t>
      </w:r>
    </w:p>
    <w:p w14:paraId="0306CAFD" w14:textId="79E18EF7" w:rsidR="00DE6F90" w:rsidRPr="00A9114E" w:rsidRDefault="007771D9" w:rsidP="00003055">
      <w:pPr>
        <w:jc w:val="both"/>
        <w:rPr>
          <w:rFonts w:asciiTheme="minorHAnsi" w:hAnsiTheme="minorHAnsi"/>
          <w:lang w:val="en-GB"/>
        </w:rPr>
      </w:pPr>
      <w:r w:rsidRPr="00A9114E">
        <w:rPr>
          <w:rFonts w:asciiTheme="minorHAnsi" w:hAnsiTheme="minorHAnsi"/>
          <w:lang w:val="en-GB"/>
        </w:rPr>
        <w:t>Safe deposit boxes refer to secure, individually assigned physical storage containers located within a regulated credit institution or financial entity’s premises, rented or otherwise made available to customers, typically under a contractual agreement.</w:t>
      </w:r>
    </w:p>
    <w:tbl>
      <w:tblPr>
        <w:tblW w:w="92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3"/>
        <w:gridCol w:w="7616"/>
      </w:tblGrid>
      <w:tr w:rsidR="005E211E" w:rsidRPr="009B282E" w14:paraId="234A9A26" w14:textId="77777777">
        <w:tc>
          <w:tcPr>
            <w:tcW w:w="1673" w:type="dxa"/>
            <w:tcBorders>
              <w:top w:val="single" w:sz="4" w:space="0" w:color="auto"/>
              <w:left w:val="single" w:sz="4" w:space="0" w:color="auto"/>
              <w:bottom w:val="single" w:sz="4" w:space="0" w:color="auto"/>
              <w:right w:val="single" w:sz="4" w:space="0" w:color="auto"/>
            </w:tcBorders>
            <w:shd w:val="clear" w:color="auto" w:fill="D9D9D9"/>
            <w:hideMark/>
          </w:tcPr>
          <w:p w14:paraId="6A7A559A" w14:textId="77777777" w:rsidR="0097506C" w:rsidRPr="009275BC" w:rsidRDefault="0097506C" w:rsidP="00F32516">
            <w:pPr>
              <w:pStyle w:val="InstructionsText"/>
              <w:rPr>
                <w:rStyle w:val="InstructionsTabelleText"/>
                <w:rFonts w:asciiTheme="minorHAnsi" w:hAnsiTheme="minorHAnsi"/>
                <w:bCs w:val="0"/>
                <w:lang w:eastAsia="en-US"/>
              </w:rPr>
            </w:pPr>
            <w:r w:rsidRPr="009275BC">
              <w:rPr>
                <w:rStyle w:val="InstructionsTabelleText"/>
                <w:rFonts w:asciiTheme="minorHAnsi" w:hAnsiTheme="minorHAnsi"/>
              </w:rPr>
              <w:t>Column code</w:t>
            </w:r>
          </w:p>
        </w:tc>
        <w:tc>
          <w:tcPr>
            <w:tcW w:w="7616" w:type="dxa"/>
            <w:tcBorders>
              <w:top w:val="single" w:sz="4" w:space="0" w:color="auto"/>
              <w:left w:val="single" w:sz="4" w:space="0" w:color="auto"/>
              <w:bottom w:val="single" w:sz="4" w:space="0" w:color="auto"/>
              <w:right w:val="single" w:sz="4" w:space="0" w:color="auto"/>
            </w:tcBorders>
            <w:shd w:val="clear" w:color="auto" w:fill="D9D9D9"/>
            <w:hideMark/>
          </w:tcPr>
          <w:p w14:paraId="7232D60D" w14:textId="77777777" w:rsidR="0097506C" w:rsidRPr="009275BC" w:rsidRDefault="0097506C" w:rsidP="00F32516">
            <w:pPr>
              <w:pStyle w:val="InstructionsText"/>
              <w:rPr>
                <w:rStyle w:val="InstructionsTabelleText"/>
                <w:rFonts w:asciiTheme="minorHAnsi" w:hAnsiTheme="minorHAnsi"/>
                <w:bCs w:val="0"/>
                <w:lang w:eastAsia="en-US"/>
              </w:rPr>
            </w:pPr>
            <w:r w:rsidRPr="009275BC">
              <w:rPr>
                <w:rStyle w:val="InstructionsTabelleText"/>
                <w:rFonts w:asciiTheme="minorHAnsi" w:hAnsiTheme="minorHAnsi"/>
              </w:rPr>
              <w:t>Legal references and instructions</w:t>
            </w:r>
          </w:p>
        </w:tc>
      </w:tr>
      <w:tr w:rsidR="0097506C" w:rsidRPr="009B282E" w14:paraId="53DA047B" w14:textId="77777777" w:rsidTr="00A9114E">
        <w:tc>
          <w:tcPr>
            <w:tcW w:w="1673" w:type="dxa"/>
            <w:tcBorders>
              <w:top w:val="single" w:sz="4" w:space="0" w:color="auto"/>
              <w:left w:val="single" w:sz="4" w:space="0" w:color="auto"/>
              <w:bottom w:val="single" w:sz="4" w:space="0" w:color="auto"/>
              <w:right w:val="single" w:sz="4" w:space="0" w:color="auto"/>
            </w:tcBorders>
            <w:vAlign w:val="center"/>
          </w:tcPr>
          <w:p w14:paraId="00086D2A" w14:textId="620F94BF" w:rsidR="0097506C" w:rsidRPr="009275BC" w:rsidRDefault="006D79BD"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C0010</w:t>
            </w:r>
          </w:p>
        </w:tc>
        <w:tc>
          <w:tcPr>
            <w:tcW w:w="7616" w:type="dxa"/>
            <w:tcBorders>
              <w:top w:val="single" w:sz="4" w:space="0" w:color="auto"/>
              <w:left w:val="single" w:sz="4" w:space="0" w:color="auto"/>
              <w:bottom w:val="single" w:sz="4" w:space="0" w:color="auto"/>
              <w:right w:val="single" w:sz="4" w:space="0" w:color="auto"/>
            </w:tcBorders>
          </w:tcPr>
          <w:p w14:paraId="0588559D" w14:textId="77777777" w:rsidR="00491899" w:rsidRDefault="00491899">
            <w:pPr>
              <w:pStyle w:val="InstructionsText2"/>
              <w:rPr>
                <w:rFonts w:asciiTheme="minorHAnsi" w:hAnsiTheme="minorHAnsi"/>
                <w:b/>
                <w:bCs/>
                <w:sz w:val="20"/>
                <w:u w:val="single"/>
                <w:lang w:val="en-US"/>
              </w:rPr>
            </w:pPr>
            <w:r w:rsidRPr="00E02700">
              <w:rPr>
                <w:rFonts w:ascii="Aptos" w:hAnsi="Aptos"/>
                <w:b/>
                <w:bCs/>
                <w:sz w:val="20"/>
                <w:u w:val="single"/>
                <w:lang w:val="en-US"/>
              </w:rPr>
              <w:t>Customers Using Safe Deposit Boxes</w:t>
            </w:r>
          </w:p>
          <w:p w14:paraId="5E509110" w14:textId="6B88197E" w:rsidR="0097506C" w:rsidRPr="00A9114E" w:rsidRDefault="00491899">
            <w:pPr>
              <w:pStyle w:val="InstructionsText2"/>
              <w:rPr>
                <w:rStyle w:val="InstructionsTabelleberschrift"/>
                <w:rFonts w:asciiTheme="minorHAnsi" w:hAnsiTheme="minorHAnsi"/>
                <w:lang w:val="en-IE"/>
              </w:rPr>
            </w:pPr>
            <w:r w:rsidRPr="00E02700">
              <w:rPr>
                <w:rStyle w:val="InstructionsTabelleberschrift"/>
                <w:rFonts w:asciiTheme="minorHAnsi" w:hAnsiTheme="minorHAnsi"/>
                <w:b w:val="0"/>
                <w:u w:val="none"/>
                <w:lang w:val="en-IE"/>
              </w:rPr>
              <w:t>Indicate the total number of customers using safe deposit boxes as of as of end of the reference year.</w:t>
            </w:r>
          </w:p>
        </w:tc>
      </w:tr>
    </w:tbl>
    <w:p w14:paraId="0E843EE1" w14:textId="6501AF55" w:rsidR="00CB14A2" w:rsidRPr="009B282E" w:rsidRDefault="004771A9" w:rsidP="00CB14A2">
      <w:pPr>
        <w:pStyle w:val="Heading3"/>
        <w:rPr>
          <w:lang w:val="en-GB"/>
        </w:rPr>
      </w:pPr>
      <w:bookmarkStart w:id="252" w:name="_Toc223086587"/>
      <w:bookmarkStart w:id="253" w:name="_Toc223086681"/>
      <w:bookmarkStart w:id="254" w:name="_Toc223086775"/>
      <w:bookmarkStart w:id="255" w:name="_Toc223086869"/>
      <w:bookmarkStart w:id="256" w:name="_Toc221355995"/>
      <w:bookmarkStart w:id="257" w:name="_Toc223104861"/>
      <w:bookmarkEnd w:id="252"/>
      <w:bookmarkEnd w:id="253"/>
      <w:bookmarkEnd w:id="254"/>
      <w:bookmarkEnd w:id="255"/>
      <w:r w:rsidRPr="009B282E">
        <w:rPr>
          <w:lang w:val="en-GB"/>
        </w:rPr>
        <w:t>AML.04.1</w:t>
      </w:r>
      <w:r w:rsidR="00B46824">
        <w:rPr>
          <w:lang w:val="en-GB"/>
        </w:rPr>
        <w:t>3</w:t>
      </w:r>
      <w:r w:rsidRPr="009B282E">
        <w:rPr>
          <w:lang w:val="en-GB"/>
        </w:rPr>
        <w:t xml:space="preserve"> </w:t>
      </w:r>
      <w:r w:rsidR="00CB14A2" w:rsidRPr="009B282E">
        <w:rPr>
          <w:lang w:val="en-GB"/>
        </w:rPr>
        <w:t>Crowdfunding</w:t>
      </w:r>
      <w:bookmarkEnd w:id="256"/>
      <w:bookmarkEnd w:id="257"/>
    </w:p>
    <w:p w14:paraId="05FF6B2A" w14:textId="77777777" w:rsidR="006B6D53" w:rsidRPr="00A017EB" w:rsidRDefault="006B6D53" w:rsidP="006B6D53">
      <w:pPr>
        <w:rPr>
          <w:rFonts w:asciiTheme="minorHAnsi" w:hAnsiTheme="minorHAnsi"/>
          <w:b/>
          <w:bCs/>
          <w:iCs/>
        </w:rPr>
      </w:pPr>
      <w:r w:rsidRPr="00A017EB">
        <w:rPr>
          <w:rFonts w:asciiTheme="minorHAnsi" w:hAnsiTheme="minorHAnsi"/>
          <w:b/>
          <w:bCs/>
          <w:iCs/>
        </w:rPr>
        <w:t>Template Remarks</w:t>
      </w:r>
    </w:p>
    <w:p w14:paraId="32BED831" w14:textId="6E679007" w:rsidR="006B6D53" w:rsidRDefault="006B6D53" w:rsidP="006B6D53">
      <w:pPr>
        <w:jc w:val="both"/>
        <w:rPr>
          <w:rFonts w:asciiTheme="minorHAnsi" w:hAnsiTheme="minorHAnsi"/>
          <w:bCs/>
          <w:iCs/>
        </w:rPr>
      </w:pPr>
      <w:r w:rsidRPr="00A017EB">
        <w:rPr>
          <w:rFonts w:asciiTheme="minorHAnsi" w:hAnsiTheme="minorHAnsi"/>
          <w:lang w:val="en-GB"/>
        </w:rPr>
        <w:t xml:space="preserve">Fill out this template if you </w:t>
      </w:r>
      <w:r w:rsidRPr="00A017EB">
        <w:rPr>
          <w:rFonts w:asciiTheme="minorHAnsi" w:hAnsiTheme="minorHAnsi"/>
        </w:rPr>
        <w:t xml:space="preserve">offer some of these services and/or products, normally this template is applicable for </w:t>
      </w:r>
      <w:r w:rsidRPr="003B7B62">
        <w:rPr>
          <w:rFonts w:asciiTheme="minorHAnsi" w:hAnsiTheme="minorHAnsi"/>
          <w:bCs/>
          <w:iCs/>
        </w:rPr>
        <w:t xml:space="preserve">CI, </w:t>
      </w:r>
      <w:r>
        <w:rPr>
          <w:rFonts w:asciiTheme="minorHAnsi" w:hAnsiTheme="minorHAnsi"/>
          <w:bCs/>
          <w:iCs/>
        </w:rPr>
        <w:t xml:space="preserve">CP, </w:t>
      </w:r>
      <w:r w:rsidRPr="003B7B62">
        <w:rPr>
          <w:rFonts w:asciiTheme="minorHAnsi" w:hAnsiTheme="minorHAnsi"/>
          <w:bCs/>
          <w:iCs/>
        </w:rPr>
        <w:t>EMI</w:t>
      </w:r>
      <w:r>
        <w:rPr>
          <w:rFonts w:asciiTheme="minorHAnsi" w:hAnsiTheme="minorHAnsi"/>
          <w:bCs/>
          <w:iCs/>
        </w:rPr>
        <w:t xml:space="preserve">, </w:t>
      </w:r>
      <w:r w:rsidRPr="003B7B62">
        <w:rPr>
          <w:rFonts w:asciiTheme="minorHAnsi" w:hAnsiTheme="minorHAnsi"/>
          <w:bCs/>
          <w:iCs/>
        </w:rPr>
        <w:t>PI</w:t>
      </w:r>
      <w:r>
        <w:rPr>
          <w:rFonts w:asciiTheme="minorHAnsi" w:hAnsiTheme="minorHAnsi"/>
          <w:bCs/>
          <w:iCs/>
        </w:rPr>
        <w:t>, IF and CASP</w:t>
      </w:r>
      <w:r w:rsidRPr="00A017EB">
        <w:rPr>
          <w:rFonts w:asciiTheme="minorHAnsi" w:hAnsiTheme="minorHAnsi"/>
        </w:rPr>
        <w:t>.</w:t>
      </w:r>
    </w:p>
    <w:p w14:paraId="6D74A2E6" w14:textId="77777777" w:rsidR="003F23D6" w:rsidRPr="001417D6" w:rsidRDefault="003F23D6" w:rsidP="00624AAB">
      <w:pPr>
        <w:jc w:val="both"/>
        <w:rPr>
          <w:rFonts w:asciiTheme="minorHAnsi" w:hAnsiTheme="minorHAnsi"/>
          <w:lang w:val="en-GB"/>
        </w:rPr>
      </w:pPr>
      <w:r w:rsidRPr="001417D6">
        <w:rPr>
          <w:rFonts w:asciiTheme="minorHAnsi" w:hAnsiTheme="minorHAnsi"/>
          <w:lang w:val="en-GB"/>
        </w:rPr>
        <w:t>Refers to ‘crowdfunding services’ within the meaning of Article 2(1)(a) of Regulation (EU) 2020/1503.</w:t>
      </w:r>
    </w:p>
    <w:p w14:paraId="2E9A5607" w14:textId="1E989DEA" w:rsidR="003F23D6" w:rsidRPr="001417D6" w:rsidRDefault="003F23D6" w:rsidP="00624AAB">
      <w:pPr>
        <w:jc w:val="both"/>
        <w:rPr>
          <w:rFonts w:asciiTheme="minorHAnsi" w:hAnsiTheme="minorHAnsi"/>
          <w:lang w:val="en-GB"/>
        </w:rPr>
      </w:pPr>
      <w:r w:rsidRPr="001417D6">
        <w:rPr>
          <w:rFonts w:asciiTheme="minorHAnsi" w:hAnsiTheme="minorHAnsi"/>
          <w:lang w:val="en-GB"/>
        </w:rPr>
        <w:t xml:space="preserve">This activity must be carried out directly by the </w:t>
      </w:r>
      <w:r w:rsidR="00B45515">
        <w:rPr>
          <w:rFonts w:asciiTheme="minorHAnsi" w:hAnsiTheme="minorHAnsi"/>
          <w:lang w:val="en-GB"/>
        </w:rPr>
        <w:t xml:space="preserve">Reporting </w:t>
      </w:r>
      <w:r w:rsidR="00863B13">
        <w:rPr>
          <w:rFonts w:asciiTheme="minorHAnsi" w:hAnsiTheme="minorHAnsi"/>
          <w:lang w:val="en-GB"/>
        </w:rPr>
        <w:t>obliged entity</w:t>
      </w:r>
      <w:r w:rsidRPr="001417D6">
        <w:rPr>
          <w:rFonts w:asciiTheme="minorHAnsi" w:hAnsiTheme="minorHAnsi"/>
          <w:lang w:val="en-GB"/>
        </w:rPr>
        <w:t xml:space="preserve"> under an authorization granted pursuant to </w:t>
      </w:r>
      <w:r w:rsidR="00924135">
        <w:rPr>
          <w:rFonts w:asciiTheme="minorHAnsi" w:hAnsiTheme="minorHAnsi"/>
          <w:lang w:val="en-GB"/>
        </w:rPr>
        <w:t xml:space="preserve">Article 12 of </w:t>
      </w:r>
      <w:r w:rsidRPr="001417D6">
        <w:rPr>
          <w:rFonts w:asciiTheme="minorHAnsi" w:hAnsiTheme="minorHAnsi"/>
          <w:lang w:val="en-GB"/>
        </w:rPr>
        <w:t xml:space="preserve">Regulation (EU) 2020/1503. </w:t>
      </w:r>
      <w:r w:rsidR="00635125" w:rsidRPr="00635125">
        <w:rPr>
          <w:rFonts w:asciiTheme="minorHAnsi" w:hAnsiTheme="minorHAnsi"/>
          <w:lang w:val="en-GB"/>
        </w:rPr>
        <w:t>Therefore, only activities for which the Obliged Entity is authorized as a crowdfunding service provider should be included.</w:t>
      </w:r>
    </w:p>
    <w:p w14:paraId="44AEFD1E" w14:textId="47D88781" w:rsidR="003F23D6" w:rsidRPr="001417D6" w:rsidRDefault="003F23D6" w:rsidP="00624AAB">
      <w:pPr>
        <w:jc w:val="both"/>
        <w:rPr>
          <w:rFonts w:asciiTheme="minorHAnsi" w:hAnsiTheme="minorHAnsi"/>
          <w:lang w:val="en-GB"/>
        </w:rPr>
      </w:pPr>
      <w:r w:rsidRPr="001417D6">
        <w:rPr>
          <w:rFonts w:asciiTheme="minorHAnsi" w:hAnsiTheme="minorHAnsi"/>
          <w:lang w:val="en-GB"/>
        </w:rPr>
        <w:t>Transactions where an investor instructs, for example, a credit institution to execute a payment towards a crowdfunding platform for a specific project do not qualify as crowdfunding services; they are considered payment services only and should not be reported under the data points referred to crowdfunding</w:t>
      </w:r>
      <w:r w:rsidR="00CD1CFA" w:rsidRPr="001417D6">
        <w:rPr>
          <w:rFonts w:asciiTheme="minorHAnsi" w:hAnsiTheme="minorHAnsi"/>
          <w:lang w:val="en-GB"/>
        </w:rPr>
        <w:t>.</w:t>
      </w:r>
    </w:p>
    <w:tbl>
      <w:tblPr>
        <w:tblW w:w="92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3"/>
        <w:gridCol w:w="7616"/>
      </w:tblGrid>
      <w:tr w:rsidR="005E211E" w:rsidRPr="009B282E" w14:paraId="586CFBE7" w14:textId="77777777" w:rsidTr="467A3946">
        <w:tc>
          <w:tcPr>
            <w:tcW w:w="16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72C54F" w14:textId="77777777" w:rsidR="0097506C" w:rsidRPr="009275BC" w:rsidRDefault="0097506C" w:rsidP="00F32516">
            <w:pPr>
              <w:pStyle w:val="InstructionsText"/>
              <w:rPr>
                <w:rStyle w:val="InstructionsTabelleText"/>
                <w:rFonts w:asciiTheme="minorHAnsi" w:hAnsiTheme="minorHAnsi"/>
                <w:bCs w:val="0"/>
                <w:lang w:eastAsia="en-US"/>
              </w:rPr>
            </w:pPr>
            <w:r w:rsidRPr="009275BC">
              <w:rPr>
                <w:rStyle w:val="InstructionsTabelleText"/>
                <w:rFonts w:asciiTheme="minorHAnsi" w:hAnsiTheme="minorHAnsi"/>
              </w:rPr>
              <w:t>Column code</w:t>
            </w:r>
          </w:p>
        </w:tc>
        <w:tc>
          <w:tcPr>
            <w:tcW w:w="76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08673A" w14:textId="77777777" w:rsidR="0097506C" w:rsidRPr="009275BC" w:rsidRDefault="0097506C" w:rsidP="00F32516">
            <w:pPr>
              <w:pStyle w:val="InstructionsText"/>
              <w:rPr>
                <w:rStyle w:val="InstructionsTabelleText"/>
                <w:rFonts w:asciiTheme="minorHAnsi" w:hAnsiTheme="minorHAnsi"/>
                <w:bCs w:val="0"/>
                <w:lang w:eastAsia="en-US"/>
              </w:rPr>
            </w:pPr>
            <w:r w:rsidRPr="009275BC">
              <w:rPr>
                <w:rStyle w:val="InstructionsTabelleText"/>
                <w:rFonts w:asciiTheme="minorHAnsi" w:hAnsiTheme="minorHAnsi"/>
              </w:rPr>
              <w:t>Legal references and instructions</w:t>
            </w:r>
          </w:p>
        </w:tc>
      </w:tr>
      <w:tr w:rsidR="005E211E" w:rsidRPr="009B282E" w14:paraId="5350215F" w14:textId="77777777" w:rsidTr="002B165A">
        <w:tc>
          <w:tcPr>
            <w:tcW w:w="1673" w:type="dxa"/>
            <w:tcBorders>
              <w:top w:val="single" w:sz="4" w:space="0" w:color="auto"/>
              <w:left w:val="single" w:sz="4" w:space="0" w:color="auto"/>
              <w:bottom w:val="single" w:sz="4" w:space="0" w:color="auto"/>
              <w:right w:val="single" w:sz="4" w:space="0" w:color="auto"/>
            </w:tcBorders>
            <w:vAlign w:val="center"/>
          </w:tcPr>
          <w:p w14:paraId="6808B2F8" w14:textId="0A9F4FAF" w:rsidR="000C306A" w:rsidRPr="009275BC" w:rsidRDefault="006D79BD"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C0010</w:t>
            </w:r>
          </w:p>
        </w:tc>
        <w:tc>
          <w:tcPr>
            <w:tcW w:w="7616" w:type="dxa"/>
            <w:tcBorders>
              <w:top w:val="single" w:sz="8" w:space="0" w:color="auto"/>
              <w:left w:val="single" w:sz="4" w:space="0" w:color="auto"/>
              <w:bottom w:val="nil"/>
              <w:right w:val="single" w:sz="4" w:space="0" w:color="auto"/>
            </w:tcBorders>
            <w:vAlign w:val="center"/>
          </w:tcPr>
          <w:p w14:paraId="6F307560" w14:textId="77777777" w:rsidR="00491899" w:rsidRDefault="00491899" w:rsidP="000C306A">
            <w:pPr>
              <w:pStyle w:val="InstructionsText2"/>
              <w:rPr>
                <w:rFonts w:asciiTheme="minorHAnsi" w:hAnsiTheme="minorHAnsi"/>
                <w:sz w:val="20"/>
                <w:szCs w:val="20"/>
                <w:lang w:val="en-US"/>
              </w:rPr>
            </w:pPr>
            <w:r w:rsidRPr="00B161AB">
              <w:rPr>
                <w:rFonts w:ascii="Aptos" w:hAnsi="Aptos"/>
                <w:b/>
                <w:sz w:val="20"/>
                <w:szCs w:val="20"/>
                <w:u w:val="single"/>
                <w:lang w:val="en-US"/>
              </w:rPr>
              <w:t>Funding Projects - Value</w:t>
            </w:r>
          </w:p>
          <w:p w14:paraId="725896F5" w14:textId="0E799625" w:rsidR="0069481A" w:rsidRDefault="0069481A" w:rsidP="000C306A">
            <w:pPr>
              <w:pStyle w:val="InstructionsText2"/>
              <w:rPr>
                <w:rFonts w:asciiTheme="minorHAnsi" w:hAnsiTheme="minorHAnsi"/>
                <w:sz w:val="20"/>
                <w:szCs w:val="20"/>
                <w:lang w:val="en-US"/>
              </w:rPr>
            </w:pPr>
            <w:r w:rsidRPr="00315A74">
              <w:rPr>
                <w:rFonts w:asciiTheme="minorHAnsi" w:hAnsiTheme="minorHAnsi"/>
                <w:sz w:val="20"/>
                <w:szCs w:val="20"/>
                <w:lang w:val="en-US"/>
              </w:rPr>
              <w:t>Refers to ‘crowdfunding project’ within the meaning of Article 2</w:t>
            </w:r>
            <w:r w:rsidR="005767E2">
              <w:rPr>
                <w:rFonts w:asciiTheme="minorHAnsi" w:hAnsiTheme="minorHAnsi"/>
                <w:sz w:val="20"/>
                <w:szCs w:val="20"/>
                <w:lang w:val="en-US"/>
              </w:rPr>
              <w:t>(</w:t>
            </w:r>
            <w:r w:rsidRPr="00315A74">
              <w:rPr>
                <w:rFonts w:asciiTheme="minorHAnsi" w:hAnsiTheme="minorHAnsi"/>
                <w:sz w:val="20"/>
                <w:szCs w:val="20"/>
                <w:lang w:val="en-US"/>
              </w:rPr>
              <w:t>1</w:t>
            </w:r>
            <w:r w:rsidR="005767E2">
              <w:rPr>
                <w:rFonts w:asciiTheme="minorHAnsi" w:hAnsiTheme="minorHAnsi"/>
                <w:sz w:val="20"/>
                <w:szCs w:val="20"/>
                <w:lang w:val="en-US"/>
              </w:rPr>
              <w:t>)</w:t>
            </w:r>
            <w:r w:rsidRPr="00315A74">
              <w:rPr>
                <w:rFonts w:asciiTheme="minorHAnsi" w:hAnsiTheme="minorHAnsi"/>
                <w:sz w:val="20"/>
                <w:szCs w:val="20"/>
                <w:lang w:val="en-US"/>
              </w:rPr>
              <w:t>(l)</w:t>
            </w:r>
            <w:r w:rsidR="00A74754">
              <w:rPr>
                <w:rFonts w:asciiTheme="minorHAnsi" w:hAnsiTheme="minorHAnsi"/>
                <w:sz w:val="20"/>
                <w:szCs w:val="20"/>
                <w:lang w:val="en-US"/>
              </w:rPr>
              <w:t xml:space="preserve"> </w:t>
            </w:r>
            <w:r w:rsidR="00A74754" w:rsidRPr="00952396">
              <w:rPr>
                <w:rFonts w:asciiTheme="minorHAnsi" w:hAnsiTheme="minorHAnsi"/>
                <w:sz w:val="20"/>
                <w:lang w:val="en-US"/>
              </w:rPr>
              <w:t>of Regulation (EU) 2020/1503</w:t>
            </w:r>
            <w:r w:rsidRPr="00315A74">
              <w:rPr>
                <w:rFonts w:asciiTheme="minorHAnsi" w:hAnsiTheme="minorHAnsi"/>
                <w:sz w:val="20"/>
                <w:szCs w:val="20"/>
                <w:lang w:val="en-US"/>
              </w:rPr>
              <w:t>:</w:t>
            </w:r>
            <w:r w:rsidR="33548931" w:rsidRPr="467A3946">
              <w:rPr>
                <w:rFonts w:asciiTheme="minorHAnsi" w:hAnsiTheme="minorHAnsi"/>
                <w:sz w:val="20"/>
                <w:szCs w:val="20"/>
                <w:lang w:val="en-US"/>
              </w:rPr>
              <w:t xml:space="preserve"> </w:t>
            </w:r>
            <w:r w:rsidRPr="00315A74">
              <w:rPr>
                <w:rFonts w:asciiTheme="minorHAnsi" w:hAnsiTheme="minorHAnsi"/>
                <w:sz w:val="20"/>
                <w:szCs w:val="20"/>
                <w:lang w:val="en-US"/>
              </w:rPr>
              <w:t>the business activity or activities for which a project owner seeks funding through the crowdfunding offer.</w:t>
            </w:r>
          </w:p>
          <w:p w14:paraId="30C6BD12" w14:textId="4E2159A0" w:rsidR="0069481A" w:rsidRPr="00315A74" w:rsidRDefault="00C4587E" w:rsidP="000C306A">
            <w:pPr>
              <w:pStyle w:val="InstructionsText2"/>
              <w:rPr>
                <w:rFonts w:asciiTheme="minorHAnsi" w:hAnsiTheme="minorHAnsi"/>
                <w:sz w:val="20"/>
                <w:szCs w:val="20"/>
                <w:lang w:val="en-US"/>
              </w:rPr>
            </w:pPr>
            <w:r w:rsidRPr="00B161AB">
              <w:rPr>
                <w:rFonts w:asciiTheme="minorHAnsi" w:hAnsiTheme="minorHAnsi"/>
                <w:bCs/>
                <w:sz w:val="20"/>
                <w:lang w:val="en-US"/>
              </w:rPr>
              <w:t>Indicate the t</w:t>
            </w:r>
            <w:r w:rsidR="00DE33A3" w:rsidRPr="00B161AB">
              <w:rPr>
                <w:rFonts w:asciiTheme="minorHAnsi" w:hAnsiTheme="minorHAnsi"/>
                <w:bCs/>
                <w:sz w:val="20"/>
                <w:lang w:val="en-US"/>
              </w:rPr>
              <w:t>otal Value of fund</w:t>
            </w:r>
            <w:r w:rsidR="00183B5D">
              <w:rPr>
                <w:rFonts w:asciiTheme="minorHAnsi" w:hAnsiTheme="minorHAnsi"/>
                <w:bCs/>
                <w:sz w:val="20"/>
                <w:lang w:val="en-US"/>
              </w:rPr>
              <w:t xml:space="preserve">s collected during the </w:t>
            </w:r>
            <w:r w:rsidR="00DE33A3" w:rsidRPr="00B161AB">
              <w:rPr>
                <w:rFonts w:asciiTheme="minorHAnsi" w:hAnsiTheme="minorHAnsi"/>
                <w:bCs/>
                <w:sz w:val="20"/>
                <w:lang w:val="en-US"/>
              </w:rPr>
              <w:t>reference year</w:t>
            </w:r>
            <w:r w:rsidR="00183B5D">
              <w:rPr>
                <w:rFonts w:asciiTheme="minorHAnsi" w:hAnsiTheme="minorHAnsi"/>
                <w:bCs/>
                <w:sz w:val="20"/>
                <w:lang w:val="en-US"/>
              </w:rPr>
              <w:t xml:space="preserve"> as part of </w:t>
            </w:r>
            <w:r w:rsidR="00183B5D" w:rsidRPr="00315A74">
              <w:rPr>
                <w:rFonts w:asciiTheme="minorHAnsi" w:hAnsiTheme="minorHAnsi"/>
                <w:sz w:val="20"/>
                <w:szCs w:val="20"/>
                <w:lang w:val="en-US"/>
              </w:rPr>
              <w:t>‘crowdfunding project’</w:t>
            </w:r>
            <w:r w:rsidRPr="00B161AB">
              <w:rPr>
                <w:rFonts w:asciiTheme="minorHAnsi" w:hAnsiTheme="minorHAnsi"/>
                <w:bCs/>
                <w:sz w:val="20"/>
                <w:lang w:val="en-US"/>
              </w:rPr>
              <w:t>.</w:t>
            </w:r>
          </w:p>
        </w:tc>
      </w:tr>
      <w:tr w:rsidR="005E211E" w:rsidRPr="009B282E" w14:paraId="3ACD685B" w14:textId="77777777" w:rsidTr="002B165A">
        <w:tc>
          <w:tcPr>
            <w:tcW w:w="1673" w:type="dxa"/>
            <w:tcBorders>
              <w:top w:val="single" w:sz="4" w:space="0" w:color="auto"/>
              <w:left w:val="single" w:sz="4" w:space="0" w:color="auto"/>
              <w:bottom w:val="single" w:sz="4" w:space="0" w:color="auto"/>
              <w:right w:val="single" w:sz="4" w:space="0" w:color="auto"/>
            </w:tcBorders>
            <w:vAlign w:val="center"/>
          </w:tcPr>
          <w:p w14:paraId="441D1E71" w14:textId="5E8C9E76" w:rsidR="000C306A" w:rsidRPr="009275BC" w:rsidRDefault="006D79BD"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C0020</w:t>
            </w:r>
          </w:p>
        </w:tc>
        <w:tc>
          <w:tcPr>
            <w:tcW w:w="7616" w:type="dxa"/>
            <w:tcBorders>
              <w:top w:val="single" w:sz="4" w:space="0" w:color="auto"/>
              <w:left w:val="single" w:sz="4" w:space="0" w:color="auto"/>
              <w:bottom w:val="nil"/>
              <w:right w:val="single" w:sz="4" w:space="0" w:color="auto"/>
            </w:tcBorders>
            <w:vAlign w:val="center"/>
          </w:tcPr>
          <w:p w14:paraId="0CD714D8" w14:textId="5159968F" w:rsidR="00491899" w:rsidRDefault="00491899" w:rsidP="000C306A">
            <w:pPr>
              <w:pStyle w:val="InstructionsText2"/>
              <w:rPr>
                <w:rFonts w:asciiTheme="minorHAnsi" w:hAnsiTheme="minorHAnsi"/>
                <w:b/>
                <w:sz w:val="20"/>
                <w:u w:val="single"/>
                <w:lang w:val="en-US"/>
              </w:rPr>
            </w:pPr>
            <w:r w:rsidRPr="00952396">
              <w:rPr>
                <w:rFonts w:ascii="Aptos" w:hAnsi="Aptos"/>
                <w:b/>
                <w:sz w:val="20"/>
                <w:u w:val="single"/>
                <w:lang w:val="en-US"/>
              </w:rPr>
              <w:t xml:space="preserve">Projects Funded - </w:t>
            </w:r>
            <w:r w:rsidR="00856703">
              <w:rPr>
                <w:rFonts w:ascii="Aptos" w:hAnsi="Aptos"/>
                <w:b/>
                <w:sz w:val="20"/>
                <w:u w:val="single"/>
                <w:lang w:val="en-US"/>
              </w:rPr>
              <w:t>Number</w:t>
            </w:r>
          </w:p>
          <w:p w14:paraId="4A2AD947" w14:textId="51E02BC5" w:rsidR="00491899" w:rsidRPr="00952396" w:rsidRDefault="00491899" w:rsidP="000C306A">
            <w:pPr>
              <w:pStyle w:val="InstructionsText2"/>
              <w:rPr>
                <w:rFonts w:asciiTheme="minorHAnsi" w:hAnsiTheme="minorHAnsi"/>
                <w:sz w:val="20"/>
                <w:lang w:val="en-US"/>
              </w:rPr>
            </w:pPr>
            <w:r w:rsidRPr="00952396">
              <w:rPr>
                <w:rFonts w:asciiTheme="minorHAnsi" w:hAnsiTheme="minorHAnsi"/>
                <w:sz w:val="20"/>
                <w:lang w:val="en-US"/>
              </w:rPr>
              <w:t xml:space="preserve">Total number of crowdfunding projects for which funding was successfully completed during the reference year. Refer to </w:t>
            </w:r>
            <w:r w:rsidRPr="00952396">
              <w:rPr>
                <w:rFonts w:ascii="Aptos" w:hAnsi="Aptos" w:cs="Aptos"/>
                <w:sz w:val="20"/>
                <w:lang w:val="en-US"/>
              </w:rPr>
              <w:t>‘</w:t>
            </w:r>
            <w:r w:rsidRPr="00952396">
              <w:rPr>
                <w:rFonts w:asciiTheme="minorHAnsi" w:hAnsiTheme="minorHAnsi"/>
                <w:sz w:val="20"/>
                <w:lang w:val="en-US"/>
              </w:rPr>
              <w:t>crowdfunding project</w:t>
            </w:r>
            <w:r w:rsidR="00984BC2" w:rsidRPr="00952396">
              <w:rPr>
                <w:rFonts w:ascii="Aptos" w:hAnsi="Aptos" w:cs="Aptos"/>
                <w:sz w:val="20"/>
                <w:lang w:val="en-US"/>
              </w:rPr>
              <w:t>’</w:t>
            </w:r>
            <w:r w:rsidRPr="00952396">
              <w:rPr>
                <w:rFonts w:asciiTheme="minorHAnsi" w:hAnsiTheme="minorHAnsi"/>
                <w:sz w:val="20"/>
                <w:lang w:val="en-US"/>
              </w:rPr>
              <w:t xml:space="preserve"> within the meaning of Article 2</w:t>
            </w:r>
            <w:r w:rsidR="005767E2">
              <w:rPr>
                <w:rFonts w:asciiTheme="minorHAnsi" w:hAnsiTheme="minorHAnsi"/>
                <w:sz w:val="20"/>
                <w:lang w:val="en-US"/>
              </w:rPr>
              <w:t>(</w:t>
            </w:r>
            <w:r w:rsidRPr="00952396">
              <w:rPr>
                <w:rFonts w:asciiTheme="minorHAnsi" w:hAnsiTheme="minorHAnsi"/>
                <w:sz w:val="20"/>
                <w:lang w:val="en-US"/>
              </w:rPr>
              <w:t>1</w:t>
            </w:r>
            <w:r w:rsidR="005767E2">
              <w:rPr>
                <w:rFonts w:asciiTheme="minorHAnsi" w:hAnsiTheme="minorHAnsi"/>
                <w:sz w:val="20"/>
                <w:lang w:val="en-US"/>
              </w:rPr>
              <w:t>)</w:t>
            </w:r>
            <w:r w:rsidRPr="00952396">
              <w:rPr>
                <w:rFonts w:asciiTheme="minorHAnsi" w:hAnsiTheme="minorHAnsi"/>
                <w:sz w:val="20"/>
                <w:lang w:val="en-US"/>
              </w:rPr>
              <w:t>(l)</w:t>
            </w:r>
            <w:r w:rsidR="00A74754" w:rsidRPr="00952396">
              <w:rPr>
                <w:rFonts w:asciiTheme="minorHAnsi" w:hAnsiTheme="minorHAnsi"/>
                <w:sz w:val="20"/>
                <w:lang w:val="en-US"/>
              </w:rPr>
              <w:t xml:space="preserve"> of Regulation (EU) 2020/1503</w:t>
            </w:r>
            <w:r w:rsidRPr="00952396">
              <w:rPr>
                <w:rFonts w:asciiTheme="minorHAnsi" w:hAnsiTheme="minorHAnsi"/>
                <w:sz w:val="20"/>
                <w:lang w:val="en-US"/>
              </w:rPr>
              <w:t>.</w:t>
            </w:r>
          </w:p>
          <w:p w14:paraId="2C25A23A" w14:textId="1BA27A72" w:rsidR="0069481A" w:rsidRPr="00952396" w:rsidRDefault="00B72E5A" w:rsidP="000C306A">
            <w:pPr>
              <w:pStyle w:val="InstructionsText2"/>
              <w:rPr>
                <w:rFonts w:asciiTheme="minorHAnsi" w:hAnsiTheme="minorHAnsi"/>
                <w:sz w:val="20"/>
                <w:lang w:val="en-US"/>
              </w:rPr>
            </w:pPr>
            <w:r w:rsidRPr="00952396">
              <w:rPr>
                <w:rFonts w:asciiTheme="minorHAnsi" w:hAnsiTheme="minorHAnsi"/>
                <w:bCs/>
                <w:sz w:val="20"/>
                <w:lang w:val="en-US"/>
              </w:rPr>
              <w:t xml:space="preserve">Indicate the </w:t>
            </w:r>
            <w:r w:rsidR="000108DE" w:rsidRPr="00952396">
              <w:rPr>
                <w:rFonts w:asciiTheme="minorHAnsi" w:hAnsiTheme="minorHAnsi"/>
                <w:bCs/>
                <w:sz w:val="20"/>
                <w:lang w:val="en-US"/>
              </w:rPr>
              <w:t>t</w:t>
            </w:r>
            <w:r w:rsidRPr="00952396">
              <w:rPr>
                <w:rFonts w:asciiTheme="minorHAnsi" w:hAnsiTheme="minorHAnsi"/>
                <w:bCs/>
                <w:sz w:val="20"/>
                <w:lang w:val="en-US"/>
              </w:rPr>
              <w:t xml:space="preserve">otal </w:t>
            </w:r>
            <w:r w:rsidR="000108DE" w:rsidRPr="00952396">
              <w:rPr>
                <w:rFonts w:asciiTheme="minorHAnsi" w:hAnsiTheme="minorHAnsi"/>
                <w:bCs/>
                <w:sz w:val="20"/>
                <w:lang w:val="en-US"/>
              </w:rPr>
              <w:t>n</w:t>
            </w:r>
            <w:r w:rsidRPr="00952396">
              <w:rPr>
                <w:rFonts w:asciiTheme="minorHAnsi" w:hAnsiTheme="minorHAnsi"/>
                <w:bCs/>
                <w:sz w:val="20"/>
                <w:lang w:val="en-US"/>
              </w:rPr>
              <w:t xml:space="preserve">umber of </w:t>
            </w:r>
            <w:r w:rsidR="00A251CE" w:rsidRPr="00952396">
              <w:rPr>
                <w:rFonts w:asciiTheme="minorHAnsi" w:hAnsiTheme="minorHAnsi"/>
                <w:bCs/>
                <w:sz w:val="20"/>
                <w:lang w:val="en-US"/>
              </w:rPr>
              <w:t xml:space="preserve">successfully funded </w:t>
            </w:r>
            <w:r w:rsidRPr="00952396">
              <w:rPr>
                <w:rFonts w:asciiTheme="minorHAnsi" w:hAnsiTheme="minorHAnsi"/>
                <w:bCs/>
                <w:sz w:val="20"/>
                <w:lang w:val="en-US"/>
              </w:rPr>
              <w:t xml:space="preserve">projects </w:t>
            </w:r>
            <w:r w:rsidR="00A251CE" w:rsidRPr="00952396">
              <w:rPr>
                <w:rFonts w:asciiTheme="minorHAnsi" w:hAnsiTheme="minorHAnsi"/>
                <w:bCs/>
                <w:sz w:val="20"/>
                <w:lang w:val="en-US"/>
              </w:rPr>
              <w:t>during</w:t>
            </w:r>
            <w:r w:rsidRPr="00952396">
              <w:rPr>
                <w:rFonts w:asciiTheme="minorHAnsi" w:hAnsiTheme="minorHAnsi"/>
                <w:bCs/>
                <w:sz w:val="20"/>
                <w:lang w:val="en-US"/>
              </w:rPr>
              <w:t xml:space="preserve"> the reference year</w:t>
            </w:r>
            <w:r w:rsidR="00A251CE" w:rsidRPr="00952396">
              <w:rPr>
                <w:rFonts w:asciiTheme="minorHAnsi" w:hAnsiTheme="minorHAnsi"/>
                <w:bCs/>
                <w:sz w:val="20"/>
                <w:lang w:val="en-US"/>
              </w:rPr>
              <w:t>.</w:t>
            </w:r>
          </w:p>
        </w:tc>
      </w:tr>
      <w:tr w:rsidR="005E211E" w:rsidRPr="009B282E" w14:paraId="22C7A58E" w14:textId="77777777" w:rsidTr="002B165A">
        <w:tc>
          <w:tcPr>
            <w:tcW w:w="1673" w:type="dxa"/>
            <w:tcBorders>
              <w:top w:val="single" w:sz="4" w:space="0" w:color="auto"/>
              <w:left w:val="single" w:sz="4" w:space="0" w:color="auto"/>
              <w:bottom w:val="single" w:sz="4" w:space="0" w:color="auto"/>
              <w:right w:val="single" w:sz="4" w:space="0" w:color="auto"/>
            </w:tcBorders>
            <w:vAlign w:val="center"/>
          </w:tcPr>
          <w:p w14:paraId="75294A5D" w14:textId="38FDDD0E" w:rsidR="000C306A" w:rsidRPr="009275BC" w:rsidRDefault="006D79BD"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C0030</w:t>
            </w:r>
          </w:p>
        </w:tc>
        <w:tc>
          <w:tcPr>
            <w:tcW w:w="7616" w:type="dxa"/>
            <w:tcBorders>
              <w:top w:val="single" w:sz="4" w:space="0" w:color="auto"/>
              <w:left w:val="single" w:sz="4" w:space="0" w:color="auto"/>
              <w:bottom w:val="nil"/>
              <w:right w:val="single" w:sz="4" w:space="0" w:color="auto"/>
            </w:tcBorders>
            <w:vAlign w:val="center"/>
          </w:tcPr>
          <w:p w14:paraId="34BB9B06" w14:textId="77777777" w:rsidR="00491899" w:rsidRDefault="00491899" w:rsidP="000C306A">
            <w:pPr>
              <w:pStyle w:val="InstructionsText2"/>
              <w:rPr>
                <w:rFonts w:asciiTheme="minorHAnsi" w:hAnsiTheme="minorHAnsi"/>
                <w:sz w:val="20"/>
                <w:szCs w:val="20"/>
                <w:lang w:val="en-US"/>
              </w:rPr>
            </w:pPr>
            <w:r w:rsidRPr="00EC0818">
              <w:rPr>
                <w:rFonts w:ascii="Aptos" w:hAnsi="Aptos"/>
                <w:b/>
                <w:sz w:val="20"/>
                <w:szCs w:val="20"/>
                <w:u w:val="single"/>
                <w:lang w:val="en-US"/>
              </w:rPr>
              <w:t>Donors from High-risk Countries</w:t>
            </w:r>
          </w:p>
          <w:p w14:paraId="70A2483C" w14:textId="2563C42F" w:rsidR="00B113B8" w:rsidRDefault="00685D90" w:rsidP="000C306A">
            <w:pPr>
              <w:pStyle w:val="InstructionsText2"/>
              <w:rPr>
                <w:rFonts w:asciiTheme="minorHAnsi" w:hAnsiTheme="minorHAnsi"/>
                <w:sz w:val="20"/>
                <w:szCs w:val="20"/>
                <w:lang w:val="en-US"/>
              </w:rPr>
            </w:pPr>
            <w:r>
              <w:rPr>
                <w:rFonts w:asciiTheme="minorHAnsi" w:hAnsiTheme="minorHAnsi"/>
                <w:sz w:val="20"/>
                <w:szCs w:val="20"/>
                <w:lang w:val="en-US"/>
              </w:rPr>
              <w:t xml:space="preserve">For the concept of donor we refer to the </w:t>
            </w:r>
            <w:r w:rsidRPr="00685D90">
              <w:rPr>
                <w:rFonts w:asciiTheme="minorHAnsi" w:hAnsiTheme="minorHAnsi"/>
                <w:sz w:val="20"/>
                <w:szCs w:val="20"/>
                <w:lang w:val="en-US"/>
              </w:rPr>
              <w:t xml:space="preserve">concept of investors, as </w:t>
            </w:r>
            <w:r w:rsidR="00944F1D">
              <w:rPr>
                <w:rFonts w:asciiTheme="minorHAnsi" w:hAnsiTheme="minorHAnsi"/>
                <w:sz w:val="20"/>
                <w:szCs w:val="20"/>
                <w:lang w:val="en-US"/>
              </w:rPr>
              <w:t>described</w:t>
            </w:r>
            <w:r w:rsidRPr="00685D90">
              <w:rPr>
                <w:rFonts w:asciiTheme="minorHAnsi" w:hAnsiTheme="minorHAnsi"/>
                <w:sz w:val="20"/>
                <w:szCs w:val="20"/>
                <w:lang w:val="en-US"/>
              </w:rPr>
              <w:t xml:space="preserve"> in Article 2</w:t>
            </w:r>
            <w:r w:rsidR="00A74754">
              <w:rPr>
                <w:rFonts w:asciiTheme="minorHAnsi" w:hAnsiTheme="minorHAnsi"/>
                <w:sz w:val="20"/>
                <w:szCs w:val="20"/>
                <w:lang w:val="en-US"/>
              </w:rPr>
              <w:t>(1)</w:t>
            </w:r>
            <w:r w:rsidRPr="00685D90">
              <w:rPr>
                <w:rFonts w:asciiTheme="minorHAnsi" w:hAnsiTheme="minorHAnsi"/>
                <w:sz w:val="20"/>
                <w:szCs w:val="20"/>
                <w:lang w:val="en-US"/>
              </w:rPr>
              <w:t>(i)</w:t>
            </w:r>
            <w:r w:rsidR="00944F1D" w:rsidRPr="00944F1D">
              <w:rPr>
                <w:rFonts w:asciiTheme="minorHAnsi" w:eastAsia="Cambria" w:hAnsiTheme="minorHAnsi"/>
                <w:color w:val="262626" w:themeColor="text1" w:themeTint="D9"/>
                <w:kern w:val="20"/>
                <w:sz w:val="20"/>
                <w:szCs w:val="20"/>
                <w:lang w:val="en-US" w:eastAsia="ja-JP"/>
              </w:rPr>
              <w:t xml:space="preserve"> </w:t>
            </w:r>
            <w:r w:rsidR="00A74754" w:rsidRPr="00952396">
              <w:rPr>
                <w:rFonts w:asciiTheme="minorHAnsi" w:hAnsiTheme="minorHAnsi"/>
                <w:sz w:val="20"/>
                <w:lang w:val="en-US"/>
              </w:rPr>
              <w:t>of Regulation (EU) 2020/1503</w:t>
            </w:r>
            <w:r w:rsidR="00944F1D">
              <w:rPr>
                <w:rFonts w:asciiTheme="minorHAnsi" w:hAnsiTheme="minorHAnsi"/>
                <w:sz w:val="20"/>
                <w:szCs w:val="20"/>
                <w:lang w:val="en-US"/>
              </w:rPr>
              <w:t xml:space="preserve">: </w:t>
            </w:r>
            <w:r w:rsidRPr="00685D90">
              <w:rPr>
                <w:rFonts w:asciiTheme="minorHAnsi" w:hAnsiTheme="minorHAnsi"/>
                <w:sz w:val="20"/>
                <w:szCs w:val="20"/>
                <w:lang w:val="en-US"/>
              </w:rPr>
              <w:t>any natural or legal person who, through a crowdfunding platform, grants loans or acquires transferable securities or admitted instruments for crowdfunding purposes</w:t>
            </w:r>
            <w:r w:rsidR="00486548">
              <w:rPr>
                <w:rFonts w:asciiTheme="minorHAnsi" w:hAnsiTheme="minorHAnsi"/>
                <w:sz w:val="20"/>
                <w:szCs w:val="20"/>
                <w:lang w:val="en-US"/>
              </w:rPr>
              <w:t>.</w:t>
            </w:r>
          </w:p>
          <w:p w14:paraId="4C16D3C9" w14:textId="3DCD0AD7" w:rsidR="00B113B8" w:rsidRPr="00315A74" w:rsidRDefault="00486548" w:rsidP="000C306A">
            <w:pPr>
              <w:pStyle w:val="InstructionsText2"/>
              <w:rPr>
                <w:rFonts w:asciiTheme="minorHAnsi" w:hAnsiTheme="minorHAnsi"/>
                <w:sz w:val="20"/>
                <w:szCs w:val="20"/>
                <w:lang w:val="en-US"/>
              </w:rPr>
            </w:pPr>
            <w:r>
              <w:rPr>
                <w:rFonts w:asciiTheme="minorHAnsi" w:hAnsiTheme="minorHAnsi"/>
                <w:sz w:val="20"/>
                <w:szCs w:val="20"/>
                <w:lang w:val="en-US"/>
              </w:rPr>
              <w:t xml:space="preserve">Indicate the </w:t>
            </w:r>
            <w:r w:rsidRPr="00EC0818">
              <w:rPr>
                <w:rFonts w:asciiTheme="minorHAnsi" w:hAnsiTheme="minorHAnsi"/>
                <w:sz w:val="20"/>
                <w:szCs w:val="20"/>
                <w:lang w:val="en-US"/>
              </w:rPr>
              <w:t>total number of donors from high-risk countries</w:t>
            </w:r>
            <w:r w:rsidR="7A3C776A" w:rsidRPr="50F3B38F">
              <w:rPr>
                <w:rFonts w:asciiTheme="minorHAnsi" w:hAnsiTheme="minorHAnsi"/>
                <w:sz w:val="20"/>
                <w:szCs w:val="20"/>
                <w:lang w:val="en-US"/>
              </w:rPr>
              <w:t xml:space="preserve"> during the reference year</w:t>
            </w:r>
            <w:r w:rsidR="00204CCA">
              <w:rPr>
                <w:rFonts w:asciiTheme="minorHAnsi" w:hAnsiTheme="minorHAnsi"/>
                <w:sz w:val="20"/>
                <w:szCs w:val="20"/>
                <w:lang w:val="en-US"/>
              </w:rPr>
              <w:t xml:space="preserve">, for the purpose of this data collection, the </w:t>
            </w:r>
            <w:r w:rsidR="000E5566">
              <w:rPr>
                <w:rFonts w:asciiTheme="minorHAnsi" w:hAnsiTheme="minorHAnsi"/>
                <w:sz w:val="20"/>
                <w:szCs w:val="20"/>
                <w:lang w:val="en-US"/>
              </w:rPr>
              <w:t xml:space="preserve">country should </w:t>
            </w:r>
            <w:r w:rsidR="00EA17DA">
              <w:rPr>
                <w:rFonts w:asciiTheme="minorHAnsi" w:hAnsiTheme="minorHAnsi"/>
                <w:sz w:val="20"/>
                <w:szCs w:val="20"/>
                <w:lang w:val="en-US"/>
              </w:rPr>
              <w:t xml:space="preserve">be referred to the country of the payment account of the donor. </w:t>
            </w:r>
          </w:p>
        </w:tc>
      </w:tr>
      <w:tr w:rsidR="005E211E" w:rsidRPr="009B282E" w14:paraId="05F30A50" w14:textId="77777777" w:rsidTr="002B165A">
        <w:tc>
          <w:tcPr>
            <w:tcW w:w="1673" w:type="dxa"/>
            <w:tcBorders>
              <w:top w:val="single" w:sz="4" w:space="0" w:color="auto"/>
              <w:left w:val="single" w:sz="4" w:space="0" w:color="auto"/>
              <w:bottom w:val="single" w:sz="4" w:space="0" w:color="auto"/>
              <w:right w:val="single" w:sz="4" w:space="0" w:color="auto"/>
            </w:tcBorders>
            <w:vAlign w:val="center"/>
          </w:tcPr>
          <w:p w14:paraId="602702C3" w14:textId="2FEFEB4E" w:rsidR="000C306A" w:rsidRPr="009275BC" w:rsidRDefault="006D79BD"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C0040</w:t>
            </w:r>
          </w:p>
        </w:tc>
        <w:tc>
          <w:tcPr>
            <w:tcW w:w="7616" w:type="dxa"/>
            <w:tcBorders>
              <w:top w:val="single" w:sz="4" w:space="0" w:color="auto"/>
              <w:left w:val="single" w:sz="4" w:space="0" w:color="auto"/>
              <w:bottom w:val="single" w:sz="8" w:space="0" w:color="auto"/>
              <w:right w:val="single" w:sz="4" w:space="0" w:color="auto"/>
            </w:tcBorders>
            <w:vAlign w:val="center"/>
          </w:tcPr>
          <w:p w14:paraId="05E39487" w14:textId="77777777" w:rsidR="00491899" w:rsidRDefault="00491899" w:rsidP="000C306A">
            <w:pPr>
              <w:pStyle w:val="InstructionsText2"/>
              <w:rPr>
                <w:rFonts w:asciiTheme="minorHAnsi" w:hAnsiTheme="minorHAnsi"/>
                <w:sz w:val="20"/>
                <w:szCs w:val="20"/>
                <w:lang w:val="en-US"/>
              </w:rPr>
            </w:pPr>
            <w:r w:rsidRPr="003010FB">
              <w:rPr>
                <w:rFonts w:ascii="Aptos" w:hAnsi="Aptos"/>
                <w:b/>
                <w:sz w:val="20"/>
                <w:szCs w:val="20"/>
                <w:u w:val="single"/>
                <w:lang w:val="en-US"/>
              </w:rPr>
              <w:t>Projects with High-risk Country Owners</w:t>
            </w:r>
          </w:p>
          <w:p w14:paraId="74F3ADED" w14:textId="7E25A914" w:rsidR="000C306A" w:rsidRDefault="00EA60AD" w:rsidP="000C306A">
            <w:pPr>
              <w:pStyle w:val="InstructionsText2"/>
              <w:rPr>
                <w:rFonts w:asciiTheme="minorHAnsi" w:hAnsiTheme="minorHAnsi"/>
                <w:sz w:val="20"/>
                <w:szCs w:val="20"/>
                <w:lang w:val="en-US"/>
              </w:rPr>
            </w:pPr>
            <w:r w:rsidRPr="00315A74">
              <w:rPr>
                <w:rFonts w:asciiTheme="minorHAnsi" w:hAnsiTheme="minorHAnsi"/>
                <w:sz w:val="20"/>
                <w:szCs w:val="20"/>
                <w:lang w:val="en-US"/>
              </w:rPr>
              <w:t>Project o</w:t>
            </w:r>
            <w:r w:rsidR="00EA0314" w:rsidRPr="00315A74">
              <w:rPr>
                <w:rFonts w:asciiTheme="minorHAnsi" w:hAnsiTheme="minorHAnsi"/>
                <w:sz w:val="20"/>
                <w:szCs w:val="20"/>
                <w:lang w:val="en-US"/>
              </w:rPr>
              <w:t xml:space="preserve">wner </w:t>
            </w:r>
            <w:r w:rsidRPr="00315A74">
              <w:rPr>
                <w:rFonts w:asciiTheme="minorHAnsi" w:hAnsiTheme="minorHAnsi"/>
                <w:sz w:val="20"/>
                <w:szCs w:val="20"/>
                <w:lang w:val="en-US"/>
              </w:rPr>
              <w:t xml:space="preserve">is defined in Article </w:t>
            </w:r>
            <w:r w:rsidR="000C070E" w:rsidRPr="00315A74">
              <w:rPr>
                <w:rFonts w:asciiTheme="minorHAnsi" w:hAnsiTheme="minorHAnsi"/>
                <w:sz w:val="20"/>
                <w:szCs w:val="20"/>
                <w:lang w:val="en-US"/>
              </w:rPr>
              <w:t>2</w:t>
            </w:r>
            <w:r w:rsidR="0058682C">
              <w:rPr>
                <w:rFonts w:asciiTheme="minorHAnsi" w:hAnsiTheme="minorHAnsi"/>
                <w:sz w:val="20"/>
                <w:szCs w:val="20"/>
                <w:lang w:val="en-US"/>
              </w:rPr>
              <w:t>(</w:t>
            </w:r>
            <w:r w:rsidR="000C070E" w:rsidRPr="00315A74">
              <w:rPr>
                <w:rFonts w:asciiTheme="minorHAnsi" w:hAnsiTheme="minorHAnsi"/>
                <w:sz w:val="20"/>
                <w:szCs w:val="20"/>
                <w:lang w:val="en-US"/>
              </w:rPr>
              <w:t>1</w:t>
            </w:r>
            <w:r w:rsidR="0058682C">
              <w:rPr>
                <w:rFonts w:asciiTheme="minorHAnsi" w:hAnsiTheme="minorHAnsi"/>
                <w:sz w:val="20"/>
                <w:szCs w:val="20"/>
                <w:lang w:val="en-US"/>
              </w:rPr>
              <w:t>)</w:t>
            </w:r>
            <w:r w:rsidR="000C070E" w:rsidRPr="00315A74">
              <w:rPr>
                <w:rFonts w:asciiTheme="minorHAnsi" w:hAnsiTheme="minorHAnsi"/>
                <w:sz w:val="20"/>
                <w:szCs w:val="20"/>
                <w:lang w:val="en-US"/>
              </w:rPr>
              <w:t>(h) of Regulation (EU) 2020/1503.</w:t>
            </w:r>
          </w:p>
          <w:p w14:paraId="53A1EC4C" w14:textId="12B69D18" w:rsidR="000C306A" w:rsidRPr="00315A74" w:rsidRDefault="00F80355" w:rsidP="000C306A">
            <w:pPr>
              <w:pStyle w:val="InstructionsText2"/>
              <w:rPr>
                <w:rFonts w:asciiTheme="minorHAnsi" w:hAnsiTheme="minorHAnsi"/>
                <w:sz w:val="20"/>
                <w:szCs w:val="20"/>
                <w:lang w:val="en-US"/>
              </w:rPr>
            </w:pPr>
            <w:r>
              <w:rPr>
                <w:rFonts w:asciiTheme="minorHAnsi" w:hAnsiTheme="minorHAnsi"/>
                <w:sz w:val="20"/>
                <w:szCs w:val="20"/>
                <w:lang w:val="en-US"/>
              </w:rPr>
              <w:t xml:space="preserve">Indicate the </w:t>
            </w:r>
            <w:r w:rsidRPr="003010FB">
              <w:rPr>
                <w:rFonts w:asciiTheme="minorHAnsi" w:hAnsiTheme="minorHAnsi"/>
                <w:sz w:val="20"/>
                <w:szCs w:val="20"/>
                <w:lang w:val="en-US"/>
              </w:rPr>
              <w:t>total number of projects where the owner is from a high-risk country</w:t>
            </w:r>
            <w:r w:rsidR="65E3955E" w:rsidRPr="4E5444F6">
              <w:rPr>
                <w:rFonts w:asciiTheme="minorHAnsi" w:hAnsiTheme="minorHAnsi"/>
                <w:sz w:val="20"/>
                <w:szCs w:val="20"/>
                <w:lang w:val="en-US"/>
              </w:rPr>
              <w:t xml:space="preserve"> </w:t>
            </w:r>
            <w:r w:rsidR="65E3955E" w:rsidRPr="245BA5CA">
              <w:rPr>
                <w:rFonts w:asciiTheme="minorHAnsi" w:hAnsiTheme="minorHAnsi"/>
                <w:sz w:val="20"/>
                <w:szCs w:val="20"/>
                <w:lang w:val="en-US"/>
              </w:rPr>
              <w:t>during the reference year</w:t>
            </w:r>
            <w:r w:rsidRPr="003010FB">
              <w:rPr>
                <w:rFonts w:asciiTheme="minorHAnsi" w:hAnsiTheme="minorHAnsi"/>
                <w:sz w:val="20"/>
                <w:szCs w:val="20"/>
                <w:lang w:val="en-US"/>
              </w:rPr>
              <w:t>.</w:t>
            </w:r>
          </w:p>
        </w:tc>
      </w:tr>
    </w:tbl>
    <w:p w14:paraId="7BEB8186" w14:textId="0CCC0895" w:rsidR="00CB14A2" w:rsidRPr="009B282E" w:rsidRDefault="004771A9" w:rsidP="00CB14A2">
      <w:pPr>
        <w:pStyle w:val="Heading3"/>
        <w:rPr>
          <w:lang w:val="en-GB"/>
        </w:rPr>
      </w:pPr>
      <w:bookmarkStart w:id="258" w:name="_Toc223086589"/>
      <w:bookmarkStart w:id="259" w:name="_Toc223086683"/>
      <w:bookmarkStart w:id="260" w:name="_Toc223086777"/>
      <w:bookmarkStart w:id="261" w:name="_Toc223086871"/>
      <w:bookmarkStart w:id="262" w:name="_Toc221355996"/>
      <w:bookmarkStart w:id="263" w:name="_Toc223104862"/>
      <w:bookmarkEnd w:id="258"/>
      <w:bookmarkEnd w:id="259"/>
      <w:bookmarkEnd w:id="260"/>
      <w:bookmarkEnd w:id="261"/>
      <w:r w:rsidRPr="009B282E">
        <w:rPr>
          <w:lang w:val="en-GB"/>
        </w:rPr>
        <w:t>AML.04.1</w:t>
      </w:r>
      <w:r w:rsidR="00B46824">
        <w:rPr>
          <w:lang w:val="en-GB"/>
        </w:rPr>
        <w:t>4</w:t>
      </w:r>
      <w:r w:rsidRPr="009B282E">
        <w:rPr>
          <w:lang w:val="en-GB"/>
        </w:rPr>
        <w:t xml:space="preserve"> </w:t>
      </w:r>
      <w:r w:rsidR="00CB14A2" w:rsidRPr="009B282E">
        <w:rPr>
          <w:lang w:val="en-GB"/>
        </w:rPr>
        <w:t xml:space="preserve">Cash </w:t>
      </w:r>
      <w:r w:rsidR="001F775D">
        <w:rPr>
          <w:lang w:val="en-GB"/>
        </w:rPr>
        <w:t>t</w:t>
      </w:r>
      <w:r w:rsidR="00CB14A2" w:rsidRPr="009B282E">
        <w:rPr>
          <w:lang w:val="en-GB"/>
        </w:rPr>
        <w:t>ransactions</w:t>
      </w:r>
      <w:bookmarkEnd w:id="262"/>
      <w:bookmarkEnd w:id="263"/>
    </w:p>
    <w:p w14:paraId="7DD14D9A" w14:textId="77777777" w:rsidR="006B6D53" w:rsidRPr="00A017EB" w:rsidRDefault="006B6D53" w:rsidP="006B6D53">
      <w:pPr>
        <w:rPr>
          <w:rFonts w:asciiTheme="minorHAnsi" w:hAnsiTheme="minorHAnsi"/>
          <w:b/>
          <w:bCs/>
          <w:iCs/>
        </w:rPr>
      </w:pPr>
      <w:r w:rsidRPr="00A017EB">
        <w:rPr>
          <w:rFonts w:asciiTheme="minorHAnsi" w:hAnsiTheme="minorHAnsi"/>
          <w:b/>
          <w:bCs/>
          <w:iCs/>
        </w:rPr>
        <w:t>Template Remarks</w:t>
      </w:r>
    </w:p>
    <w:p w14:paraId="619B1B88" w14:textId="746E2826" w:rsidR="006B6D53" w:rsidRDefault="006B6D53" w:rsidP="006B6D53">
      <w:pPr>
        <w:jc w:val="both"/>
        <w:rPr>
          <w:rFonts w:asciiTheme="minorHAnsi" w:hAnsiTheme="minorHAnsi"/>
          <w:bCs/>
          <w:iCs/>
        </w:rPr>
      </w:pPr>
      <w:r w:rsidRPr="00A017EB">
        <w:rPr>
          <w:rFonts w:asciiTheme="minorHAnsi" w:hAnsiTheme="minorHAnsi"/>
          <w:lang w:val="en-GB"/>
        </w:rPr>
        <w:t xml:space="preserve">Fill out this template if you </w:t>
      </w:r>
      <w:r w:rsidRPr="00A017EB">
        <w:rPr>
          <w:rFonts w:asciiTheme="minorHAnsi" w:hAnsiTheme="minorHAnsi"/>
        </w:rPr>
        <w:t xml:space="preserve">offer some of these services and/or products, normally this template is applicable for </w:t>
      </w:r>
      <w:r w:rsidRPr="003B7B62">
        <w:rPr>
          <w:rFonts w:asciiTheme="minorHAnsi" w:hAnsiTheme="minorHAnsi"/>
          <w:bCs/>
          <w:iCs/>
        </w:rPr>
        <w:t xml:space="preserve">CI, </w:t>
      </w:r>
      <w:r>
        <w:rPr>
          <w:rFonts w:asciiTheme="minorHAnsi" w:hAnsiTheme="minorHAnsi"/>
          <w:bCs/>
          <w:iCs/>
        </w:rPr>
        <w:t>CP, LI,</w:t>
      </w:r>
      <w:r w:rsidR="00FE02BF">
        <w:rPr>
          <w:rFonts w:asciiTheme="minorHAnsi" w:hAnsiTheme="minorHAnsi"/>
          <w:bCs/>
          <w:iCs/>
        </w:rPr>
        <w:t xml:space="preserve"> </w:t>
      </w:r>
      <w:r w:rsidRPr="003B7B62">
        <w:rPr>
          <w:rFonts w:asciiTheme="minorHAnsi" w:hAnsiTheme="minorHAnsi"/>
          <w:bCs/>
          <w:iCs/>
        </w:rPr>
        <w:t>EMI</w:t>
      </w:r>
      <w:r>
        <w:rPr>
          <w:rFonts w:asciiTheme="minorHAnsi" w:hAnsiTheme="minorHAnsi"/>
          <w:bCs/>
          <w:iCs/>
        </w:rPr>
        <w:t xml:space="preserve">, </w:t>
      </w:r>
      <w:r w:rsidRPr="003B7B62">
        <w:rPr>
          <w:rFonts w:asciiTheme="minorHAnsi" w:hAnsiTheme="minorHAnsi"/>
          <w:bCs/>
          <w:iCs/>
        </w:rPr>
        <w:t>PI</w:t>
      </w:r>
      <w:r>
        <w:rPr>
          <w:rFonts w:asciiTheme="minorHAnsi" w:hAnsiTheme="minorHAnsi"/>
          <w:bCs/>
          <w:iCs/>
        </w:rPr>
        <w:t xml:space="preserve"> and </w:t>
      </w:r>
      <w:r w:rsidR="00FE02BF">
        <w:rPr>
          <w:rFonts w:asciiTheme="minorHAnsi" w:hAnsiTheme="minorHAnsi"/>
          <w:bCs/>
          <w:iCs/>
        </w:rPr>
        <w:t>CASP</w:t>
      </w:r>
      <w:r w:rsidRPr="00A017EB">
        <w:rPr>
          <w:rFonts w:asciiTheme="minorHAnsi" w:hAnsiTheme="minorHAnsi"/>
        </w:rPr>
        <w:t>.</w:t>
      </w:r>
    </w:p>
    <w:p w14:paraId="7293D231" w14:textId="36F948DA" w:rsidR="00756C22" w:rsidRPr="009A254D" w:rsidRDefault="00756C22" w:rsidP="00756C22">
      <w:pPr>
        <w:rPr>
          <w:rFonts w:asciiTheme="minorHAnsi" w:hAnsiTheme="minorHAnsi"/>
        </w:rPr>
      </w:pPr>
      <w:r w:rsidRPr="4EE85BFC">
        <w:rPr>
          <w:rFonts w:asciiTheme="minorHAnsi" w:hAnsiTheme="minorHAnsi"/>
        </w:rPr>
        <w:t xml:space="preserve">Cash transactions </w:t>
      </w:r>
      <w:r w:rsidR="005C3C4E" w:rsidRPr="4EE85BFC">
        <w:rPr>
          <w:rFonts w:asciiTheme="minorHAnsi" w:hAnsiTheme="minorHAnsi"/>
        </w:rPr>
        <w:t xml:space="preserve">refers to transaction based on cash, as defined in </w:t>
      </w:r>
      <w:r w:rsidR="00467147" w:rsidRPr="4EE85BFC">
        <w:rPr>
          <w:rFonts w:asciiTheme="minorHAnsi" w:hAnsiTheme="minorHAnsi"/>
        </w:rPr>
        <w:t>Article 2</w:t>
      </w:r>
      <w:r w:rsidR="00793D06" w:rsidRPr="4EE85BFC">
        <w:rPr>
          <w:rFonts w:asciiTheme="minorHAnsi" w:hAnsiTheme="minorHAnsi"/>
        </w:rPr>
        <w:t>(</w:t>
      </w:r>
      <w:r w:rsidR="00467147" w:rsidRPr="4EE85BFC">
        <w:rPr>
          <w:rFonts w:asciiTheme="minorHAnsi" w:hAnsiTheme="minorHAnsi"/>
        </w:rPr>
        <w:t>1</w:t>
      </w:r>
      <w:r w:rsidR="00793D06" w:rsidRPr="4EE85BFC">
        <w:rPr>
          <w:rFonts w:asciiTheme="minorHAnsi" w:hAnsiTheme="minorHAnsi"/>
        </w:rPr>
        <w:t>)</w:t>
      </w:r>
      <w:r w:rsidR="00467147" w:rsidRPr="4EE85BFC">
        <w:rPr>
          <w:rFonts w:asciiTheme="minorHAnsi" w:hAnsiTheme="minorHAnsi"/>
        </w:rPr>
        <w:t xml:space="preserve">(43) </w:t>
      </w:r>
      <w:r w:rsidR="00632313" w:rsidRPr="4EE85BFC">
        <w:rPr>
          <w:rFonts w:asciiTheme="minorHAnsi" w:hAnsiTheme="minorHAnsi"/>
        </w:rPr>
        <w:t>AMLR</w:t>
      </w:r>
      <w:r w:rsidRPr="4EE85BFC">
        <w:rPr>
          <w:rFonts w:asciiTheme="minorHAnsi" w:hAnsiTheme="minorHAnsi"/>
        </w:rPr>
        <w:t>.</w:t>
      </w:r>
    </w:p>
    <w:tbl>
      <w:tblPr>
        <w:tblW w:w="92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3"/>
        <w:gridCol w:w="7616"/>
      </w:tblGrid>
      <w:tr w:rsidR="005E211E" w:rsidRPr="009B282E" w14:paraId="2E9DCF09" w14:textId="77777777" w:rsidTr="2B2C152E">
        <w:tc>
          <w:tcPr>
            <w:tcW w:w="16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C8BC76" w14:textId="77777777" w:rsidR="0097506C" w:rsidRPr="009275BC" w:rsidRDefault="0097506C" w:rsidP="00F32516">
            <w:pPr>
              <w:pStyle w:val="InstructionsText"/>
              <w:rPr>
                <w:rStyle w:val="InstructionsTabelleText"/>
                <w:rFonts w:asciiTheme="minorHAnsi" w:hAnsiTheme="minorHAnsi"/>
                <w:bCs w:val="0"/>
                <w:lang w:eastAsia="en-US"/>
              </w:rPr>
            </w:pPr>
            <w:r w:rsidRPr="009275BC">
              <w:rPr>
                <w:rStyle w:val="InstructionsTabelleText"/>
                <w:rFonts w:asciiTheme="minorHAnsi" w:hAnsiTheme="minorHAnsi"/>
              </w:rPr>
              <w:t>Column code</w:t>
            </w:r>
          </w:p>
        </w:tc>
        <w:tc>
          <w:tcPr>
            <w:tcW w:w="76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F2C5DE" w14:textId="77777777" w:rsidR="0097506C" w:rsidRPr="009275BC" w:rsidRDefault="0097506C" w:rsidP="00F32516">
            <w:pPr>
              <w:pStyle w:val="InstructionsText"/>
              <w:rPr>
                <w:rStyle w:val="InstructionsTabelleText"/>
                <w:rFonts w:asciiTheme="minorHAnsi" w:hAnsiTheme="minorHAnsi"/>
                <w:bCs w:val="0"/>
                <w:lang w:eastAsia="en-US"/>
              </w:rPr>
            </w:pPr>
            <w:r w:rsidRPr="009275BC">
              <w:rPr>
                <w:rStyle w:val="InstructionsTabelleText"/>
                <w:rFonts w:asciiTheme="minorHAnsi" w:hAnsiTheme="minorHAnsi"/>
              </w:rPr>
              <w:t>Legal references and instructions</w:t>
            </w:r>
          </w:p>
        </w:tc>
      </w:tr>
      <w:tr w:rsidR="005E211E" w:rsidRPr="009B282E" w14:paraId="5CE2368E" w14:textId="77777777" w:rsidTr="009A254D">
        <w:tc>
          <w:tcPr>
            <w:tcW w:w="1673" w:type="dxa"/>
            <w:tcBorders>
              <w:top w:val="single" w:sz="4" w:space="0" w:color="auto"/>
              <w:left w:val="single" w:sz="4" w:space="0" w:color="auto"/>
              <w:bottom w:val="single" w:sz="4" w:space="0" w:color="auto"/>
              <w:right w:val="single" w:sz="4" w:space="0" w:color="auto"/>
            </w:tcBorders>
            <w:vAlign w:val="center"/>
          </w:tcPr>
          <w:p w14:paraId="771C49A2" w14:textId="65092D30" w:rsidR="008621A8" w:rsidRPr="009275BC" w:rsidRDefault="00324F72"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C0010</w:t>
            </w:r>
          </w:p>
        </w:tc>
        <w:tc>
          <w:tcPr>
            <w:tcW w:w="7616" w:type="dxa"/>
            <w:tcBorders>
              <w:top w:val="single" w:sz="8" w:space="0" w:color="auto"/>
              <w:left w:val="single" w:sz="4" w:space="0" w:color="auto"/>
              <w:bottom w:val="nil"/>
              <w:right w:val="single" w:sz="4" w:space="0" w:color="auto"/>
            </w:tcBorders>
            <w:vAlign w:val="center"/>
          </w:tcPr>
          <w:p w14:paraId="6B24958D" w14:textId="3518F2A1" w:rsidR="00491899" w:rsidRDefault="00491899" w:rsidP="00CD248A">
            <w:pPr>
              <w:pStyle w:val="InstructionsText2"/>
              <w:rPr>
                <w:rFonts w:asciiTheme="minorHAnsi" w:hAnsiTheme="minorHAnsi"/>
                <w:sz w:val="20"/>
                <w:lang w:val="en-IE"/>
              </w:rPr>
            </w:pPr>
            <w:r w:rsidRPr="00163738">
              <w:rPr>
                <w:rFonts w:ascii="Aptos" w:hAnsi="Aptos"/>
                <w:b/>
                <w:sz w:val="20"/>
                <w:u w:val="single"/>
                <w:lang w:val="en-IE"/>
              </w:rPr>
              <w:t xml:space="preserve">Cash Transactions (Withdrawals) - </w:t>
            </w:r>
            <w:r w:rsidR="00A61D8D">
              <w:rPr>
                <w:rFonts w:ascii="Aptos" w:hAnsi="Aptos"/>
                <w:b/>
                <w:sz w:val="20"/>
                <w:u w:val="single"/>
                <w:lang w:val="en-IE"/>
              </w:rPr>
              <w:t>Number</w:t>
            </w:r>
          </w:p>
          <w:p w14:paraId="1341C2FE" w14:textId="51A27A88" w:rsidR="00CD248A" w:rsidRPr="00CD248A" w:rsidRDefault="00491899" w:rsidP="000C556B">
            <w:pPr>
              <w:pStyle w:val="InstructionsText2"/>
              <w:rPr>
                <w:rFonts w:asciiTheme="minorHAnsi" w:hAnsiTheme="minorHAnsi"/>
                <w:lang w:val="en-US"/>
              </w:rPr>
            </w:pPr>
            <w:r w:rsidRPr="003010FB">
              <w:rPr>
                <w:rFonts w:asciiTheme="minorHAnsi" w:hAnsiTheme="minorHAnsi"/>
                <w:sz w:val="20"/>
                <w:lang w:val="en-IE"/>
              </w:rPr>
              <w:t xml:space="preserve">Indicate Cash Transactions (Withdrawals) - </w:t>
            </w:r>
            <w:r w:rsidR="00A61D8D" w:rsidRPr="003010FB">
              <w:rPr>
                <w:rFonts w:asciiTheme="minorHAnsi" w:hAnsiTheme="minorHAnsi"/>
                <w:sz w:val="20"/>
                <w:lang w:val="en-IE"/>
              </w:rPr>
              <w:t>Number</w:t>
            </w:r>
            <w:r w:rsidRPr="003010FB">
              <w:rPr>
                <w:rFonts w:asciiTheme="minorHAnsi" w:hAnsiTheme="minorHAnsi"/>
                <w:sz w:val="20"/>
                <w:lang w:val="en-IE"/>
              </w:rPr>
              <w:t xml:space="preserve"> during the reference year.</w:t>
            </w:r>
          </w:p>
        </w:tc>
      </w:tr>
      <w:tr w:rsidR="005E211E" w:rsidRPr="009B282E" w14:paraId="0F785CF6" w14:textId="77777777" w:rsidTr="009A254D">
        <w:tc>
          <w:tcPr>
            <w:tcW w:w="1673" w:type="dxa"/>
            <w:tcBorders>
              <w:top w:val="single" w:sz="4" w:space="0" w:color="auto"/>
              <w:left w:val="single" w:sz="4" w:space="0" w:color="auto"/>
              <w:bottom w:val="single" w:sz="4" w:space="0" w:color="auto"/>
              <w:right w:val="single" w:sz="4" w:space="0" w:color="auto"/>
            </w:tcBorders>
            <w:vAlign w:val="center"/>
          </w:tcPr>
          <w:p w14:paraId="6D53CCD6" w14:textId="6C1C4903" w:rsidR="008621A8" w:rsidRPr="009275BC" w:rsidRDefault="00324F72"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C0020</w:t>
            </w:r>
          </w:p>
        </w:tc>
        <w:tc>
          <w:tcPr>
            <w:tcW w:w="7616" w:type="dxa"/>
            <w:tcBorders>
              <w:top w:val="single" w:sz="4" w:space="0" w:color="auto"/>
              <w:left w:val="single" w:sz="4" w:space="0" w:color="auto"/>
              <w:bottom w:val="nil"/>
              <w:right w:val="single" w:sz="4" w:space="0" w:color="auto"/>
            </w:tcBorders>
            <w:vAlign w:val="center"/>
          </w:tcPr>
          <w:p w14:paraId="703FADCA" w14:textId="77777777" w:rsidR="00491899" w:rsidRDefault="00491899" w:rsidP="008621A8">
            <w:pPr>
              <w:pStyle w:val="InstructionsText2"/>
              <w:rPr>
                <w:rFonts w:asciiTheme="minorHAnsi" w:hAnsiTheme="minorHAnsi"/>
                <w:sz w:val="20"/>
                <w:lang w:val="en-IE"/>
              </w:rPr>
            </w:pPr>
            <w:r w:rsidRPr="002D4B53">
              <w:rPr>
                <w:rFonts w:ascii="Aptos" w:hAnsi="Aptos"/>
                <w:b/>
                <w:sz w:val="20"/>
                <w:u w:val="single"/>
                <w:lang w:val="en-IE"/>
              </w:rPr>
              <w:t>Cash Transactions (Deposits) - Volume</w:t>
            </w:r>
          </w:p>
          <w:p w14:paraId="42E6131F" w14:textId="03A10272" w:rsidR="00CD248A" w:rsidRPr="00CD248A" w:rsidRDefault="00491899" w:rsidP="000C556B">
            <w:pPr>
              <w:pStyle w:val="InstructionsText2"/>
              <w:rPr>
                <w:rFonts w:asciiTheme="minorHAnsi" w:hAnsiTheme="minorHAnsi"/>
                <w:lang w:val="en-US"/>
              </w:rPr>
            </w:pPr>
            <w:r w:rsidRPr="008D06CB">
              <w:rPr>
                <w:rFonts w:asciiTheme="minorHAnsi" w:hAnsiTheme="minorHAnsi"/>
                <w:sz w:val="20"/>
                <w:lang w:val="en-IE"/>
              </w:rPr>
              <w:t xml:space="preserve">Indicate Cash Transactions (Deposits) - </w:t>
            </w:r>
            <w:r w:rsidR="006E53CC" w:rsidRPr="008D06CB">
              <w:rPr>
                <w:rFonts w:asciiTheme="minorHAnsi" w:hAnsiTheme="minorHAnsi"/>
                <w:sz w:val="20"/>
                <w:lang w:val="en-IE"/>
              </w:rPr>
              <w:t>Number</w:t>
            </w:r>
            <w:r w:rsidRPr="008D06CB">
              <w:rPr>
                <w:rFonts w:asciiTheme="minorHAnsi" w:hAnsiTheme="minorHAnsi"/>
                <w:sz w:val="20"/>
                <w:lang w:val="en-IE"/>
              </w:rPr>
              <w:t xml:space="preserve"> during the reference year.</w:t>
            </w:r>
          </w:p>
        </w:tc>
      </w:tr>
      <w:tr w:rsidR="005E211E" w:rsidRPr="009B282E" w14:paraId="005B5160" w14:textId="77777777" w:rsidTr="009A254D">
        <w:tc>
          <w:tcPr>
            <w:tcW w:w="1673" w:type="dxa"/>
            <w:tcBorders>
              <w:top w:val="single" w:sz="4" w:space="0" w:color="auto"/>
              <w:left w:val="single" w:sz="4" w:space="0" w:color="auto"/>
              <w:bottom w:val="single" w:sz="4" w:space="0" w:color="auto"/>
              <w:right w:val="single" w:sz="4" w:space="0" w:color="auto"/>
            </w:tcBorders>
            <w:vAlign w:val="center"/>
          </w:tcPr>
          <w:p w14:paraId="179314E6" w14:textId="6DBBBCB9" w:rsidR="008621A8" w:rsidRPr="009275BC" w:rsidRDefault="00324F72"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C0030</w:t>
            </w:r>
          </w:p>
        </w:tc>
        <w:tc>
          <w:tcPr>
            <w:tcW w:w="7616" w:type="dxa"/>
            <w:tcBorders>
              <w:top w:val="single" w:sz="4" w:space="0" w:color="auto"/>
              <w:left w:val="single" w:sz="4" w:space="0" w:color="auto"/>
              <w:bottom w:val="nil"/>
              <w:right w:val="single" w:sz="4" w:space="0" w:color="auto"/>
            </w:tcBorders>
            <w:vAlign w:val="center"/>
          </w:tcPr>
          <w:p w14:paraId="3ABFEF27" w14:textId="77777777" w:rsidR="00491899" w:rsidRDefault="00491899" w:rsidP="008621A8">
            <w:pPr>
              <w:pStyle w:val="InstructionsText2"/>
              <w:rPr>
                <w:rFonts w:asciiTheme="minorHAnsi" w:hAnsiTheme="minorHAnsi"/>
                <w:sz w:val="20"/>
                <w:lang w:val="en-IE"/>
              </w:rPr>
            </w:pPr>
            <w:r w:rsidRPr="008D06CB">
              <w:rPr>
                <w:rFonts w:ascii="Aptos" w:hAnsi="Aptos"/>
                <w:b/>
                <w:sz w:val="20"/>
                <w:u w:val="single"/>
                <w:lang w:val="en-IE"/>
              </w:rPr>
              <w:t>Cash Transactions (Withdrawals) - Value</w:t>
            </w:r>
          </w:p>
          <w:p w14:paraId="009572A2" w14:textId="14A1CB95" w:rsidR="00CD248A" w:rsidRPr="00CD248A" w:rsidRDefault="00491899" w:rsidP="004F06CF">
            <w:pPr>
              <w:pStyle w:val="InstructionsText2"/>
              <w:rPr>
                <w:rFonts w:asciiTheme="minorHAnsi" w:hAnsiTheme="minorHAnsi"/>
                <w:lang w:val="en-US"/>
              </w:rPr>
            </w:pPr>
            <w:r w:rsidRPr="00163738">
              <w:rPr>
                <w:rFonts w:asciiTheme="minorHAnsi" w:hAnsiTheme="minorHAnsi"/>
                <w:sz w:val="20"/>
                <w:lang w:val="en-IE"/>
              </w:rPr>
              <w:t>Indicate Cash Transactions (Withdrawals) - Value during the reference year.</w:t>
            </w:r>
          </w:p>
        </w:tc>
      </w:tr>
      <w:tr w:rsidR="005E211E" w:rsidRPr="009B282E" w14:paraId="1EE1B5F9" w14:textId="77777777" w:rsidTr="009A254D">
        <w:tc>
          <w:tcPr>
            <w:tcW w:w="1673" w:type="dxa"/>
            <w:tcBorders>
              <w:top w:val="single" w:sz="4" w:space="0" w:color="auto"/>
              <w:left w:val="single" w:sz="4" w:space="0" w:color="auto"/>
              <w:bottom w:val="single" w:sz="4" w:space="0" w:color="auto"/>
              <w:right w:val="single" w:sz="4" w:space="0" w:color="auto"/>
            </w:tcBorders>
            <w:vAlign w:val="center"/>
          </w:tcPr>
          <w:p w14:paraId="4A4D7CE8" w14:textId="2B62F21B" w:rsidR="008621A8" w:rsidRPr="009275BC" w:rsidRDefault="00324F72"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C0040</w:t>
            </w:r>
          </w:p>
        </w:tc>
        <w:tc>
          <w:tcPr>
            <w:tcW w:w="7616" w:type="dxa"/>
            <w:tcBorders>
              <w:top w:val="single" w:sz="4" w:space="0" w:color="auto"/>
              <w:left w:val="single" w:sz="4" w:space="0" w:color="auto"/>
              <w:bottom w:val="nil"/>
              <w:right w:val="single" w:sz="4" w:space="0" w:color="auto"/>
            </w:tcBorders>
            <w:vAlign w:val="center"/>
          </w:tcPr>
          <w:p w14:paraId="05C23AC7" w14:textId="77777777" w:rsidR="00491899" w:rsidRDefault="00491899" w:rsidP="008621A8">
            <w:pPr>
              <w:pStyle w:val="InstructionsText2"/>
              <w:rPr>
                <w:rFonts w:asciiTheme="minorHAnsi" w:hAnsiTheme="minorHAnsi"/>
                <w:sz w:val="20"/>
                <w:lang w:val="en-IE"/>
              </w:rPr>
            </w:pPr>
            <w:r w:rsidRPr="008D06CB">
              <w:rPr>
                <w:rFonts w:ascii="Aptos" w:hAnsi="Aptos"/>
                <w:b/>
                <w:sz w:val="20"/>
                <w:u w:val="single"/>
                <w:lang w:val="en-IE"/>
              </w:rPr>
              <w:t>Cash Transactions (Deposits) - Value</w:t>
            </w:r>
          </w:p>
          <w:p w14:paraId="19BDBBFE" w14:textId="2B573088" w:rsidR="00CD248A" w:rsidRPr="00CD248A" w:rsidRDefault="00491899" w:rsidP="004F06CF">
            <w:pPr>
              <w:pStyle w:val="InstructionsText2"/>
              <w:rPr>
                <w:rFonts w:asciiTheme="minorHAnsi" w:hAnsiTheme="minorHAnsi"/>
                <w:lang w:val="en-US"/>
              </w:rPr>
            </w:pPr>
            <w:r w:rsidRPr="008D06CB">
              <w:rPr>
                <w:rFonts w:asciiTheme="minorHAnsi" w:hAnsiTheme="minorHAnsi"/>
                <w:sz w:val="20"/>
                <w:lang w:val="en-IE"/>
              </w:rPr>
              <w:t>Indicate Cash Transactions (Deposits) - Value during the reference year.</w:t>
            </w:r>
          </w:p>
        </w:tc>
      </w:tr>
      <w:tr w:rsidR="005E211E" w:rsidRPr="009B282E" w14:paraId="264D3212" w14:textId="77777777" w:rsidTr="009A254D">
        <w:tc>
          <w:tcPr>
            <w:tcW w:w="1673" w:type="dxa"/>
            <w:tcBorders>
              <w:top w:val="single" w:sz="4" w:space="0" w:color="auto"/>
              <w:left w:val="single" w:sz="4" w:space="0" w:color="auto"/>
              <w:bottom w:val="single" w:sz="4" w:space="0" w:color="auto"/>
              <w:right w:val="single" w:sz="4" w:space="0" w:color="auto"/>
            </w:tcBorders>
            <w:vAlign w:val="center"/>
          </w:tcPr>
          <w:p w14:paraId="540EDBDC" w14:textId="5CE79052" w:rsidR="008621A8" w:rsidRPr="009275BC" w:rsidRDefault="00324F72"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C0050</w:t>
            </w:r>
          </w:p>
        </w:tc>
        <w:tc>
          <w:tcPr>
            <w:tcW w:w="7616" w:type="dxa"/>
            <w:tcBorders>
              <w:top w:val="single" w:sz="4" w:space="0" w:color="auto"/>
              <w:left w:val="single" w:sz="4" w:space="0" w:color="auto"/>
              <w:bottom w:val="single" w:sz="8" w:space="0" w:color="auto"/>
              <w:right w:val="single" w:sz="4" w:space="0" w:color="auto"/>
            </w:tcBorders>
            <w:vAlign w:val="center"/>
          </w:tcPr>
          <w:p w14:paraId="774AED67" w14:textId="77777777" w:rsidR="00491899" w:rsidRDefault="00491899" w:rsidP="008621A8">
            <w:pPr>
              <w:pStyle w:val="InstructionsText2"/>
              <w:rPr>
                <w:rFonts w:asciiTheme="minorHAnsi" w:hAnsiTheme="minorHAnsi"/>
                <w:sz w:val="20"/>
                <w:lang w:val="en-IE"/>
              </w:rPr>
            </w:pPr>
            <w:r w:rsidRPr="0049322D">
              <w:rPr>
                <w:rFonts w:ascii="Aptos" w:hAnsi="Aptos"/>
                <w:b/>
                <w:sz w:val="20"/>
                <w:u w:val="single"/>
                <w:lang w:val="en-IE"/>
              </w:rPr>
              <w:t>Customers with Cash Transactions &gt; EUR 20 000</w:t>
            </w:r>
          </w:p>
          <w:p w14:paraId="59156EEC" w14:textId="075C74CE" w:rsidR="00CD248A" w:rsidRPr="00CD248A" w:rsidRDefault="00491899" w:rsidP="004F06CF">
            <w:pPr>
              <w:pStyle w:val="InstructionsText2"/>
              <w:rPr>
                <w:rFonts w:asciiTheme="minorHAnsi" w:hAnsiTheme="minorHAnsi"/>
                <w:sz w:val="20"/>
                <w:lang w:val="en-US"/>
              </w:rPr>
            </w:pPr>
            <w:r w:rsidRPr="0049322D">
              <w:rPr>
                <w:rFonts w:asciiTheme="minorHAnsi" w:hAnsiTheme="minorHAnsi"/>
                <w:sz w:val="20"/>
                <w:lang w:val="en-IE"/>
              </w:rPr>
              <w:t xml:space="preserve">Indicate </w:t>
            </w:r>
            <w:r w:rsidR="00F66E20" w:rsidRPr="0049322D">
              <w:rPr>
                <w:rFonts w:asciiTheme="minorHAnsi" w:hAnsiTheme="minorHAnsi"/>
                <w:sz w:val="20"/>
                <w:lang w:val="en-IE"/>
              </w:rPr>
              <w:t>the</w:t>
            </w:r>
            <w:r w:rsidR="0026120A">
              <w:rPr>
                <w:rFonts w:asciiTheme="minorHAnsi" w:hAnsiTheme="minorHAnsi"/>
                <w:sz w:val="20"/>
                <w:lang w:val="en-IE"/>
              </w:rPr>
              <w:t xml:space="preserve"> number of c</w:t>
            </w:r>
            <w:r w:rsidRPr="0049322D">
              <w:rPr>
                <w:rFonts w:asciiTheme="minorHAnsi" w:hAnsiTheme="minorHAnsi"/>
                <w:sz w:val="20"/>
                <w:lang w:val="en-IE"/>
              </w:rPr>
              <w:t xml:space="preserve">ustomers with Cash Transactions </w:t>
            </w:r>
            <w:r w:rsidR="00541BBD" w:rsidRPr="0049322D">
              <w:rPr>
                <w:rFonts w:asciiTheme="minorHAnsi" w:hAnsiTheme="minorHAnsi"/>
                <w:sz w:val="20"/>
                <w:lang w:val="en-IE"/>
              </w:rPr>
              <w:t xml:space="preserve">(Withdrawals + Deposits) </w:t>
            </w:r>
            <w:r w:rsidRPr="0049322D">
              <w:rPr>
                <w:rFonts w:asciiTheme="minorHAnsi" w:hAnsiTheme="minorHAnsi"/>
                <w:sz w:val="20"/>
                <w:lang w:val="en-IE"/>
              </w:rPr>
              <w:t>&gt; EUR 20</w:t>
            </w:r>
            <w:r w:rsidR="00E075A4">
              <w:rPr>
                <w:rFonts w:asciiTheme="minorHAnsi" w:hAnsiTheme="minorHAnsi"/>
                <w:sz w:val="20"/>
                <w:lang w:val="en-IE"/>
              </w:rPr>
              <w:t>.</w:t>
            </w:r>
            <w:r w:rsidRPr="0049322D">
              <w:rPr>
                <w:rFonts w:asciiTheme="minorHAnsi" w:hAnsiTheme="minorHAnsi"/>
                <w:sz w:val="20"/>
                <w:lang w:val="en-IE"/>
              </w:rPr>
              <w:t>000 during the reference year.</w:t>
            </w:r>
          </w:p>
        </w:tc>
      </w:tr>
    </w:tbl>
    <w:p w14:paraId="6491D4FF" w14:textId="22DB6DAC" w:rsidR="00CB14A2" w:rsidRPr="00E4533F" w:rsidRDefault="00112D63" w:rsidP="00385644">
      <w:pPr>
        <w:pStyle w:val="Heading2"/>
        <w:rPr>
          <w:rFonts w:asciiTheme="minorHAnsi" w:hAnsiTheme="minorHAnsi"/>
          <w:lang w:val="en-IE"/>
        </w:rPr>
      </w:pPr>
      <w:bookmarkStart w:id="264" w:name="_Toc223086591"/>
      <w:bookmarkStart w:id="265" w:name="_Toc223086685"/>
      <w:bookmarkStart w:id="266" w:name="_Toc223086779"/>
      <w:bookmarkStart w:id="267" w:name="_Toc223086873"/>
      <w:bookmarkStart w:id="268" w:name="_Toc221355997"/>
      <w:bookmarkStart w:id="269" w:name="_Toc223104863"/>
      <w:bookmarkEnd w:id="264"/>
      <w:bookmarkEnd w:id="265"/>
      <w:bookmarkEnd w:id="266"/>
      <w:bookmarkEnd w:id="267"/>
      <w:r w:rsidRPr="00E4533F">
        <w:rPr>
          <w:rFonts w:asciiTheme="minorHAnsi" w:hAnsiTheme="minorHAnsi"/>
          <w:lang w:val="en-IE"/>
        </w:rPr>
        <w:t xml:space="preserve">AML.05.01 </w:t>
      </w:r>
      <w:r w:rsidR="0080527E" w:rsidRPr="00E4533F">
        <w:rPr>
          <w:rFonts w:asciiTheme="minorHAnsi" w:hAnsiTheme="minorHAnsi"/>
          <w:lang w:val="en-IE"/>
        </w:rPr>
        <w:t>Geographies</w:t>
      </w:r>
      <w:bookmarkEnd w:id="268"/>
      <w:bookmarkEnd w:id="269"/>
    </w:p>
    <w:p w14:paraId="7D9A79B4" w14:textId="77777777" w:rsidR="008E1D72" w:rsidRPr="00A017EB" w:rsidRDefault="008E1D72" w:rsidP="002E747D">
      <w:pPr>
        <w:jc w:val="both"/>
        <w:rPr>
          <w:rFonts w:asciiTheme="minorHAnsi" w:hAnsiTheme="minorHAnsi"/>
          <w:b/>
          <w:bCs/>
          <w:iCs/>
        </w:rPr>
      </w:pPr>
      <w:r w:rsidRPr="00A017EB">
        <w:rPr>
          <w:rFonts w:asciiTheme="minorHAnsi" w:hAnsiTheme="minorHAnsi"/>
          <w:b/>
          <w:bCs/>
          <w:iCs/>
        </w:rPr>
        <w:t>Template Remarks</w:t>
      </w:r>
    </w:p>
    <w:p w14:paraId="0645BC9D" w14:textId="77777777" w:rsidR="003758AF" w:rsidRPr="00003055" w:rsidRDefault="003758AF" w:rsidP="002E747D">
      <w:pPr>
        <w:jc w:val="both"/>
        <w:rPr>
          <w:rFonts w:asciiTheme="minorHAnsi" w:hAnsiTheme="minorHAnsi"/>
          <w:lang w:val="en-IE"/>
        </w:rPr>
      </w:pPr>
      <w:r w:rsidRPr="00A95314">
        <w:rPr>
          <w:rFonts w:asciiTheme="minorHAnsi" w:hAnsiTheme="minorHAnsi"/>
          <w:lang w:val="en-IE"/>
        </w:rPr>
        <w:t>This</w:t>
      </w:r>
      <w:r w:rsidRPr="00003055">
        <w:rPr>
          <w:rFonts w:asciiTheme="minorHAnsi" w:hAnsiTheme="minorHAnsi"/>
          <w:lang w:val="en-IE"/>
        </w:rPr>
        <w:t xml:space="preserve"> template (cluster of datapoints) is applicable for all sectors (unless it is mentioned in the datapoint otherwise). </w:t>
      </w:r>
    </w:p>
    <w:p w14:paraId="528D69D6" w14:textId="53CE02B5" w:rsidR="002A3730" w:rsidRPr="00CD248A" w:rsidRDefault="00472549" w:rsidP="002E747D">
      <w:pPr>
        <w:jc w:val="both"/>
        <w:rPr>
          <w:rFonts w:asciiTheme="minorHAnsi" w:hAnsiTheme="minorHAnsi"/>
          <w:lang w:val="en-IE"/>
        </w:rPr>
      </w:pPr>
      <w:r>
        <w:rPr>
          <w:rFonts w:asciiTheme="minorHAnsi" w:hAnsiTheme="minorHAnsi"/>
          <w:lang w:val="en-IE"/>
        </w:rPr>
        <w:t xml:space="preserve">For the purpose of this exercise, </w:t>
      </w:r>
      <w:r w:rsidR="00ED51A1">
        <w:rPr>
          <w:rFonts w:asciiTheme="minorHAnsi" w:hAnsiTheme="minorHAnsi"/>
          <w:lang w:val="en-IE"/>
        </w:rPr>
        <w:t xml:space="preserve">“per country” in the </w:t>
      </w:r>
      <w:r w:rsidR="005904B0">
        <w:rPr>
          <w:rFonts w:asciiTheme="minorHAnsi" w:hAnsiTheme="minorHAnsi"/>
          <w:lang w:val="en-IE"/>
        </w:rPr>
        <w:t xml:space="preserve">data points relevant for </w:t>
      </w:r>
      <w:r>
        <w:rPr>
          <w:rFonts w:asciiTheme="minorHAnsi" w:hAnsiTheme="minorHAnsi"/>
          <w:lang w:val="en-IE"/>
        </w:rPr>
        <w:t xml:space="preserve">transactions </w:t>
      </w:r>
      <w:r w:rsidR="00ED51A1">
        <w:rPr>
          <w:rFonts w:asciiTheme="minorHAnsi" w:hAnsiTheme="minorHAnsi"/>
          <w:lang w:val="en-IE"/>
        </w:rPr>
        <w:t xml:space="preserve">mean country of the account of the </w:t>
      </w:r>
      <w:r w:rsidR="00D80B2A">
        <w:rPr>
          <w:rFonts w:asciiTheme="minorHAnsi" w:hAnsiTheme="minorHAnsi"/>
          <w:lang w:val="en-IE"/>
        </w:rPr>
        <w:t xml:space="preserve">counterparty - </w:t>
      </w:r>
      <w:r w:rsidR="00ED51A1">
        <w:rPr>
          <w:rFonts w:asciiTheme="minorHAnsi" w:hAnsiTheme="minorHAnsi"/>
          <w:lang w:val="en-IE"/>
        </w:rPr>
        <w:t xml:space="preserve">payer </w:t>
      </w:r>
      <w:r w:rsidR="00243EE3">
        <w:rPr>
          <w:rFonts w:asciiTheme="minorHAnsi" w:hAnsiTheme="minorHAnsi"/>
          <w:lang w:val="en-IE"/>
        </w:rPr>
        <w:t xml:space="preserve">for incoming </w:t>
      </w:r>
      <w:r w:rsidR="003635AF">
        <w:rPr>
          <w:rFonts w:asciiTheme="minorHAnsi" w:hAnsiTheme="minorHAnsi"/>
          <w:lang w:val="en-IE"/>
        </w:rPr>
        <w:t xml:space="preserve">transactions </w:t>
      </w:r>
      <w:r w:rsidR="00243EE3">
        <w:rPr>
          <w:rFonts w:asciiTheme="minorHAnsi" w:hAnsiTheme="minorHAnsi"/>
          <w:lang w:val="en-IE"/>
        </w:rPr>
        <w:t xml:space="preserve">and </w:t>
      </w:r>
      <w:r w:rsidR="003635AF">
        <w:rPr>
          <w:rFonts w:asciiTheme="minorHAnsi" w:hAnsiTheme="minorHAnsi"/>
          <w:lang w:val="en-IE"/>
        </w:rPr>
        <w:t xml:space="preserve">of the payee for </w:t>
      </w:r>
      <w:r w:rsidR="00243EE3">
        <w:rPr>
          <w:rFonts w:asciiTheme="minorHAnsi" w:hAnsiTheme="minorHAnsi"/>
          <w:lang w:val="en-IE"/>
        </w:rPr>
        <w:t>outgoing transactions</w:t>
      </w:r>
      <w:r w:rsidR="003635AF">
        <w:rPr>
          <w:rFonts w:asciiTheme="minorHAnsi" w:hAnsiTheme="minorHAnsi"/>
          <w:lang w:val="en-IE"/>
        </w:rPr>
        <w:t>.</w:t>
      </w:r>
    </w:p>
    <w:tbl>
      <w:tblPr>
        <w:tblW w:w="92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3"/>
        <w:gridCol w:w="7616"/>
      </w:tblGrid>
      <w:tr w:rsidR="005E211E" w:rsidRPr="009B282E" w14:paraId="1FB4FBA4" w14:textId="77777777" w:rsidTr="262CC662">
        <w:tc>
          <w:tcPr>
            <w:tcW w:w="16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C53675" w14:textId="77777777" w:rsidR="00385644" w:rsidRPr="009275BC" w:rsidRDefault="00385644" w:rsidP="00F32516">
            <w:pPr>
              <w:pStyle w:val="InstructionsText"/>
              <w:rPr>
                <w:rStyle w:val="InstructionsTabelleText"/>
                <w:rFonts w:asciiTheme="minorHAnsi" w:hAnsiTheme="minorHAnsi"/>
                <w:bCs w:val="0"/>
                <w:lang w:eastAsia="en-US"/>
              </w:rPr>
            </w:pPr>
          </w:p>
        </w:tc>
        <w:tc>
          <w:tcPr>
            <w:tcW w:w="76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C71672" w14:textId="77777777" w:rsidR="00385644" w:rsidRPr="009275BC" w:rsidRDefault="00385644" w:rsidP="00F32516">
            <w:pPr>
              <w:pStyle w:val="InstructionsText"/>
              <w:rPr>
                <w:rStyle w:val="InstructionsTabelleText"/>
                <w:rFonts w:asciiTheme="minorHAnsi" w:hAnsiTheme="minorHAnsi"/>
                <w:bCs w:val="0"/>
                <w:lang w:eastAsia="en-US"/>
              </w:rPr>
            </w:pPr>
          </w:p>
        </w:tc>
      </w:tr>
      <w:tr w:rsidR="005E211E" w:rsidRPr="009B282E" w14:paraId="0A8FE98E" w14:textId="77777777" w:rsidTr="262CC662">
        <w:tc>
          <w:tcPr>
            <w:tcW w:w="1673" w:type="dxa"/>
            <w:tcBorders>
              <w:top w:val="single" w:sz="4" w:space="0" w:color="auto"/>
              <w:left w:val="single" w:sz="4" w:space="0" w:color="auto"/>
              <w:bottom w:val="single" w:sz="4" w:space="0" w:color="auto"/>
              <w:right w:val="single" w:sz="4" w:space="0" w:color="auto"/>
            </w:tcBorders>
            <w:vAlign w:val="center"/>
          </w:tcPr>
          <w:p w14:paraId="5410278D" w14:textId="64812447" w:rsidR="00A90803" w:rsidRPr="009275BC" w:rsidRDefault="00A90803" w:rsidP="00F32516">
            <w:pPr>
              <w:pStyle w:val="InstructionsText"/>
              <w:rPr>
                <w:rStyle w:val="FormatvorlageInstructionsTabelleText"/>
                <w:rFonts w:asciiTheme="minorHAnsi" w:hAnsiTheme="minorHAnsi"/>
              </w:rPr>
            </w:pPr>
            <w:r w:rsidRPr="00A70B3F">
              <w:t>C0010</w:t>
            </w:r>
          </w:p>
        </w:tc>
        <w:tc>
          <w:tcPr>
            <w:tcW w:w="7616" w:type="dxa"/>
            <w:tcBorders>
              <w:top w:val="single" w:sz="8" w:space="0" w:color="auto"/>
              <w:left w:val="single" w:sz="4" w:space="0" w:color="auto"/>
              <w:bottom w:val="single" w:sz="4" w:space="0" w:color="auto"/>
              <w:right w:val="single" w:sz="4" w:space="0" w:color="auto"/>
            </w:tcBorders>
            <w:vAlign w:val="center"/>
          </w:tcPr>
          <w:p w14:paraId="5D7362BA" w14:textId="77777777" w:rsidR="00A90803" w:rsidRPr="00F76CF8" w:rsidRDefault="00A90803" w:rsidP="00A90803">
            <w:pPr>
              <w:pStyle w:val="InstructionsText2"/>
              <w:rPr>
                <w:rFonts w:asciiTheme="minorHAnsi" w:hAnsiTheme="minorHAnsi"/>
                <w:b/>
                <w:bCs/>
                <w:sz w:val="20"/>
                <w:u w:val="single"/>
                <w:lang w:val="en-US"/>
              </w:rPr>
            </w:pPr>
            <w:r w:rsidRPr="00F76CF8">
              <w:rPr>
                <w:rFonts w:asciiTheme="minorHAnsi" w:hAnsiTheme="minorHAnsi"/>
                <w:b/>
                <w:bCs/>
                <w:sz w:val="20"/>
                <w:u w:val="single"/>
                <w:lang w:val="en-US"/>
              </w:rPr>
              <w:t>Country</w:t>
            </w:r>
          </w:p>
          <w:p w14:paraId="0ACA3640" w14:textId="304C6203" w:rsidR="00A90803" w:rsidRPr="00F76CF8" w:rsidRDefault="00162157" w:rsidP="00A90803">
            <w:pPr>
              <w:pStyle w:val="InstructionsText2"/>
              <w:rPr>
                <w:rFonts w:asciiTheme="minorHAnsi" w:hAnsiTheme="minorHAnsi"/>
                <w:sz w:val="20"/>
                <w:lang w:val="en-US"/>
              </w:rPr>
            </w:pPr>
            <w:r w:rsidRPr="00800992">
              <w:rPr>
                <w:rFonts w:asciiTheme="minorHAnsi" w:eastAsia="Verdana" w:hAnsiTheme="minorHAnsi" w:cs="Verdana"/>
                <w:sz w:val="20"/>
              </w:rPr>
              <w:t xml:space="preserve"> </w:t>
            </w:r>
            <w:r w:rsidR="00177E96">
              <w:rPr>
                <w:rFonts w:asciiTheme="minorHAnsi" w:eastAsia="Verdana" w:hAnsiTheme="minorHAnsi" w:cs="Verdana"/>
                <w:sz w:val="20"/>
              </w:rPr>
              <w:t xml:space="preserve">Select </w:t>
            </w:r>
            <w:r w:rsidRPr="00800992">
              <w:rPr>
                <w:rFonts w:asciiTheme="minorHAnsi" w:eastAsia="Verdana" w:hAnsiTheme="minorHAnsi" w:cs="Verdana"/>
                <w:sz w:val="20"/>
              </w:rPr>
              <w:t xml:space="preserve">the country using the </w:t>
            </w:r>
            <w:r w:rsidR="006C51C6" w:rsidRPr="00800992">
              <w:rPr>
                <w:rFonts w:asciiTheme="minorHAnsi" w:eastAsia="Verdana" w:hAnsiTheme="minorHAnsi" w:cs="Verdana"/>
                <w:sz w:val="20"/>
              </w:rPr>
              <w:t>ISO 3166-1 alpha-2 code</w:t>
            </w:r>
            <w:r w:rsidR="00FA0E97">
              <w:rPr>
                <w:rFonts w:asciiTheme="minorHAnsi" w:eastAsia="Verdana" w:hAnsiTheme="minorHAnsi" w:cs="Verdana"/>
                <w:sz w:val="20"/>
              </w:rPr>
              <w:t>.</w:t>
            </w:r>
          </w:p>
        </w:tc>
      </w:tr>
      <w:tr w:rsidR="005E211E" w:rsidRPr="009B282E" w14:paraId="3BC4571F" w14:textId="77777777" w:rsidTr="262CC662">
        <w:tc>
          <w:tcPr>
            <w:tcW w:w="1673" w:type="dxa"/>
            <w:tcBorders>
              <w:top w:val="single" w:sz="4" w:space="0" w:color="auto"/>
              <w:left w:val="single" w:sz="4" w:space="0" w:color="auto"/>
              <w:bottom w:val="single" w:sz="4" w:space="0" w:color="auto"/>
              <w:right w:val="single" w:sz="4" w:space="0" w:color="auto"/>
            </w:tcBorders>
            <w:vAlign w:val="center"/>
          </w:tcPr>
          <w:p w14:paraId="1B840A3D" w14:textId="0F46AE54" w:rsidR="00A90803" w:rsidRPr="009275BC" w:rsidRDefault="00A90803" w:rsidP="00F32516">
            <w:pPr>
              <w:pStyle w:val="InstructionsText"/>
              <w:rPr>
                <w:rStyle w:val="FormatvorlageInstructionsTabelleText"/>
                <w:rFonts w:asciiTheme="minorHAnsi" w:hAnsiTheme="minorHAnsi"/>
              </w:rPr>
            </w:pPr>
            <w:r w:rsidRPr="00A70B3F">
              <w:t>C0020</w:t>
            </w:r>
          </w:p>
        </w:tc>
        <w:tc>
          <w:tcPr>
            <w:tcW w:w="7616" w:type="dxa"/>
            <w:tcBorders>
              <w:top w:val="single" w:sz="8" w:space="0" w:color="auto"/>
              <w:left w:val="single" w:sz="4" w:space="0" w:color="auto"/>
              <w:bottom w:val="single" w:sz="4" w:space="0" w:color="auto"/>
              <w:right w:val="single" w:sz="4" w:space="0" w:color="auto"/>
            </w:tcBorders>
            <w:vAlign w:val="center"/>
          </w:tcPr>
          <w:p w14:paraId="064F9C22" w14:textId="77777777" w:rsidR="00491899" w:rsidRPr="00CE7653" w:rsidRDefault="00491899" w:rsidP="00054A18">
            <w:pPr>
              <w:pStyle w:val="InstructionsText2"/>
              <w:rPr>
                <w:rStyle w:val="InstructionsTabelleberschrift"/>
                <w:rFonts w:eastAsia="Cambria"/>
                <w:color w:val="262626" w:themeColor="text1" w:themeTint="D9"/>
                <w:kern w:val="20"/>
                <w:lang w:val="en-US" w:eastAsia="ja-JP"/>
              </w:rPr>
            </w:pPr>
            <w:r w:rsidRPr="00CE7653">
              <w:rPr>
                <w:rStyle w:val="InstructionsTabelleberschrift"/>
                <w:rFonts w:ascii="Aptos" w:hAnsi="Aptos"/>
              </w:rPr>
              <w:t>Natural Persons</w:t>
            </w:r>
          </w:p>
          <w:p w14:paraId="78F900C9" w14:textId="74DD8666" w:rsidR="00C82DAA" w:rsidRPr="00C82DAA" w:rsidRDefault="00C82DAA" w:rsidP="00C82DAA">
            <w:pPr>
              <w:pStyle w:val="InstructionsText"/>
            </w:pPr>
            <w:r w:rsidRPr="00C82DAA">
              <w:t xml:space="preserve">This datapoint is applicable for all sectors. </w:t>
            </w:r>
          </w:p>
          <w:p w14:paraId="42C14252" w14:textId="77777777" w:rsidR="00C82DAA" w:rsidRDefault="00C82DAA" w:rsidP="00F32516">
            <w:pPr>
              <w:pStyle w:val="InstructionsText"/>
              <w:rPr>
                <w:rStyle w:val="FormatvorlageInstructionsTabelleText"/>
                <w:rFonts w:asciiTheme="minorHAnsi" w:hAnsiTheme="minorHAnsi"/>
              </w:rPr>
            </w:pPr>
          </w:p>
          <w:p w14:paraId="02C48B72" w14:textId="2E16EB71" w:rsidR="00A90803" w:rsidRPr="00CE7653" w:rsidRDefault="006965E5" w:rsidP="00F32516">
            <w:pPr>
              <w:pStyle w:val="InstructionsText"/>
              <w:rPr>
                <w:rStyle w:val="FormatvorlageInstructionsTabelleText"/>
                <w:rFonts w:asciiTheme="minorHAnsi" w:hAnsiTheme="minorHAnsi"/>
              </w:rPr>
            </w:pPr>
            <w:r w:rsidRPr="00CE7653">
              <w:rPr>
                <w:rStyle w:val="FormatvorlageInstructionsTabelleText"/>
                <w:rFonts w:asciiTheme="minorHAnsi" w:hAnsiTheme="minorHAnsi"/>
              </w:rPr>
              <w:t>Pe</w:t>
            </w:r>
            <w:r w:rsidR="00A90803" w:rsidRPr="00CE7653">
              <w:rPr>
                <w:rStyle w:val="FormatvorlageInstructionsTabelleText"/>
                <w:rFonts w:asciiTheme="minorHAnsi" w:hAnsiTheme="minorHAnsi"/>
              </w:rPr>
              <w:t xml:space="preserve">r country data should be based on the customers’ country of </w:t>
            </w:r>
            <w:r w:rsidR="0039201B" w:rsidRPr="00CE7653">
              <w:rPr>
                <w:rStyle w:val="FormatvorlageInstructionsTabelleText"/>
                <w:rFonts w:asciiTheme="minorHAnsi" w:hAnsiTheme="minorHAnsi"/>
              </w:rPr>
              <w:t>r</w:t>
            </w:r>
            <w:r w:rsidR="0039201B">
              <w:rPr>
                <w:rStyle w:val="FormatvorlageInstructionsTabelleText"/>
                <w:rFonts w:asciiTheme="minorHAnsi" w:hAnsiTheme="minorHAnsi"/>
              </w:rPr>
              <w:t>esidence</w:t>
            </w:r>
            <w:r w:rsidR="00A90803" w:rsidRPr="00CE7653">
              <w:rPr>
                <w:rStyle w:val="FormatvorlageInstructionsTabelleText"/>
                <w:rFonts w:asciiTheme="minorHAnsi" w:hAnsiTheme="minorHAnsi"/>
              </w:rPr>
              <w:t>.</w:t>
            </w:r>
          </w:p>
          <w:p w14:paraId="2E9A3FA8" w14:textId="30C2CA6B" w:rsidR="004B3B95" w:rsidRPr="00CE7653" w:rsidRDefault="00BF7FD1" w:rsidP="00F32516">
            <w:pPr>
              <w:pStyle w:val="InstructionsText"/>
              <w:rPr>
                <w:rStyle w:val="FormatvorlageInstructionsTabelleText"/>
                <w:rFonts w:asciiTheme="minorHAnsi" w:hAnsiTheme="minorHAnsi"/>
              </w:rPr>
            </w:pPr>
            <w:r w:rsidRPr="00CE7653">
              <w:rPr>
                <w:rStyle w:val="FormatvorlageInstructionsTabelleText"/>
                <w:rFonts w:asciiTheme="minorHAnsi" w:hAnsiTheme="minorHAnsi"/>
              </w:rPr>
              <w:t>Indicate the number of customers which are Natural Persons (NP) per country</w:t>
            </w:r>
            <w:r w:rsidR="35A5EBE4" w:rsidRPr="00CE7653">
              <w:rPr>
                <w:rStyle w:val="FormatvorlageInstructionsTabelleText"/>
                <w:rFonts w:asciiTheme="minorHAnsi" w:hAnsiTheme="minorHAnsi"/>
              </w:rPr>
              <w:t>, as of end of the reference year</w:t>
            </w:r>
            <w:r w:rsidRPr="00CE7653">
              <w:rPr>
                <w:rStyle w:val="FormatvorlageInstructionsTabelleText"/>
                <w:rFonts w:asciiTheme="minorHAnsi" w:hAnsiTheme="minorHAnsi"/>
              </w:rPr>
              <w:t>.</w:t>
            </w:r>
          </w:p>
          <w:p w14:paraId="194B35FA" w14:textId="77777777" w:rsidR="00101541" w:rsidRPr="00CE7653" w:rsidRDefault="00101541" w:rsidP="00F32516">
            <w:pPr>
              <w:pStyle w:val="InstructionsText"/>
              <w:rPr>
                <w:rStyle w:val="FormatvorlageInstructionsTabelleText"/>
                <w:rFonts w:asciiTheme="minorHAnsi" w:hAnsiTheme="minorHAnsi"/>
              </w:rPr>
            </w:pPr>
          </w:p>
          <w:p w14:paraId="067CA465" w14:textId="4CB43786" w:rsidR="00757441" w:rsidRDefault="00757441" w:rsidP="00F32516">
            <w:pPr>
              <w:pStyle w:val="InstructionsText"/>
              <w:rPr>
                <w:rStyle w:val="FormatvorlageInstructionsTabelleText"/>
                <w:rFonts w:asciiTheme="minorHAnsi" w:hAnsiTheme="minorHAnsi"/>
              </w:rPr>
            </w:pPr>
            <w:r>
              <w:rPr>
                <w:rStyle w:val="FormatvorlageInstructionsTabelleText"/>
                <w:rFonts w:asciiTheme="minorHAnsi" w:hAnsiTheme="minorHAnsi"/>
              </w:rPr>
              <w:t xml:space="preserve">In case of multiple residencies, </w:t>
            </w:r>
            <w:r w:rsidR="00DA215B">
              <w:rPr>
                <w:rStyle w:val="FormatvorlageInstructionsTabelleText"/>
                <w:rFonts w:asciiTheme="minorHAnsi" w:hAnsiTheme="minorHAnsi"/>
              </w:rPr>
              <w:t xml:space="preserve">take the </w:t>
            </w:r>
            <w:r w:rsidR="009E00F8">
              <w:rPr>
                <w:rStyle w:val="FormatvorlageInstructionsTabelleText"/>
                <w:rFonts w:asciiTheme="minorHAnsi" w:hAnsiTheme="minorHAnsi"/>
              </w:rPr>
              <w:t>usual place of</w:t>
            </w:r>
            <w:r w:rsidR="008E3F01">
              <w:rPr>
                <w:rStyle w:val="FormatvorlageInstructionsTabelleText"/>
                <w:rFonts w:asciiTheme="minorHAnsi" w:hAnsiTheme="minorHAnsi"/>
              </w:rPr>
              <w:t xml:space="preserve"> residence </w:t>
            </w:r>
            <w:r w:rsidR="00400261">
              <w:rPr>
                <w:rStyle w:val="FormatvorlageInstructionsTabelleText"/>
                <w:rFonts w:asciiTheme="minorHAnsi" w:hAnsiTheme="minorHAnsi"/>
              </w:rPr>
              <w:t xml:space="preserve">as per </w:t>
            </w:r>
            <w:r w:rsidR="009E00F8">
              <w:rPr>
                <w:rStyle w:val="FormatvorlageInstructionsTabelleText"/>
                <w:rFonts w:asciiTheme="minorHAnsi" w:hAnsiTheme="minorHAnsi"/>
              </w:rPr>
              <w:t>CDD</w:t>
            </w:r>
            <w:r w:rsidR="00400261">
              <w:rPr>
                <w:rStyle w:val="FormatvorlageInstructionsTabelleText"/>
                <w:rFonts w:asciiTheme="minorHAnsi" w:hAnsiTheme="minorHAnsi"/>
              </w:rPr>
              <w:t xml:space="preserve"> records</w:t>
            </w:r>
            <w:r w:rsidR="00F76A44">
              <w:rPr>
                <w:rStyle w:val="FormatvorlageInstructionsTabelleText"/>
                <w:rFonts w:asciiTheme="minorHAnsi" w:hAnsiTheme="minorHAnsi"/>
              </w:rPr>
              <w:t xml:space="preserve">. </w:t>
            </w:r>
          </w:p>
          <w:p w14:paraId="2F67905D" w14:textId="77777777" w:rsidR="00FE238A" w:rsidRDefault="00FE238A" w:rsidP="00F32516">
            <w:pPr>
              <w:pStyle w:val="InstructionsText"/>
              <w:rPr>
                <w:rStyle w:val="FormatvorlageInstructionsTabelleText"/>
                <w:rFonts w:asciiTheme="minorHAnsi" w:hAnsiTheme="minorHAnsi"/>
              </w:rPr>
            </w:pPr>
          </w:p>
          <w:p w14:paraId="009BF898" w14:textId="293C982D" w:rsidR="00BD17D2" w:rsidRPr="00BD17D2" w:rsidRDefault="00BD17D2" w:rsidP="00BD17D2">
            <w:pPr>
              <w:pStyle w:val="InstructionsText"/>
            </w:pPr>
            <w:r w:rsidRPr="00BD17D2">
              <w:t>Clients can be treated as natural persons unless they are legally registered as a Legal Entity. This refers to amongst others f</w:t>
            </w:r>
            <w:r w:rsidRPr="00BD17D2">
              <w:rPr>
                <w:lang w:val="en-US"/>
              </w:rPr>
              <w:t xml:space="preserve">reelancers/self-employed/sole proprietorships without LE status etc. </w:t>
            </w:r>
          </w:p>
          <w:p w14:paraId="338977C4" w14:textId="690B391E" w:rsidR="006965E5" w:rsidRPr="0001287B" w:rsidRDefault="006965E5" w:rsidP="00F32516">
            <w:pPr>
              <w:pStyle w:val="InstructionsText"/>
              <w:rPr>
                <w:highlight w:val="yellow"/>
              </w:rPr>
            </w:pPr>
          </w:p>
        </w:tc>
      </w:tr>
      <w:tr w:rsidR="005E211E" w:rsidRPr="009B282E" w14:paraId="5BE66E85" w14:textId="77777777" w:rsidTr="262CC662">
        <w:tc>
          <w:tcPr>
            <w:tcW w:w="1673" w:type="dxa"/>
            <w:tcBorders>
              <w:top w:val="single" w:sz="4" w:space="0" w:color="auto"/>
              <w:left w:val="single" w:sz="4" w:space="0" w:color="auto"/>
              <w:bottom w:val="single" w:sz="4" w:space="0" w:color="auto"/>
              <w:right w:val="single" w:sz="4" w:space="0" w:color="auto"/>
            </w:tcBorders>
            <w:vAlign w:val="center"/>
          </w:tcPr>
          <w:p w14:paraId="668E0207" w14:textId="2E3F9A9F" w:rsidR="00A90803" w:rsidRPr="00813150" w:rsidRDefault="00A90803" w:rsidP="00F32516">
            <w:pPr>
              <w:pStyle w:val="InstructionsText"/>
              <w:rPr>
                <w:rStyle w:val="FormatvorlageInstructionsTabelleText"/>
                <w:rFonts w:asciiTheme="minorHAnsi" w:hAnsiTheme="minorHAnsi"/>
                <w:b/>
              </w:rPr>
            </w:pPr>
            <w:r w:rsidRPr="00A70B3F">
              <w:t>C0030</w:t>
            </w:r>
          </w:p>
        </w:tc>
        <w:tc>
          <w:tcPr>
            <w:tcW w:w="7616" w:type="dxa"/>
            <w:tcBorders>
              <w:top w:val="single" w:sz="8" w:space="0" w:color="auto"/>
              <w:left w:val="single" w:sz="4" w:space="0" w:color="auto"/>
              <w:bottom w:val="single" w:sz="4" w:space="0" w:color="auto"/>
              <w:right w:val="single" w:sz="4" w:space="0" w:color="auto"/>
            </w:tcBorders>
            <w:vAlign w:val="center"/>
          </w:tcPr>
          <w:p w14:paraId="3453079A" w14:textId="26F7F434" w:rsidR="00491899" w:rsidRPr="008B6534" w:rsidRDefault="00491899" w:rsidP="00054A18">
            <w:pPr>
              <w:pStyle w:val="InstructionsText2"/>
              <w:rPr>
                <w:rStyle w:val="InstructionsTabelleberschrift"/>
                <w:rFonts w:asciiTheme="minorHAnsi" w:eastAsia="Cambria" w:hAnsiTheme="minorHAnsi"/>
                <w:color w:val="262626" w:themeColor="text1" w:themeTint="D9"/>
                <w:kern w:val="20"/>
                <w:lang w:val="en-US" w:eastAsia="ja-JP"/>
              </w:rPr>
            </w:pPr>
            <w:r w:rsidRPr="008B6534">
              <w:rPr>
                <w:rStyle w:val="InstructionsTabelleberschrift"/>
                <w:rFonts w:ascii="Aptos" w:hAnsi="Aptos"/>
              </w:rPr>
              <w:t>Legal Entities</w:t>
            </w:r>
          </w:p>
          <w:p w14:paraId="33A3A1B4" w14:textId="77777777" w:rsidR="007818CD" w:rsidRPr="007818CD" w:rsidRDefault="007818CD" w:rsidP="007818CD">
            <w:pPr>
              <w:pStyle w:val="InstructionsText"/>
              <w:rPr>
                <w:rFonts w:eastAsiaTheme="minorEastAsia"/>
              </w:rPr>
            </w:pPr>
            <w:r w:rsidRPr="007818CD">
              <w:rPr>
                <w:rFonts w:eastAsiaTheme="minorEastAsia"/>
              </w:rPr>
              <w:t xml:space="preserve">This datapoint is applicable for all sectors. </w:t>
            </w:r>
          </w:p>
          <w:p w14:paraId="7D3A766F" w14:textId="77777777" w:rsidR="007818CD" w:rsidRDefault="007818CD" w:rsidP="00F32516">
            <w:pPr>
              <w:pStyle w:val="InstructionsText"/>
              <w:rPr>
                <w:rStyle w:val="FormatvorlageInstructionsTabelleText"/>
                <w:rFonts w:asciiTheme="minorHAnsi" w:eastAsia="Cambria" w:hAnsiTheme="minorHAnsi"/>
                <w:kern w:val="20"/>
              </w:rPr>
            </w:pPr>
          </w:p>
          <w:p w14:paraId="43836BC1" w14:textId="71532AAD" w:rsidR="00E77E97" w:rsidRDefault="00E77E97" w:rsidP="00E77E97">
            <w:pPr>
              <w:pStyle w:val="InstructionsText"/>
            </w:pPr>
            <w:r w:rsidRPr="00E77E97">
              <w:t>For the purpose</w:t>
            </w:r>
            <w:r w:rsidR="005A1371">
              <w:t>s</w:t>
            </w:r>
            <w:r w:rsidRPr="00E77E97">
              <w:t xml:space="preserve"> of this data collection exercise,</w:t>
            </w:r>
            <w:r w:rsidR="00BC3115">
              <w:t xml:space="preserve"> Legal entities</w:t>
            </w:r>
            <w:r w:rsidRPr="00E77E97">
              <w:t xml:space="preserve"> include</w:t>
            </w:r>
            <w:r w:rsidR="00BC3115">
              <w:t xml:space="preserve"> legal</w:t>
            </w:r>
            <w:r w:rsidR="005A1371">
              <w:t xml:space="preserve"> persons as well as</w:t>
            </w:r>
            <w:r w:rsidRPr="00E77E97">
              <w:t xml:space="preserve"> </w:t>
            </w:r>
            <w:r w:rsidR="003446EC">
              <w:t>express</w:t>
            </w:r>
            <w:r w:rsidRPr="00E77E97">
              <w:t xml:space="preserve"> </w:t>
            </w:r>
            <w:r w:rsidR="00AD1A52">
              <w:t xml:space="preserve">trust </w:t>
            </w:r>
            <w:r w:rsidR="00523546">
              <w:t xml:space="preserve">and </w:t>
            </w:r>
            <w:r w:rsidR="003446EC">
              <w:t xml:space="preserve">similar </w:t>
            </w:r>
            <w:r w:rsidR="00523546">
              <w:t>legal arrangements</w:t>
            </w:r>
            <w:r w:rsidRPr="00E77E97">
              <w:t>.</w:t>
            </w:r>
            <w:r>
              <w:t xml:space="preserve"> </w:t>
            </w:r>
          </w:p>
          <w:p w14:paraId="1C81EE0C" w14:textId="77777777" w:rsidR="000A1A08" w:rsidRDefault="000A1A08" w:rsidP="00E77E97">
            <w:pPr>
              <w:pStyle w:val="InstructionsText"/>
            </w:pPr>
          </w:p>
          <w:p w14:paraId="6554B96C" w14:textId="184CC6F6" w:rsidR="00E77E97" w:rsidRPr="00E77E97" w:rsidRDefault="00E77E97" w:rsidP="00E77E97">
            <w:pPr>
              <w:pStyle w:val="InstructionsText"/>
            </w:pPr>
            <w:r w:rsidRPr="00E77E97">
              <w:t xml:space="preserve">Legal entities in the same corporate group and connected legal entities (constructed relationships) should be counted separately. </w:t>
            </w:r>
          </w:p>
          <w:p w14:paraId="3ECA4BB5" w14:textId="77777777" w:rsidR="00E77E97" w:rsidRDefault="00E77E97" w:rsidP="00027104">
            <w:pPr>
              <w:pStyle w:val="InstructionsText"/>
              <w:rPr>
                <w:rStyle w:val="FormatvorlageInstructionsTabelleText"/>
                <w:rFonts w:eastAsia="Cambria"/>
                <w:kern w:val="20"/>
              </w:rPr>
            </w:pPr>
          </w:p>
          <w:p w14:paraId="5A565B73" w14:textId="00866481" w:rsidR="00A90803" w:rsidRPr="008B6534" w:rsidRDefault="00A90803" w:rsidP="00F32516">
            <w:pPr>
              <w:pStyle w:val="InstructionsText"/>
              <w:rPr>
                <w:rStyle w:val="FormatvorlageInstructionsTabelleText"/>
                <w:rFonts w:asciiTheme="minorHAnsi" w:eastAsia="Cambria" w:hAnsiTheme="minorHAnsi"/>
                <w:kern w:val="20"/>
              </w:rPr>
            </w:pPr>
            <w:r w:rsidRPr="008B6534">
              <w:rPr>
                <w:rStyle w:val="FormatvorlageInstructionsTabelleText"/>
                <w:rFonts w:asciiTheme="minorHAnsi" w:eastAsia="Cambria" w:hAnsiTheme="minorHAnsi"/>
                <w:kern w:val="20"/>
              </w:rPr>
              <w:t>Per country data should be based on the customers’ country of registration</w:t>
            </w:r>
            <w:r w:rsidR="55E1F5AA" w:rsidRPr="7187306E">
              <w:rPr>
                <w:rStyle w:val="FormatvorlageInstructionsTabelleText"/>
                <w:rFonts w:asciiTheme="minorHAnsi" w:eastAsia="Cambria" w:hAnsiTheme="minorHAnsi"/>
                <w:kern w:val="20"/>
              </w:rPr>
              <w:t xml:space="preserve"> – where the </w:t>
            </w:r>
            <w:r w:rsidR="55E1F5AA" w:rsidRPr="7187306E">
              <w:rPr>
                <w:rStyle w:val="FormatvorlageInstructionsTabelleText"/>
                <w:rFonts w:asciiTheme="minorHAnsi" w:eastAsia="Cambria" w:hAnsiTheme="minorHAnsi"/>
              </w:rPr>
              <w:t>address of the registered or official office is located</w:t>
            </w:r>
            <w:r w:rsidRPr="008B6534">
              <w:rPr>
                <w:rStyle w:val="FormatvorlageInstructionsTabelleText"/>
                <w:rFonts w:asciiTheme="minorHAnsi" w:eastAsia="Cambria" w:hAnsiTheme="minorHAnsi"/>
                <w:kern w:val="20"/>
              </w:rPr>
              <w:t>.</w:t>
            </w:r>
          </w:p>
          <w:p w14:paraId="2AA771FB" w14:textId="77777777" w:rsidR="007409E6" w:rsidRPr="008B6534" w:rsidRDefault="007409E6" w:rsidP="00F32516">
            <w:pPr>
              <w:pStyle w:val="InstructionsText"/>
              <w:rPr>
                <w:rStyle w:val="FormatvorlageInstructionsTabelleText"/>
                <w:rFonts w:asciiTheme="minorHAnsi" w:eastAsia="Cambria" w:hAnsiTheme="minorHAnsi"/>
                <w:kern w:val="20"/>
              </w:rPr>
            </w:pPr>
          </w:p>
          <w:p w14:paraId="301A2589" w14:textId="396C1B36" w:rsidR="007409E6" w:rsidRDefault="007409E6" w:rsidP="00F32516">
            <w:pPr>
              <w:pStyle w:val="InstructionsText"/>
              <w:rPr>
                <w:rStyle w:val="InstructionsTabelleberschrift"/>
                <w:rFonts w:asciiTheme="minorHAnsi" w:eastAsia="Cambria" w:hAnsiTheme="minorHAnsi"/>
                <w:b w:val="0"/>
                <w:u w:val="none"/>
              </w:rPr>
            </w:pPr>
            <w:r w:rsidRPr="008B6534">
              <w:rPr>
                <w:rStyle w:val="InstructionsTabelleberschrift"/>
                <w:rFonts w:asciiTheme="minorHAnsi" w:hAnsiTheme="minorHAnsi"/>
                <w:b w:val="0"/>
                <w:u w:val="none"/>
              </w:rPr>
              <w:t>Indicate the number of customers which are Legal Entities (LE) per country</w:t>
            </w:r>
            <w:r w:rsidR="1D065877" w:rsidRPr="008B6534">
              <w:rPr>
                <w:rStyle w:val="FormatvorlageInstructionsTabelleText"/>
                <w:rFonts w:asciiTheme="minorHAnsi" w:hAnsiTheme="minorHAnsi"/>
              </w:rPr>
              <w:t>, as of end of the reference year</w:t>
            </w:r>
            <w:r w:rsidRPr="008B6534">
              <w:rPr>
                <w:rStyle w:val="InstructionsTabelleberschrift"/>
                <w:rFonts w:asciiTheme="minorHAnsi" w:hAnsiTheme="minorHAnsi"/>
                <w:b w:val="0"/>
                <w:u w:val="none"/>
              </w:rPr>
              <w:t>.</w:t>
            </w:r>
          </w:p>
          <w:p w14:paraId="4257F7F6" w14:textId="77777777" w:rsidR="001E4295" w:rsidRDefault="001E4295" w:rsidP="000969A7">
            <w:pPr>
              <w:pStyle w:val="InstructionsText"/>
              <w:rPr>
                <w:rStyle w:val="InstructionsTabelleberschrift"/>
                <w:rFonts w:asciiTheme="minorHAnsi" w:hAnsiTheme="minorHAnsi"/>
                <w:b w:val="0"/>
                <w:u w:val="none"/>
              </w:rPr>
            </w:pPr>
          </w:p>
          <w:p w14:paraId="4BCF7CD5" w14:textId="1BCC7416" w:rsidR="00FE6149" w:rsidRPr="0094098F" w:rsidRDefault="001E4295" w:rsidP="000969A7">
            <w:pPr>
              <w:pStyle w:val="InstructionsText"/>
              <w:rPr>
                <w:rStyle w:val="InstructionsTabelleberschrift"/>
                <w:rFonts w:asciiTheme="minorHAnsi" w:eastAsia="Cambria" w:hAnsiTheme="minorHAnsi"/>
              </w:rPr>
            </w:pPr>
            <w:r w:rsidRPr="00027104">
              <w:rPr>
                <w:rStyle w:val="InstructionsTabelleberschrift"/>
                <w:rFonts w:asciiTheme="minorHAnsi" w:hAnsiTheme="minorHAnsi"/>
                <w:b w:val="0"/>
              </w:rPr>
              <w:t>L</w:t>
            </w:r>
            <w:r w:rsidR="005A2E2E" w:rsidRPr="00027104">
              <w:rPr>
                <w:rStyle w:val="InstructionsTabelleberschrift"/>
                <w:rFonts w:asciiTheme="minorHAnsi" w:hAnsiTheme="minorHAnsi"/>
                <w:b w:val="0"/>
              </w:rPr>
              <w:t>egal entities with branches</w:t>
            </w:r>
            <w:r w:rsidRPr="00027104">
              <w:rPr>
                <w:rStyle w:val="InstructionsTabelleberschrift"/>
                <w:rFonts w:asciiTheme="minorHAnsi" w:hAnsiTheme="minorHAnsi"/>
                <w:b w:val="0"/>
              </w:rPr>
              <w:t xml:space="preserve"> shall be reported </w:t>
            </w:r>
            <w:r w:rsidR="00736000" w:rsidRPr="00027104">
              <w:rPr>
                <w:rStyle w:val="InstructionsTabelleberschrift"/>
                <w:rFonts w:asciiTheme="minorHAnsi" w:hAnsiTheme="minorHAnsi"/>
                <w:b w:val="0"/>
              </w:rPr>
              <w:t xml:space="preserve">only </w:t>
            </w:r>
            <w:r w:rsidRPr="00027104">
              <w:rPr>
                <w:rStyle w:val="InstructionsTabelleberschrift"/>
                <w:rFonts w:asciiTheme="minorHAnsi" w:hAnsiTheme="minorHAnsi"/>
                <w:b w:val="0"/>
              </w:rPr>
              <w:t>once,</w:t>
            </w:r>
            <w:r w:rsidR="00736000" w:rsidRPr="00027104">
              <w:rPr>
                <w:rStyle w:val="InstructionsTabelleberschrift"/>
                <w:rFonts w:asciiTheme="minorHAnsi" w:hAnsiTheme="minorHAnsi"/>
                <w:b w:val="0"/>
              </w:rPr>
              <w:t xml:space="preserve"> according to</w:t>
            </w:r>
            <w:r w:rsidRPr="00027104">
              <w:rPr>
                <w:rStyle w:val="InstructionsTabelleberschrift"/>
                <w:rFonts w:asciiTheme="minorHAnsi" w:hAnsiTheme="minorHAnsi"/>
                <w:b w:val="0"/>
              </w:rPr>
              <w:t xml:space="preserve"> the</w:t>
            </w:r>
            <w:r w:rsidR="00736000" w:rsidRPr="00027104">
              <w:rPr>
                <w:rStyle w:val="InstructionsTabelleberschrift"/>
                <w:rFonts w:asciiTheme="minorHAnsi" w:hAnsiTheme="minorHAnsi"/>
                <w:b w:val="0"/>
              </w:rPr>
              <w:t xml:space="preserve"> country of registration</w:t>
            </w:r>
            <w:r w:rsidR="00D1516C" w:rsidRPr="00027104">
              <w:rPr>
                <w:rStyle w:val="InstructionsTabelleberschrift"/>
                <w:rFonts w:asciiTheme="minorHAnsi" w:hAnsiTheme="minorHAnsi"/>
                <w:b w:val="0"/>
              </w:rPr>
              <w:t xml:space="preserve"> of the head office.</w:t>
            </w:r>
          </w:p>
          <w:p w14:paraId="70F0AB3E" w14:textId="1699942A" w:rsidR="002E3FFD" w:rsidRPr="00135B9D" w:rsidRDefault="002E3FFD" w:rsidP="00F32516">
            <w:pPr>
              <w:pStyle w:val="InstructionsText"/>
              <w:rPr>
                <w:rStyle w:val="InstructionsTabelleberschrift"/>
                <w:rFonts w:asciiTheme="minorHAnsi" w:hAnsiTheme="minorHAnsi"/>
                <w:highlight w:val="yellow"/>
              </w:rPr>
            </w:pPr>
          </w:p>
        </w:tc>
      </w:tr>
      <w:tr w:rsidR="005E211E" w:rsidRPr="009B282E" w14:paraId="343520D3" w14:textId="77777777" w:rsidTr="262CC662">
        <w:tc>
          <w:tcPr>
            <w:tcW w:w="1673" w:type="dxa"/>
            <w:tcBorders>
              <w:top w:val="single" w:sz="4" w:space="0" w:color="auto"/>
              <w:left w:val="single" w:sz="4" w:space="0" w:color="auto"/>
              <w:bottom w:val="single" w:sz="4" w:space="0" w:color="auto"/>
              <w:right w:val="single" w:sz="4" w:space="0" w:color="auto"/>
            </w:tcBorders>
            <w:vAlign w:val="center"/>
          </w:tcPr>
          <w:p w14:paraId="7D8E7C19" w14:textId="7A272253" w:rsidR="00A90803" w:rsidRPr="00813150" w:rsidRDefault="00A90803" w:rsidP="00F32516">
            <w:pPr>
              <w:pStyle w:val="InstructionsText"/>
              <w:rPr>
                <w:rStyle w:val="FormatvorlageInstructionsTabelleText"/>
                <w:rFonts w:asciiTheme="minorHAnsi" w:hAnsiTheme="minorHAnsi"/>
                <w:b/>
              </w:rPr>
            </w:pPr>
            <w:r w:rsidRPr="00A70B3F">
              <w:t>C0040</w:t>
            </w:r>
          </w:p>
        </w:tc>
        <w:tc>
          <w:tcPr>
            <w:tcW w:w="7616" w:type="dxa"/>
            <w:tcBorders>
              <w:top w:val="single" w:sz="8" w:space="0" w:color="auto"/>
              <w:left w:val="single" w:sz="4" w:space="0" w:color="auto"/>
              <w:bottom w:val="single" w:sz="4" w:space="0" w:color="auto"/>
              <w:right w:val="single" w:sz="4" w:space="0" w:color="auto"/>
            </w:tcBorders>
          </w:tcPr>
          <w:p w14:paraId="6482A28E" w14:textId="718A0EB9" w:rsidR="00491899" w:rsidRDefault="00491899" w:rsidP="00D55CCC">
            <w:pPr>
              <w:pStyle w:val="InstructionsText2"/>
              <w:rPr>
                <w:rStyle w:val="FormatvorlageInstructionsTabelleText"/>
                <w:rFonts w:ascii="Aptos" w:hAnsi="Aptos"/>
                <w:b/>
                <w:u w:val="single"/>
                <w:lang w:bidi="ne-NP"/>
              </w:rPr>
            </w:pPr>
            <w:r w:rsidRPr="005F762C">
              <w:rPr>
                <w:rStyle w:val="FormatvorlageInstructionsTabelleText"/>
                <w:rFonts w:ascii="Aptos" w:hAnsi="Aptos"/>
                <w:b/>
                <w:u w:val="single"/>
                <w:lang w:bidi="ne-NP"/>
              </w:rPr>
              <w:t xml:space="preserve">Natural Persons </w:t>
            </w:r>
            <w:r w:rsidR="00502C41">
              <w:rPr>
                <w:rStyle w:val="FormatvorlageInstructionsTabelleText"/>
                <w:rFonts w:ascii="Aptos" w:hAnsi="Aptos"/>
                <w:b/>
                <w:u w:val="single"/>
                <w:lang w:bidi="ne-NP"/>
              </w:rPr>
              <w:t>–</w:t>
            </w:r>
            <w:r w:rsidRPr="005F762C">
              <w:rPr>
                <w:rStyle w:val="FormatvorlageInstructionsTabelleText"/>
                <w:rFonts w:ascii="Aptos" w:hAnsi="Aptos"/>
                <w:b/>
                <w:u w:val="single"/>
                <w:lang w:bidi="ne-NP"/>
              </w:rPr>
              <w:t xml:space="preserve"> PEPs</w:t>
            </w:r>
            <w:r w:rsidR="00502C41">
              <w:rPr>
                <w:rStyle w:val="FormatvorlageInstructionsTabelleText"/>
                <w:rFonts w:ascii="Aptos" w:hAnsi="Aptos"/>
                <w:b/>
                <w:u w:val="single"/>
                <w:lang w:bidi="ne-NP"/>
              </w:rPr>
              <w:t xml:space="preserve">, </w:t>
            </w:r>
            <w:r w:rsidR="00E32C1E">
              <w:rPr>
                <w:rStyle w:val="FormatvorlageInstructionsTabelleText"/>
                <w:rFonts w:asciiTheme="minorHAnsi" w:hAnsiTheme="minorHAnsi"/>
                <w:b/>
                <w:u w:val="single"/>
              </w:rPr>
              <w:t>F</w:t>
            </w:r>
            <w:r w:rsidR="00502C41">
              <w:rPr>
                <w:rStyle w:val="FormatvorlageInstructionsTabelleText"/>
                <w:rFonts w:asciiTheme="minorHAnsi" w:hAnsiTheme="minorHAnsi"/>
                <w:b/>
                <w:u w:val="single"/>
              </w:rPr>
              <w:t xml:space="preserve">amily </w:t>
            </w:r>
            <w:r w:rsidR="00E32C1E">
              <w:rPr>
                <w:rStyle w:val="FormatvorlageInstructionsTabelleText"/>
                <w:rFonts w:asciiTheme="minorHAnsi" w:hAnsiTheme="minorHAnsi"/>
                <w:b/>
                <w:u w:val="single"/>
              </w:rPr>
              <w:t>M</w:t>
            </w:r>
            <w:r w:rsidR="00502C41">
              <w:rPr>
                <w:rStyle w:val="FormatvorlageInstructionsTabelleText"/>
                <w:rFonts w:asciiTheme="minorHAnsi" w:hAnsiTheme="minorHAnsi"/>
                <w:b/>
                <w:u w:val="single"/>
              </w:rPr>
              <w:t xml:space="preserve">embers </w:t>
            </w:r>
            <w:r w:rsidR="00E32C1E">
              <w:rPr>
                <w:rStyle w:val="FormatvorlageInstructionsTabelleText"/>
                <w:rFonts w:asciiTheme="minorHAnsi" w:hAnsiTheme="minorHAnsi"/>
                <w:b/>
                <w:u w:val="single"/>
              </w:rPr>
              <w:t>or</w:t>
            </w:r>
            <w:r w:rsidR="00502C41">
              <w:rPr>
                <w:rStyle w:val="FormatvorlageInstructionsTabelleText"/>
                <w:rFonts w:asciiTheme="minorHAnsi" w:hAnsiTheme="minorHAnsi"/>
                <w:b/>
                <w:u w:val="single"/>
              </w:rPr>
              <w:t xml:space="preserve"> </w:t>
            </w:r>
            <w:r w:rsidR="00E32C1E">
              <w:rPr>
                <w:rStyle w:val="FormatvorlageInstructionsTabelleText"/>
                <w:rFonts w:asciiTheme="minorHAnsi" w:hAnsiTheme="minorHAnsi"/>
                <w:b/>
                <w:u w:val="single"/>
              </w:rPr>
              <w:t>C</w:t>
            </w:r>
            <w:r w:rsidR="00502C41">
              <w:rPr>
                <w:rStyle w:val="FormatvorlageInstructionsTabelleText"/>
                <w:rFonts w:asciiTheme="minorHAnsi" w:hAnsiTheme="minorHAnsi"/>
                <w:b/>
                <w:u w:val="single"/>
              </w:rPr>
              <w:t xml:space="preserve">lose </w:t>
            </w:r>
            <w:r w:rsidR="00E32C1E">
              <w:rPr>
                <w:rStyle w:val="FormatvorlageInstructionsTabelleText"/>
                <w:rFonts w:asciiTheme="minorHAnsi" w:hAnsiTheme="minorHAnsi"/>
                <w:b/>
                <w:u w:val="single"/>
              </w:rPr>
              <w:t>A</w:t>
            </w:r>
            <w:r w:rsidR="00502C41">
              <w:rPr>
                <w:rStyle w:val="FormatvorlageInstructionsTabelleText"/>
                <w:rFonts w:asciiTheme="minorHAnsi" w:hAnsiTheme="minorHAnsi"/>
                <w:b/>
                <w:u w:val="single"/>
              </w:rPr>
              <w:t>ssociates</w:t>
            </w:r>
          </w:p>
          <w:p w14:paraId="559A2447" w14:textId="77777777" w:rsidR="007818CD" w:rsidRDefault="007818CD" w:rsidP="007818CD">
            <w:pPr>
              <w:spacing w:before="0" w:after="0" w:line="240" w:lineRule="auto"/>
              <w:jc w:val="both"/>
              <w:rPr>
                <w:rFonts w:asciiTheme="minorHAnsi" w:hAnsiTheme="minorHAnsi"/>
                <w:bCs/>
                <w:iCs/>
                <w:sz w:val="20"/>
              </w:rPr>
            </w:pPr>
            <w:r w:rsidRPr="007818CD">
              <w:rPr>
                <w:rFonts w:asciiTheme="minorHAnsi" w:hAnsiTheme="minorHAnsi"/>
                <w:bCs/>
                <w:iCs/>
                <w:sz w:val="20"/>
              </w:rPr>
              <w:t xml:space="preserve">This datapoint is applicable for all sectors. </w:t>
            </w:r>
          </w:p>
          <w:p w14:paraId="1564DF24" w14:textId="77777777" w:rsidR="00502C41" w:rsidRDefault="00502C41" w:rsidP="007818CD">
            <w:pPr>
              <w:spacing w:before="0" w:after="0" w:line="240" w:lineRule="auto"/>
              <w:jc w:val="both"/>
              <w:rPr>
                <w:rFonts w:asciiTheme="minorHAnsi" w:hAnsiTheme="minorHAnsi"/>
                <w:bCs/>
                <w:iCs/>
                <w:sz w:val="20"/>
              </w:rPr>
            </w:pPr>
          </w:p>
          <w:p w14:paraId="2CF3F396" w14:textId="3621BB80" w:rsidR="00502C41" w:rsidRPr="00700176" w:rsidRDefault="00062611" w:rsidP="007818CD">
            <w:pPr>
              <w:spacing w:before="0" w:after="0" w:line="240" w:lineRule="auto"/>
              <w:jc w:val="both"/>
              <w:rPr>
                <w:rFonts w:asciiTheme="minorHAnsi" w:hAnsiTheme="minorHAnsi"/>
                <w:sz w:val="20"/>
              </w:rPr>
            </w:pPr>
            <w:r>
              <w:rPr>
                <w:rStyle w:val="FormatvorlageInstructionsTabelleText"/>
                <w:rFonts w:asciiTheme="minorHAnsi" w:hAnsiTheme="minorHAnsi"/>
              </w:rPr>
              <w:t xml:space="preserve">Indicate the </w:t>
            </w:r>
            <w:r w:rsidR="0050192B">
              <w:rPr>
                <w:rStyle w:val="FormatvorlageInstructionsTabelleText"/>
                <w:rFonts w:asciiTheme="minorHAnsi" w:hAnsiTheme="minorHAnsi"/>
              </w:rPr>
              <w:t xml:space="preserve">number </w:t>
            </w:r>
            <w:r w:rsidR="00502C41" w:rsidRPr="29C17E01">
              <w:rPr>
                <w:rStyle w:val="FormatvorlageInstructionsTabelleText"/>
                <w:rFonts w:asciiTheme="minorHAnsi" w:hAnsiTheme="minorHAnsi"/>
              </w:rPr>
              <w:t>of N</w:t>
            </w:r>
            <w:r w:rsidR="00502C41">
              <w:rPr>
                <w:rStyle w:val="FormatvorlageInstructionsTabelleText"/>
                <w:rFonts w:asciiTheme="minorHAnsi" w:hAnsiTheme="minorHAnsi"/>
              </w:rPr>
              <w:t xml:space="preserve">atural </w:t>
            </w:r>
            <w:r w:rsidR="00502C41" w:rsidRPr="29C17E01">
              <w:rPr>
                <w:rStyle w:val="FormatvorlageInstructionsTabelleText"/>
                <w:rFonts w:asciiTheme="minorHAnsi" w:hAnsiTheme="minorHAnsi"/>
              </w:rPr>
              <w:t>P</w:t>
            </w:r>
            <w:r w:rsidR="00502C41">
              <w:rPr>
                <w:rStyle w:val="FormatvorlageInstructionsTabelleText"/>
                <w:rFonts w:asciiTheme="minorHAnsi" w:hAnsiTheme="minorHAnsi"/>
              </w:rPr>
              <w:t>erson</w:t>
            </w:r>
            <w:r w:rsidR="00502C41" w:rsidRPr="29C17E01">
              <w:rPr>
                <w:rStyle w:val="FormatvorlageInstructionsTabelleText"/>
                <w:rFonts w:asciiTheme="minorHAnsi" w:hAnsiTheme="minorHAnsi"/>
              </w:rPr>
              <w:t xml:space="preserve"> </w:t>
            </w:r>
            <w:r w:rsidR="00882276">
              <w:rPr>
                <w:rStyle w:val="FormatvorlageInstructionsTabelleText"/>
                <w:rFonts w:asciiTheme="minorHAnsi" w:hAnsiTheme="minorHAnsi"/>
              </w:rPr>
              <w:t>(NP)</w:t>
            </w:r>
            <w:r w:rsidR="00175087">
              <w:rPr>
                <w:rStyle w:val="FormatvorlageInstructionsTabelleText"/>
                <w:rFonts w:asciiTheme="minorHAnsi" w:hAnsiTheme="minorHAnsi"/>
              </w:rPr>
              <w:t xml:space="preserve"> </w:t>
            </w:r>
            <w:r w:rsidR="002573B4">
              <w:rPr>
                <w:rStyle w:val="FormatvorlageInstructionsTabelleText"/>
                <w:rFonts w:asciiTheme="minorHAnsi" w:hAnsiTheme="minorHAnsi"/>
              </w:rPr>
              <w:t>customers who are</w:t>
            </w:r>
            <w:r w:rsidR="00882276">
              <w:rPr>
                <w:rStyle w:val="FormatvorlageInstructionsTabelleText"/>
                <w:rFonts w:asciiTheme="minorHAnsi" w:hAnsiTheme="minorHAnsi"/>
              </w:rPr>
              <w:t xml:space="preserve"> </w:t>
            </w:r>
            <w:r w:rsidR="00502C41">
              <w:rPr>
                <w:rStyle w:val="FormatvorlageInstructionsTabelleText"/>
                <w:rFonts w:asciiTheme="minorHAnsi" w:hAnsiTheme="minorHAnsi"/>
              </w:rPr>
              <w:t>identified as: (i) politically exposed persons (PEPs)</w:t>
            </w:r>
            <w:r w:rsidR="00502C41" w:rsidRPr="2D55A1C4">
              <w:rPr>
                <w:rStyle w:val="FormatvorlageInstructionsTabelleText"/>
                <w:rFonts w:asciiTheme="minorHAnsi" w:hAnsiTheme="minorHAnsi"/>
              </w:rPr>
              <w:t>,</w:t>
            </w:r>
            <w:r w:rsidR="00502C41">
              <w:rPr>
                <w:rStyle w:val="FormatvorlageInstructionsTabelleText"/>
                <w:rFonts w:asciiTheme="minorHAnsi" w:hAnsiTheme="minorHAnsi"/>
              </w:rPr>
              <w:t xml:space="preserve"> (ii) family members of PEPs, or (iii) persons known to be close associates of PEP</w:t>
            </w:r>
            <w:r w:rsidR="00855219">
              <w:rPr>
                <w:rStyle w:val="FormatvorlageInstructionsTabelleText"/>
                <w:rFonts w:asciiTheme="minorHAnsi" w:hAnsiTheme="minorHAnsi"/>
              </w:rPr>
              <w:t>s, per country, as of end of the reference year.</w:t>
            </w:r>
          </w:p>
          <w:p w14:paraId="1467E678" w14:textId="77777777" w:rsidR="007818CD" w:rsidRDefault="007818CD" w:rsidP="00DA2E7C">
            <w:pPr>
              <w:spacing w:before="0" w:after="0" w:line="240" w:lineRule="auto"/>
              <w:jc w:val="both"/>
              <w:rPr>
                <w:rStyle w:val="FormatvorlageInstructionsTabelleText"/>
                <w:rFonts w:asciiTheme="minorHAnsi" w:hAnsiTheme="minorHAnsi"/>
              </w:rPr>
            </w:pPr>
          </w:p>
          <w:p w14:paraId="44192BC3" w14:textId="7859F9A0" w:rsidR="00E70877" w:rsidRDefault="00E70877" w:rsidP="00DA2E7C">
            <w:pPr>
              <w:spacing w:before="0" w:after="0" w:line="240" w:lineRule="auto"/>
              <w:jc w:val="both"/>
              <w:rPr>
                <w:rStyle w:val="FormatvorlageInstructionsTabelleText"/>
                <w:rFonts w:asciiTheme="minorHAnsi" w:hAnsiTheme="minorHAnsi"/>
                <w:color w:val="auto"/>
                <w:lang w:val="en-GB" w:eastAsia="de-DE" w:bidi="ne-NP"/>
              </w:rPr>
            </w:pPr>
            <w:r w:rsidRPr="00E70877">
              <w:rPr>
                <w:rStyle w:val="FormatvorlageInstructionsTabelleText"/>
                <w:rFonts w:asciiTheme="minorHAnsi" w:hAnsiTheme="minorHAnsi"/>
              </w:rPr>
              <w:t xml:space="preserve">For the purposes of this data point, the country dimension refers to the PEP’s country of nationality (i.e. for family members and close associates, the </w:t>
            </w:r>
            <w:r w:rsidR="00E01C71">
              <w:rPr>
                <w:rStyle w:val="FormatvorlageInstructionsTabelleText"/>
                <w:rFonts w:asciiTheme="minorHAnsi" w:hAnsiTheme="minorHAnsi"/>
              </w:rPr>
              <w:t xml:space="preserve">country of </w:t>
            </w:r>
            <w:r w:rsidRPr="00E70877">
              <w:rPr>
                <w:rStyle w:val="FormatvorlageInstructionsTabelleText"/>
                <w:rFonts w:asciiTheme="minorHAnsi" w:hAnsiTheme="minorHAnsi"/>
              </w:rPr>
              <w:t>nationality of the related PEP)</w:t>
            </w:r>
            <w:r>
              <w:rPr>
                <w:rStyle w:val="FormatvorlageInstructionsTabelleText"/>
                <w:rFonts w:asciiTheme="minorHAnsi" w:hAnsiTheme="minorHAnsi"/>
                <w:color w:val="auto"/>
                <w:lang w:val="en-GB" w:eastAsia="de-DE" w:bidi="ne-NP"/>
              </w:rPr>
              <w:t>.</w:t>
            </w:r>
          </w:p>
          <w:p w14:paraId="7058B8DF" w14:textId="77777777" w:rsidR="00700176" w:rsidRDefault="00700176" w:rsidP="00DA2E7C">
            <w:pPr>
              <w:spacing w:before="0" w:after="0" w:line="240" w:lineRule="auto"/>
              <w:jc w:val="both"/>
              <w:rPr>
                <w:rStyle w:val="FormatvorlageInstructionsTabelleText"/>
                <w:rFonts w:asciiTheme="minorHAnsi" w:hAnsiTheme="minorHAnsi"/>
                <w:color w:val="auto"/>
                <w:lang w:val="en-GB" w:eastAsia="de-DE" w:bidi="ne-NP"/>
              </w:rPr>
            </w:pPr>
          </w:p>
          <w:p w14:paraId="1D5F8FC1" w14:textId="77777777" w:rsidR="00700176" w:rsidRPr="00875978" w:rsidRDefault="00700176" w:rsidP="00700176">
            <w:pPr>
              <w:spacing w:before="0" w:after="0" w:line="240" w:lineRule="auto"/>
              <w:jc w:val="both"/>
              <w:rPr>
                <w:rStyle w:val="FormatvorlageInstructionsTabelleText"/>
                <w:rFonts w:asciiTheme="minorHAnsi" w:hAnsiTheme="minorHAnsi"/>
                <w:color w:val="auto"/>
                <w:kern w:val="0"/>
                <w:szCs w:val="24"/>
                <w:lang w:val="en-GB" w:eastAsia="de-DE" w:bidi="ne-NP"/>
              </w:rPr>
            </w:pPr>
            <w:r w:rsidRPr="00875978">
              <w:rPr>
                <w:rStyle w:val="FormatvorlageInstructionsTabelleText"/>
                <w:rFonts w:asciiTheme="minorHAnsi" w:hAnsiTheme="minorHAnsi"/>
                <w:color w:val="auto"/>
                <w:kern w:val="0"/>
                <w:szCs w:val="24"/>
                <w:lang w:val="en-GB" w:eastAsia="de-DE" w:bidi="ne-NP"/>
              </w:rPr>
              <w:t>See the definition of ‘PEP’, ‘family member’, and ‘person known to be close associate’ in Annex 2.</w:t>
            </w:r>
          </w:p>
          <w:p w14:paraId="5E3BB900" w14:textId="182A5D89" w:rsidR="00A90803" w:rsidRPr="005F762C" w:rsidRDefault="00A90803" w:rsidP="00C227C7">
            <w:pPr>
              <w:spacing w:before="0" w:after="0" w:line="240" w:lineRule="auto"/>
              <w:jc w:val="both"/>
              <w:rPr>
                <w:rStyle w:val="InstructionsTabelleberschrift"/>
                <w:rFonts w:asciiTheme="minorHAnsi" w:hAnsiTheme="minorHAnsi"/>
                <w:highlight w:val="yellow"/>
              </w:rPr>
            </w:pPr>
          </w:p>
        </w:tc>
      </w:tr>
      <w:tr w:rsidR="005E211E" w:rsidRPr="009B282E" w14:paraId="38F81CB4" w14:textId="77777777" w:rsidTr="262CC662">
        <w:tc>
          <w:tcPr>
            <w:tcW w:w="1673" w:type="dxa"/>
            <w:tcBorders>
              <w:top w:val="single" w:sz="4" w:space="0" w:color="auto"/>
              <w:left w:val="single" w:sz="4" w:space="0" w:color="auto"/>
              <w:bottom w:val="single" w:sz="4" w:space="0" w:color="auto"/>
              <w:right w:val="single" w:sz="4" w:space="0" w:color="auto"/>
            </w:tcBorders>
            <w:vAlign w:val="center"/>
          </w:tcPr>
          <w:p w14:paraId="2C5F75BF" w14:textId="1EA3AA84" w:rsidR="00A90803" w:rsidRPr="00813150" w:rsidRDefault="00A90803" w:rsidP="00F32516">
            <w:pPr>
              <w:pStyle w:val="InstructionsText"/>
              <w:rPr>
                <w:rStyle w:val="FormatvorlageInstructionsTabelleText"/>
                <w:rFonts w:asciiTheme="minorHAnsi" w:hAnsiTheme="minorHAnsi"/>
                <w:b/>
              </w:rPr>
            </w:pPr>
            <w:r w:rsidRPr="00A70B3F">
              <w:t>C0050</w:t>
            </w:r>
          </w:p>
        </w:tc>
        <w:tc>
          <w:tcPr>
            <w:tcW w:w="7616" w:type="dxa"/>
            <w:tcBorders>
              <w:top w:val="single" w:sz="8" w:space="0" w:color="auto"/>
              <w:left w:val="single" w:sz="4" w:space="0" w:color="auto"/>
              <w:bottom w:val="single" w:sz="4" w:space="0" w:color="auto"/>
              <w:right w:val="single" w:sz="4" w:space="0" w:color="auto"/>
            </w:tcBorders>
          </w:tcPr>
          <w:p w14:paraId="4451B6B7" w14:textId="37B4BD26" w:rsidR="00491899" w:rsidRPr="00262B45" w:rsidRDefault="00491899" w:rsidP="00A90803">
            <w:pPr>
              <w:spacing w:before="0" w:after="0" w:line="240" w:lineRule="auto"/>
              <w:jc w:val="both"/>
              <w:rPr>
                <w:rFonts w:asciiTheme="minorHAnsi" w:eastAsia="Times New Roman" w:hAnsiTheme="minorHAnsi" w:cs="Calibri"/>
                <w:color w:val="000000"/>
                <w:kern w:val="0"/>
                <w:sz w:val="20"/>
                <w:lang w:val="en-IE" w:eastAsia="en-IE"/>
              </w:rPr>
            </w:pPr>
            <w:r w:rsidRPr="00262B45">
              <w:rPr>
                <w:rFonts w:ascii="Aptos" w:eastAsia="Times New Roman" w:hAnsi="Aptos" w:cs="Calibri"/>
                <w:b/>
                <w:color w:val="auto"/>
                <w:kern w:val="0"/>
                <w:sz w:val="20"/>
                <w:u w:val="single"/>
                <w:lang w:val="en-IE" w:eastAsia="en-IE"/>
              </w:rPr>
              <w:t xml:space="preserve">Legal Entities </w:t>
            </w:r>
            <w:r w:rsidR="000D7CC6">
              <w:rPr>
                <w:rFonts w:ascii="Aptos" w:eastAsia="Times New Roman" w:hAnsi="Aptos" w:cs="Calibri"/>
                <w:b/>
                <w:color w:val="auto"/>
                <w:kern w:val="0"/>
                <w:sz w:val="20"/>
                <w:u w:val="single"/>
                <w:lang w:val="en-IE" w:eastAsia="en-IE"/>
              </w:rPr>
              <w:t>–</w:t>
            </w:r>
            <w:r w:rsidRPr="00262B45">
              <w:rPr>
                <w:rFonts w:ascii="Aptos" w:eastAsia="Times New Roman" w:hAnsi="Aptos" w:cs="Calibri"/>
                <w:b/>
                <w:color w:val="auto"/>
                <w:kern w:val="0"/>
                <w:sz w:val="20"/>
                <w:u w:val="single"/>
                <w:lang w:val="en-IE" w:eastAsia="en-IE"/>
              </w:rPr>
              <w:t xml:space="preserve"> PEP</w:t>
            </w:r>
            <w:r w:rsidR="004F6E50">
              <w:rPr>
                <w:rFonts w:ascii="Aptos" w:eastAsia="Times New Roman" w:hAnsi="Aptos" w:cs="Calibri"/>
                <w:b/>
                <w:color w:val="auto"/>
                <w:kern w:val="0"/>
                <w:sz w:val="20"/>
                <w:u w:val="single"/>
                <w:lang w:val="en-IE" w:eastAsia="en-IE"/>
              </w:rPr>
              <w:t>s</w:t>
            </w:r>
            <w:r w:rsidR="000D7CC6">
              <w:rPr>
                <w:rFonts w:ascii="Aptos" w:eastAsia="Times New Roman" w:hAnsi="Aptos" w:cs="Calibri"/>
                <w:b/>
                <w:color w:val="auto"/>
                <w:kern w:val="0"/>
                <w:sz w:val="20"/>
                <w:u w:val="single"/>
                <w:lang w:val="en-IE" w:eastAsia="en-IE"/>
              </w:rPr>
              <w:t xml:space="preserve">, </w:t>
            </w:r>
            <w:r w:rsidR="00043DA1">
              <w:rPr>
                <w:rFonts w:ascii="Aptos" w:eastAsia="Times New Roman" w:hAnsi="Aptos" w:cs="Calibri"/>
                <w:b/>
                <w:color w:val="auto"/>
                <w:kern w:val="0"/>
                <w:sz w:val="20"/>
                <w:u w:val="single"/>
                <w:lang w:val="en-IE" w:eastAsia="en-IE"/>
              </w:rPr>
              <w:t xml:space="preserve">Family </w:t>
            </w:r>
            <w:r w:rsidR="00E32C1E">
              <w:rPr>
                <w:rFonts w:ascii="Aptos" w:eastAsia="Times New Roman" w:hAnsi="Aptos" w:cs="Calibri"/>
                <w:b/>
                <w:color w:val="auto"/>
                <w:kern w:val="0"/>
                <w:sz w:val="20"/>
                <w:u w:val="single"/>
                <w:lang w:val="en-IE" w:eastAsia="en-IE"/>
              </w:rPr>
              <w:t>Member</w:t>
            </w:r>
            <w:r w:rsidR="004F6E50">
              <w:rPr>
                <w:rFonts w:ascii="Aptos" w:eastAsia="Times New Roman" w:hAnsi="Aptos" w:cs="Calibri"/>
                <w:b/>
                <w:color w:val="auto"/>
                <w:kern w:val="0"/>
                <w:sz w:val="20"/>
                <w:u w:val="single"/>
                <w:lang w:val="en-IE" w:eastAsia="en-IE"/>
              </w:rPr>
              <w:t>s</w:t>
            </w:r>
            <w:r w:rsidR="00E32C1E">
              <w:rPr>
                <w:rFonts w:ascii="Aptos" w:eastAsia="Times New Roman" w:hAnsi="Aptos" w:cs="Calibri"/>
                <w:b/>
                <w:color w:val="auto"/>
                <w:kern w:val="0"/>
                <w:sz w:val="20"/>
                <w:u w:val="single"/>
                <w:lang w:val="en-IE" w:eastAsia="en-IE"/>
              </w:rPr>
              <w:t xml:space="preserve"> or Close Associate</w:t>
            </w:r>
            <w:r w:rsidR="004F6E50">
              <w:rPr>
                <w:rFonts w:ascii="Aptos" w:eastAsia="Times New Roman" w:hAnsi="Aptos" w:cs="Calibri"/>
                <w:b/>
                <w:color w:val="auto"/>
                <w:kern w:val="0"/>
                <w:sz w:val="20"/>
                <w:u w:val="single"/>
                <w:lang w:val="en-IE" w:eastAsia="en-IE"/>
              </w:rPr>
              <w:t>s</w:t>
            </w:r>
            <w:r w:rsidR="00E32C1E">
              <w:rPr>
                <w:rFonts w:ascii="Aptos" w:eastAsia="Times New Roman" w:hAnsi="Aptos" w:cs="Calibri"/>
                <w:b/>
                <w:color w:val="auto"/>
                <w:kern w:val="0"/>
                <w:sz w:val="20"/>
                <w:u w:val="single"/>
                <w:lang w:val="en-IE" w:eastAsia="en-IE"/>
              </w:rPr>
              <w:t xml:space="preserve"> </w:t>
            </w:r>
            <w:r w:rsidR="00D41A96">
              <w:rPr>
                <w:rFonts w:ascii="Aptos" w:eastAsia="Times New Roman" w:hAnsi="Aptos" w:cs="Calibri"/>
                <w:b/>
                <w:color w:val="auto"/>
                <w:kern w:val="0"/>
                <w:sz w:val="20"/>
                <w:u w:val="single"/>
                <w:lang w:val="en-IE" w:eastAsia="en-IE"/>
              </w:rPr>
              <w:t xml:space="preserve">as </w:t>
            </w:r>
            <w:r w:rsidRPr="00262B45">
              <w:rPr>
                <w:rFonts w:ascii="Aptos" w:eastAsia="Times New Roman" w:hAnsi="Aptos" w:cs="Calibri"/>
                <w:b/>
                <w:color w:val="auto"/>
                <w:kern w:val="0"/>
                <w:sz w:val="20"/>
                <w:u w:val="single"/>
                <w:lang w:val="en-IE" w:eastAsia="en-IE"/>
              </w:rPr>
              <w:t>BOs</w:t>
            </w:r>
          </w:p>
          <w:p w14:paraId="1A4EC6A8" w14:textId="77777777" w:rsidR="00430A1D" w:rsidRDefault="00430A1D" w:rsidP="00A90803">
            <w:pPr>
              <w:spacing w:before="0" w:after="0" w:line="240" w:lineRule="auto"/>
              <w:jc w:val="both"/>
              <w:rPr>
                <w:rFonts w:asciiTheme="minorHAnsi" w:eastAsia="Times New Roman" w:hAnsiTheme="minorHAnsi" w:cs="Calibri"/>
                <w:color w:val="000000"/>
                <w:kern w:val="0"/>
                <w:sz w:val="20"/>
                <w:lang w:val="en-IE" w:eastAsia="en-IE"/>
              </w:rPr>
            </w:pPr>
          </w:p>
          <w:p w14:paraId="6BE86A24" w14:textId="77777777" w:rsidR="00B735FA" w:rsidRPr="00B735FA" w:rsidRDefault="00B735FA" w:rsidP="00B735FA">
            <w:pPr>
              <w:spacing w:before="0" w:after="0" w:line="240" w:lineRule="auto"/>
              <w:jc w:val="both"/>
              <w:rPr>
                <w:rFonts w:asciiTheme="minorHAnsi" w:hAnsiTheme="minorHAnsi"/>
                <w:bCs/>
                <w:iCs/>
                <w:sz w:val="20"/>
              </w:rPr>
            </w:pPr>
            <w:r w:rsidRPr="00B735FA">
              <w:rPr>
                <w:rFonts w:asciiTheme="minorHAnsi" w:hAnsiTheme="minorHAnsi"/>
                <w:bCs/>
                <w:iCs/>
                <w:sz w:val="20"/>
              </w:rPr>
              <w:t xml:space="preserve">This datapoint is applicable for all sectors. </w:t>
            </w:r>
          </w:p>
          <w:p w14:paraId="0562B511" w14:textId="77777777" w:rsidR="00E0057D" w:rsidRDefault="00E0057D" w:rsidP="00B735FA">
            <w:pPr>
              <w:spacing w:before="0" w:after="0" w:line="240" w:lineRule="auto"/>
              <w:jc w:val="both"/>
              <w:rPr>
                <w:rFonts w:asciiTheme="minorHAnsi" w:hAnsiTheme="minorHAnsi"/>
                <w:bCs/>
                <w:iCs/>
                <w:sz w:val="20"/>
              </w:rPr>
            </w:pPr>
          </w:p>
          <w:p w14:paraId="6D962AD7" w14:textId="20610AD4" w:rsidR="00E0057D" w:rsidRDefault="00E0057D" w:rsidP="00E0057D">
            <w:pPr>
              <w:spacing w:before="0" w:after="0" w:line="240" w:lineRule="auto"/>
              <w:jc w:val="both"/>
              <w:rPr>
                <w:rFonts w:asciiTheme="minorHAnsi" w:hAnsiTheme="minorHAnsi"/>
                <w:bCs/>
                <w:iCs/>
                <w:sz w:val="20"/>
                <w:lang w:val="en-IE"/>
              </w:rPr>
            </w:pPr>
            <w:r>
              <w:rPr>
                <w:rFonts w:asciiTheme="minorHAnsi" w:hAnsiTheme="minorHAnsi"/>
                <w:bCs/>
                <w:iCs/>
                <w:sz w:val="20"/>
              </w:rPr>
              <w:t>Indicate the number</w:t>
            </w:r>
            <w:r w:rsidR="002573B4">
              <w:rPr>
                <w:rFonts w:asciiTheme="minorHAnsi" w:hAnsiTheme="minorHAnsi"/>
                <w:bCs/>
                <w:iCs/>
                <w:sz w:val="20"/>
              </w:rPr>
              <w:t xml:space="preserve"> of</w:t>
            </w:r>
            <w:r w:rsidRPr="00E0057D">
              <w:rPr>
                <w:rFonts w:asciiTheme="minorHAnsi" w:hAnsiTheme="minorHAnsi"/>
                <w:bCs/>
                <w:iCs/>
                <w:sz w:val="20"/>
              </w:rPr>
              <w:t xml:space="preserve"> Legal Entity (LE) customers whose B</w:t>
            </w:r>
            <w:r w:rsidR="00175087">
              <w:rPr>
                <w:rFonts w:asciiTheme="minorHAnsi" w:hAnsiTheme="minorHAnsi"/>
                <w:bCs/>
                <w:iCs/>
                <w:sz w:val="20"/>
              </w:rPr>
              <w:t>eneficial Owners (BO</w:t>
            </w:r>
            <w:r w:rsidR="0084540C">
              <w:rPr>
                <w:rFonts w:asciiTheme="minorHAnsi" w:hAnsiTheme="minorHAnsi"/>
                <w:bCs/>
                <w:iCs/>
                <w:sz w:val="20"/>
              </w:rPr>
              <w:t>s</w:t>
            </w:r>
            <w:r w:rsidR="00175087">
              <w:rPr>
                <w:rFonts w:asciiTheme="minorHAnsi" w:hAnsiTheme="minorHAnsi"/>
                <w:bCs/>
                <w:iCs/>
                <w:sz w:val="20"/>
              </w:rPr>
              <w:t>)</w:t>
            </w:r>
            <w:r w:rsidRPr="00E0057D">
              <w:rPr>
                <w:rFonts w:asciiTheme="minorHAnsi" w:hAnsiTheme="minorHAnsi"/>
                <w:bCs/>
                <w:iCs/>
                <w:sz w:val="20"/>
              </w:rPr>
              <w:t xml:space="preserve"> include at least one politically exposed person (PEP), a family member of a PEP, or a person known to be a close associate of a PEP,</w:t>
            </w:r>
            <w:r w:rsidR="00175087">
              <w:rPr>
                <w:rFonts w:asciiTheme="minorHAnsi" w:hAnsiTheme="minorHAnsi"/>
                <w:bCs/>
                <w:iCs/>
                <w:sz w:val="20"/>
              </w:rPr>
              <w:t xml:space="preserve"> per country,</w:t>
            </w:r>
            <w:r w:rsidRPr="00E0057D">
              <w:rPr>
                <w:rFonts w:asciiTheme="minorHAnsi" w:hAnsiTheme="minorHAnsi"/>
                <w:bCs/>
                <w:iCs/>
                <w:sz w:val="20"/>
              </w:rPr>
              <w:t xml:space="preserve"> </w:t>
            </w:r>
            <w:r w:rsidRPr="00E0057D">
              <w:rPr>
                <w:rFonts w:asciiTheme="minorHAnsi" w:hAnsiTheme="minorHAnsi"/>
                <w:bCs/>
                <w:iCs/>
                <w:sz w:val="20"/>
                <w:lang w:val="en-IE"/>
              </w:rPr>
              <w:t>as of end of the reference year.</w:t>
            </w:r>
          </w:p>
          <w:p w14:paraId="6FA0071C" w14:textId="77777777" w:rsidR="0046688E" w:rsidRDefault="0046688E" w:rsidP="00E0057D">
            <w:pPr>
              <w:spacing w:before="0" w:after="0" w:line="240" w:lineRule="auto"/>
              <w:jc w:val="both"/>
              <w:rPr>
                <w:rFonts w:asciiTheme="minorHAnsi" w:hAnsiTheme="minorHAnsi"/>
                <w:bCs/>
                <w:iCs/>
                <w:sz w:val="20"/>
                <w:lang w:val="en-IE"/>
              </w:rPr>
            </w:pPr>
          </w:p>
          <w:p w14:paraId="1DB6B3FD" w14:textId="7E82EDB0" w:rsidR="00EC60F7" w:rsidRPr="00135B9D" w:rsidRDefault="00EC60F7" w:rsidP="00B735FA">
            <w:pPr>
              <w:spacing w:before="0" w:after="0" w:line="240" w:lineRule="auto"/>
              <w:jc w:val="both"/>
              <w:rPr>
                <w:rFonts w:asciiTheme="minorHAnsi" w:hAnsiTheme="minorHAnsi"/>
                <w:bCs/>
                <w:iCs/>
                <w:sz w:val="20"/>
                <w:lang w:val="en-IE"/>
              </w:rPr>
            </w:pPr>
            <w:r w:rsidRPr="00EC60F7">
              <w:rPr>
                <w:rStyle w:val="FormatvorlageInstructionsTabelleText"/>
                <w:rFonts w:asciiTheme="minorHAnsi" w:hAnsiTheme="minorHAnsi"/>
              </w:rPr>
              <w:t xml:space="preserve">For the purposes of this data point, the country dimension refers to the PEP’s country of nationality (i.e. for family members and close associates, the </w:t>
            </w:r>
            <w:r w:rsidR="0091693D">
              <w:rPr>
                <w:rStyle w:val="FormatvorlageInstructionsTabelleText"/>
                <w:rFonts w:asciiTheme="minorHAnsi" w:hAnsiTheme="minorHAnsi"/>
              </w:rPr>
              <w:t>country of</w:t>
            </w:r>
            <w:r w:rsidRPr="00EC60F7">
              <w:rPr>
                <w:rStyle w:val="FormatvorlageInstructionsTabelleText"/>
                <w:rFonts w:asciiTheme="minorHAnsi" w:hAnsiTheme="minorHAnsi"/>
              </w:rPr>
              <w:t xml:space="preserve"> nationality of the related PEP)</w:t>
            </w:r>
            <w:r>
              <w:rPr>
                <w:rStyle w:val="FormatvorlageInstructionsTabelleText"/>
                <w:rFonts w:asciiTheme="minorHAnsi" w:hAnsiTheme="minorHAnsi"/>
              </w:rPr>
              <w:t>.</w:t>
            </w:r>
          </w:p>
          <w:p w14:paraId="0B880A08" w14:textId="77777777" w:rsidR="00937819" w:rsidRDefault="00937819" w:rsidP="00A90803">
            <w:pPr>
              <w:spacing w:before="0" w:after="0" w:line="240" w:lineRule="auto"/>
              <w:jc w:val="both"/>
              <w:rPr>
                <w:rFonts w:asciiTheme="minorHAnsi" w:eastAsia="Times New Roman" w:hAnsiTheme="minorHAnsi" w:cs="Calibri"/>
                <w:color w:val="000000"/>
                <w:kern w:val="0"/>
                <w:sz w:val="20"/>
                <w:lang w:val="en-IE" w:eastAsia="en-IE"/>
              </w:rPr>
            </w:pPr>
          </w:p>
          <w:p w14:paraId="00E755A8" w14:textId="45FF0CF0" w:rsidR="005A09D5" w:rsidRDefault="005A09D5" w:rsidP="00A90803">
            <w:pPr>
              <w:spacing w:before="0" w:after="0" w:line="240" w:lineRule="auto"/>
              <w:jc w:val="both"/>
              <w:rPr>
                <w:rFonts w:asciiTheme="minorHAnsi" w:eastAsia="Times New Roman" w:hAnsiTheme="minorHAnsi" w:cs="Calibri"/>
                <w:color w:val="000000"/>
                <w:kern w:val="0"/>
                <w:sz w:val="20"/>
                <w:lang w:val="en-IE" w:eastAsia="en-IE"/>
              </w:rPr>
            </w:pPr>
            <w:r>
              <w:rPr>
                <w:rFonts w:asciiTheme="minorHAnsi" w:eastAsia="Times New Roman" w:hAnsiTheme="minorHAnsi" w:cs="Calibri"/>
                <w:color w:val="000000"/>
                <w:kern w:val="0"/>
                <w:sz w:val="20"/>
                <w:lang w:val="en-IE" w:eastAsia="en-IE"/>
              </w:rPr>
              <w:t xml:space="preserve">When </w:t>
            </w:r>
            <w:r w:rsidR="00C91918">
              <w:rPr>
                <w:rFonts w:asciiTheme="minorHAnsi" w:eastAsia="Times New Roman" w:hAnsiTheme="minorHAnsi" w:cs="Calibri"/>
                <w:color w:val="000000"/>
                <w:kern w:val="0"/>
                <w:sz w:val="20"/>
                <w:lang w:val="en-IE" w:eastAsia="en-IE"/>
              </w:rPr>
              <w:t>a single legal entity has multiple B</w:t>
            </w:r>
            <w:r w:rsidR="00020307">
              <w:rPr>
                <w:rFonts w:asciiTheme="minorHAnsi" w:eastAsia="Times New Roman" w:hAnsiTheme="minorHAnsi" w:cs="Calibri"/>
                <w:color w:val="000000"/>
                <w:kern w:val="0"/>
                <w:sz w:val="20"/>
                <w:lang w:val="en-IE" w:eastAsia="en-IE"/>
              </w:rPr>
              <w:t>O</w:t>
            </w:r>
            <w:r w:rsidR="000815D6">
              <w:rPr>
                <w:rFonts w:asciiTheme="minorHAnsi" w:eastAsia="Times New Roman" w:hAnsiTheme="minorHAnsi" w:cs="Calibri"/>
                <w:color w:val="000000"/>
                <w:kern w:val="0"/>
                <w:sz w:val="20"/>
                <w:lang w:val="en-IE" w:eastAsia="en-IE"/>
              </w:rPr>
              <w:t>s</w:t>
            </w:r>
            <w:r w:rsidR="00E337D8">
              <w:rPr>
                <w:rFonts w:asciiTheme="minorHAnsi" w:eastAsia="Times New Roman" w:hAnsiTheme="minorHAnsi" w:cs="Calibri"/>
                <w:color w:val="000000"/>
                <w:kern w:val="0"/>
                <w:sz w:val="20"/>
                <w:lang w:val="en-IE" w:eastAsia="en-IE"/>
              </w:rPr>
              <w:t xml:space="preserve"> that are PEPs, family member</w:t>
            </w:r>
            <w:r w:rsidR="00AE2E5F">
              <w:rPr>
                <w:rFonts w:asciiTheme="minorHAnsi" w:eastAsia="Times New Roman" w:hAnsiTheme="minorHAnsi" w:cs="Calibri"/>
                <w:color w:val="000000"/>
                <w:kern w:val="0"/>
                <w:sz w:val="20"/>
                <w:lang w:val="en-IE" w:eastAsia="en-IE"/>
              </w:rPr>
              <w:t>s of PEPs or persons known to be cl</w:t>
            </w:r>
            <w:r w:rsidR="00634500">
              <w:rPr>
                <w:rFonts w:asciiTheme="minorHAnsi" w:eastAsia="Times New Roman" w:hAnsiTheme="minorHAnsi" w:cs="Calibri"/>
                <w:color w:val="000000"/>
                <w:kern w:val="0"/>
                <w:sz w:val="20"/>
                <w:lang w:val="en-IE" w:eastAsia="en-IE"/>
              </w:rPr>
              <w:t>ose associates of PEP</w:t>
            </w:r>
            <w:r w:rsidR="00020307">
              <w:rPr>
                <w:rFonts w:asciiTheme="minorHAnsi" w:eastAsia="Times New Roman" w:hAnsiTheme="minorHAnsi" w:cs="Calibri"/>
                <w:color w:val="000000"/>
                <w:kern w:val="0"/>
                <w:sz w:val="20"/>
                <w:lang w:val="en-IE" w:eastAsia="en-IE"/>
              </w:rPr>
              <w:t>s</w:t>
            </w:r>
            <w:r w:rsidR="000815D6">
              <w:rPr>
                <w:rFonts w:asciiTheme="minorHAnsi" w:eastAsia="Times New Roman" w:hAnsiTheme="minorHAnsi" w:cs="Calibri"/>
                <w:color w:val="000000"/>
                <w:kern w:val="0"/>
                <w:sz w:val="20"/>
                <w:lang w:val="en-IE" w:eastAsia="en-IE"/>
              </w:rPr>
              <w:t xml:space="preserve"> </w:t>
            </w:r>
            <w:r w:rsidR="00AD5E14">
              <w:rPr>
                <w:rFonts w:asciiTheme="minorHAnsi" w:eastAsia="Times New Roman" w:hAnsiTheme="minorHAnsi" w:cs="Calibri"/>
                <w:color w:val="000000"/>
                <w:kern w:val="0"/>
                <w:sz w:val="20"/>
                <w:lang w:val="en-IE" w:eastAsia="en-IE"/>
              </w:rPr>
              <w:t xml:space="preserve">either from the </w:t>
            </w:r>
            <w:r w:rsidR="00471F00">
              <w:rPr>
                <w:rFonts w:asciiTheme="minorHAnsi" w:eastAsia="Times New Roman" w:hAnsiTheme="minorHAnsi" w:cs="Calibri"/>
                <w:color w:val="000000"/>
                <w:kern w:val="0"/>
                <w:sz w:val="20"/>
                <w:lang w:val="en-IE" w:eastAsia="en-IE"/>
              </w:rPr>
              <w:t xml:space="preserve">same </w:t>
            </w:r>
            <w:r w:rsidR="00AD5E14">
              <w:rPr>
                <w:rFonts w:asciiTheme="minorHAnsi" w:eastAsia="Times New Roman" w:hAnsiTheme="minorHAnsi" w:cs="Calibri"/>
                <w:color w:val="000000"/>
                <w:kern w:val="0"/>
                <w:sz w:val="20"/>
                <w:lang w:val="en-IE" w:eastAsia="en-IE"/>
              </w:rPr>
              <w:t xml:space="preserve">country or from </w:t>
            </w:r>
            <w:r w:rsidR="006914F0">
              <w:rPr>
                <w:rFonts w:asciiTheme="minorHAnsi" w:eastAsia="Times New Roman" w:hAnsiTheme="minorHAnsi" w:cs="Calibri"/>
                <w:color w:val="000000"/>
                <w:kern w:val="0"/>
                <w:sz w:val="20"/>
                <w:lang w:val="en-IE" w:eastAsia="en-IE"/>
              </w:rPr>
              <w:t xml:space="preserve">different countries, </w:t>
            </w:r>
            <w:r w:rsidR="00AD5E14">
              <w:rPr>
                <w:rFonts w:asciiTheme="minorHAnsi" w:eastAsia="Times New Roman" w:hAnsiTheme="minorHAnsi" w:cs="Calibri"/>
                <w:color w:val="000000"/>
                <w:kern w:val="0"/>
                <w:sz w:val="20"/>
                <w:lang w:val="en-IE" w:eastAsia="en-IE"/>
              </w:rPr>
              <w:t>report only once per country.</w:t>
            </w:r>
          </w:p>
          <w:p w14:paraId="554C06EC" w14:textId="77777777" w:rsidR="009C2FBE" w:rsidRDefault="009C2FBE" w:rsidP="00A90803">
            <w:pPr>
              <w:spacing w:before="0" w:after="0" w:line="240" w:lineRule="auto"/>
              <w:jc w:val="both"/>
              <w:rPr>
                <w:rFonts w:asciiTheme="minorHAnsi" w:eastAsia="Times New Roman" w:hAnsiTheme="minorHAnsi" w:cs="Calibri"/>
                <w:color w:val="000000"/>
                <w:kern w:val="0"/>
                <w:sz w:val="20"/>
                <w:lang w:val="en-IE" w:eastAsia="en-IE"/>
              </w:rPr>
            </w:pPr>
          </w:p>
          <w:p w14:paraId="46520C16" w14:textId="5BBC6CA1" w:rsidR="009C2FBE" w:rsidRDefault="009C2FBE" w:rsidP="00A90803">
            <w:pPr>
              <w:spacing w:before="0" w:after="0" w:line="240" w:lineRule="auto"/>
              <w:jc w:val="both"/>
              <w:rPr>
                <w:rFonts w:asciiTheme="minorHAnsi" w:hAnsiTheme="minorHAnsi"/>
                <w:sz w:val="20"/>
                <w:lang w:val="en-GB"/>
              </w:rPr>
            </w:pPr>
            <w:r w:rsidRPr="00E0057D">
              <w:rPr>
                <w:rFonts w:asciiTheme="minorHAnsi" w:hAnsiTheme="minorHAnsi"/>
                <w:bCs/>
                <w:iCs/>
                <w:sz w:val="20"/>
                <w:lang w:val="en-GB"/>
              </w:rPr>
              <w:t>See the definition of ‘PEP’, ‘family member’, and ‘person known to be close associate’ in Annex 2.</w:t>
            </w:r>
          </w:p>
          <w:p w14:paraId="4F826F96" w14:textId="77777777" w:rsidR="006121C0" w:rsidRDefault="006121C0" w:rsidP="00A90803">
            <w:pPr>
              <w:spacing w:before="0" w:after="0" w:line="240" w:lineRule="auto"/>
              <w:jc w:val="both"/>
              <w:rPr>
                <w:rFonts w:asciiTheme="minorHAnsi" w:hAnsiTheme="minorHAnsi"/>
                <w:bCs/>
                <w:iCs/>
                <w:sz w:val="20"/>
                <w:lang w:val="en-GB"/>
              </w:rPr>
            </w:pPr>
          </w:p>
          <w:p w14:paraId="24E7475C" w14:textId="7EFEB1BC" w:rsidR="006121C0" w:rsidRDefault="006121C0" w:rsidP="006121C0">
            <w:pPr>
              <w:spacing w:before="0" w:after="0" w:line="240" w:lineRule="auto"/>
              <w:jc w:val="both"/>
              <w:rPr>
                <w:rFonts w:asciiTheme="minorHAnsi" w:eastAsia="Times New Roman" w:hAnsiTheme="minorHAnsi" w:cs="Calibri"/>
                <w:color w:val="000000"/>
                <w:kern w:val="0"/>
                <w:sz w:val="20"/>
                <w:lang w:eastAsia="en-IE"/>
              </w:rPr>
            </w:pPr>
            <w:r w:rsidRPr="00F545D7">
              <w:rPr>
                <w:rFonts w:asciiTheme="minorHAnsi" w:eastAsia="Times New Roman" w:hAnsiTheme="minorHAnsi" w:cs="Calibri"/>
                <w:color w:val="000000"/>
                <w:kern w:val="0"/>
                <w:sz w:val="20"/>
                <w:lang w:val="en-GB" w:eastAsia="en-IE"/>
              </w:rPr>
              <w:t xml:space="preserve">BO </w:t>
            </w:r>
            <w:r>
              <w:rPr>
                <w:rFonts w:asciiTheme="minorHAnsi" w:eastAsia="Times New Roman" w:hAnsiTheme="minorHAnsi" w:cs="Calibri"/>
                <w:color w:val="000000"/>
                <w:kern w:val="0"/>
                <w:sz w:val="20"/>
                <w:lang w:val="en-GB" w:eastAsia="en-IE"/>
              </w:rPr>
              <w:t xml:space="preserve">means </w:t>
            </w:r>
            <w:r w:rsidRPr="00F545D7">
              <w:rPr>
                <w:rFonts w:asciiTheme="minorHAnsi" w:eastAsia="Times New Roman" w:hAnsiTheme="minorHAnsi" w:cs="Calibri"/>
                <w:color w:val="000000"/>
                <w:kern w:val="0"/>
                <w:sz w:val="20"/>
                <w:lang w:eastAsia="en-IE"/>
              </w:rPr>
              <w:t>any natural person who ultimately owns or controls a legal entity or an express trust or similar legal arrangement</w:t>
            </w:r>
            <w:r>
              <w:rPr>
                <w:rFonts w:asciiTheme="minorHAnsi" w:eastAsia="Times New Roman" w:hAnsiTheme="minorHAnsi" w:cs="Calibri"/>
                <w:color w:val="000000"/>
                <w:kern w:val="0"/>
                <w:sz w:val="20"/>
                <w:lang w:eastAsia="en-IE"/>
              </w:rPr>
              <w:t xml:space="preserve">, </w:t>
            </w:r>
            <w:r w:rsidRPr="00F545D7">
              <w:rPr>
                <w:rFonts w:asciiTheme="minorHAnsi" w:eastAsia="Times New Roman" w:hAnsiTheme="minorHAnsi" w:cs="Calibri"/>
                <w:color w:val="000000"/>
                <w:kern w:val="0"/>
                <w:sz w:val="20"/>
                <w:lang w:val="en-GB" w:eastAsia="en-IE"/>
              </w:rPr>
              <w:t>as defined in</w:t>
            </w:r>
            <w:r>
              <w:rPr>
                <w:rFonts w:asciiTheme="minorHAnsi" w:eastAsia="Times New Roman" w:hAnsiTheme="minorHAnsi" w:cs="Calibri"/>
                <w:color w:val="000000"/>
                <w:kern w:val="0"/>
                <w:sz w:val="20"/>
                <w:lang w:val="en-GB" w:eastAsia="en-IE"/>
              </w:rPr>
              <w:t xml:space="preserve"> </w:t>
            </w:r>
            <w:r w:rsidRPr="00F545D7">
              <w:rPr>
                <w:rFonts w:asciiTheme="minorHAnsi" w:eastAsia="Times New Roman" w:hAnsiTheme="minorHAnsi" w:cs="Calibri"/>
                <w:color w:val="000000"/>
                <w:kern w:val="0"/>
                <w:sz w:val="20"/>
                <w:lang w:val="en-GB" w:eastAsia="en-IE"/>
              </w:rPr>
              <w:t>Article 2(1)</w:t>
            </w:r>
            <w:r>
              <w:rPr>
                <w:rFonts w:asciiTheme="minorHAnsi" w:eastAsia="Times New Roman" w:hAnsiTheme="minorHAnsi" w:cs="Calibri"/>
                <w:color w:val="000000"/>
                <w:kern w:val="0"/>
                <w:sz w:val="20"/>
                <w:lang w:val="en-GB" w:eastAsia="en-IE"/>
              </w:rPr>
              <w:t>(28),</w:t>
            </w:r>
            <w:r w:rsidRPr="00F545D7">
              <w:rPr>
                <w:rFonts w:asciiTheme="minorHAnsi" w:eastAsia="Times New Roman" w:hAnsiTheme="minorHAnsi" w:cs="Calibri"/>
                <w:color w:val="000000"/>
                <w:kern w:val="0"/>
                <w:sz w:val="20"/>
                <w:lang w:val="en-GB" w:eastAsia="en-IE"/>
              </w:rPr>
              <w:t xml:space="preserve"> </w:t>
            </w:r>
            <w:r w:rsidR="00632313">
              <w:rPr>
                <w:rFonts w:asciiTheme="minorHAnsi" w:eastAsia="Times New Roman" w:hAnsiTheme="minorHAnsi" w:cs="Calibri"/>
                <w:color w:val="000000"/>
                <w:kern w:val="0"/>
                <w:sz w:val="20"/>
                <w:lang w:val="en-GB" w:eastAsia="en-IE"/>
              </w:rPr>
              <w:t>AMLR</w:t>
            </w:r>
            <w:r>
              <w:rPr>
                <w:rFonts w:asciiTheme="minorHAnsi" w:eastAsia="Times New Roman" w:hAnsiTheme="minorHAnsi" w:cs="Calibri"/>
                <w:color w:val="000000"/>
                <w:kern w:val="0"/>
                <w:sz w:val="20"/>
                <w:lang w:val="en-GB" w:eastAsia="en-IE"/>
              </w:rPr>
              <w:t>.</w:t>
            </w:r>
          </w:p>
          <w:p w14:paraId="1E95701A" w14:textId="77777777" w:rsidR="00B9521D" w:rsidRDefault="00B9521D" w:rsidP="00A90803">
            <w:pPr>
              <w:spacing w:before="0" w:after="0" w:line="240" w:lineRule="auto"/>
              <w:jc w:val="both"/>
              <w:rPr>
                <w:rFonts w:asciiTheme="minorHAnsi" w:eastAsia="Times New Roman" w:hAnsiTheme="minorHAnsi" w:cs="Calibri"/>
                <w:color w:val="000000"/>
                <w:kern w:val="0"/>
                <w:sz w:val="20"/>
                <w:lang w:val="en-IE" w:eastAsia="en-IE"/>
              </w:rPr>
            </w:pPr>
          </w:p>
          <w:p w14:paraId="6534E312" w14:textId="497524FB" w:rsidR="006963A7" w:rsidRPr="00F2487A" w:rsidRDefault="00B9521D" w:rsidP="00135B9D">
            <w:pPr>
              <w:jc w:val="both"/>
              <w:rPr>
                <w:rStyle w:val="InstructionsTabelleberschrift"/>
                <w:rFonts w:asciiTheme="minorHAnsi" w:hAnsiTheme="minorHAnsi"/>
                <w:highlight w:val="yellow"/>
                <w:u w:val="none"/>
              </w:rPr>
            </w:pPr>
            <w:r>
              <w:rPr>
                <w:rFonts w:asciiTheme="minorHAnsi" w:eastAsia="Times New Roman" w:hAnsiTheme="minorHAnsi" w:cs="Calibri"/>
                <w:color w:val="000000"/>
                <w:kern w:val="0"/>
                <w:sz w:val="20"/>
                <w:lang w:eastAsia="en-IE"/>
              </w:rPr>
              <w:t xml:space="preserve">As per recital 125 AMLR, </w:t>
            </w:r>
            <w:r w:rsidRPr="009D2CBB">
              <w:rPr>
                <w:rFonts w:asciiTheme="minorHAnsi" w:eastAsia="Times New Roman" w:hAnsiTheme="minorHAnsi" w:cs="Calibri"/>
                <w:color w:val="000000"/>
                <w:kern w:val="0"/>
                <w:sz w:val="20"/>
                <w:lang w:eastAsia="en-IE"/>
              </w:rPr>
              <w:t>senior managing officials</w:t>
            </w:r>
            <w:r>
              <w:rPr>
                <w:rFonts w:asciiTheme="minorHAnsi" w:eastAsia="Times New Roman" w:hAnsiTheme="minorHAnsi" w:cs="Calibri"/>
                <w:color w:val="000000"/>
                <w:kern w:val="0"/>
                <w:sz w:val="20"/>
                <w:lang w:eastAsia="en-IE"/>
              </w:rPr>
              <w:t xml:space="preserve"> (SMOs) reported instead of the beneficial owners where </w:t>
            </w:r>
            <w:r w:rsidRPr="0074771C">
              <w:rPr>
                <w:rFonts w:asciiTheme="minorHAnsi" w:eastAsia="Times New Roman" w:hAnsiTheme="minorHAnsi" w:cs="Calibri"/>
                <w:color w:val="000000"/>
                <w:kern w:val="0"/>
                <w:sz w:val="20"/>
                <w:lang w:eastAsia="en-IE"/>
              </w:rPr>
              <w:t>no natural person is identifiable</w:t>
            </w:r>
            <w:r>
              <w:rPr>
                <w:rFonts w:asciiTheme="minorHAnsi" w:eastAsia="Times New Roman" w:hAnsiTheme="minorHAnsi" w:cs="Calibri"/>
                <w:color w:val="000000"/>
                <w:kern w:val="0"/>
                <w:sz w:val="20"/>
                <w:lang w:eastAsia="en-IE"/>
              </w:rPr>
              <w:t xml:space="preserve"> </w:t>
            </w:r>
            <w:r w:rsidRPr="0074771C">
              <w:rPr>
                <w:rFonts w:asciiTheme="minorHAnsi" w:eastAsia="Times New Roman" w:hAnsiTheme="minorHAnsi" w:cs="Calibri"/>
                <w:color w:val="000000"/>
                <w:kern w:val="0"/>
                <w:sz w:val="20"/>
                <w:lang w:eastAsia="en-IE"/>
              </w:rPr>
              <w:t>who ultimately owns or exerts control over an entity</w:t>
            </w:r>
            <w:r>
              <w:rPr>
                <w:rFonts w:asciiTheme="minorHAnsi" w:eastAsia="Times New Roman" w:hAnsiTheme="minorHAnsi" w:cs="Calibri"/>
                <w:color w:val="000000"/>
                <w:kern w:val="0"/>
                <w:sz w:val="20"/>
                <w:lang w:eastAsia="en-IE"/>
              </w:rPr>
              <w:t xml:space="preserve"> (as per </w:t>
            </w:r>
            <w:r w:rsidR="00C72ABD">
              <w:rPr>
                <w:rFonts w:asciiTheme="minorHAnsi" w:eastAsia="Times New Roman" w:hAnsiTheme="minorHAnsi" w:cs="Calibri"/>
                <w:color w:val="000000"/>
                <w:kern w:val="0"/>
                <w:sz w:val="20"/>
                <w:lang w:eastAsia="en-IE"/>
              </w:rPr>
              <w:t>Article</w:t>
            </w:r>
            <w:r>
              <w:rPr>
                <w:rFonts w:asciiTheme="minorHAnsi" w:eastAsia="Times New Roman" w:hAnsiTheme="minorHAnsi" w:cs="Calibri"/>
                <w:color w:val="000000"/>
                <w:kern w:val="0"/>
                <w:sz w:val="20"/>
                <w:lang w:eastAsia="en-IE"/>
              </w:rPr>
              <w:t xml:space="preserve"> 22(2) AMLR)</w:t>
            </w:r>
            <w:r w:rsidRPr="0074771C">
              <w:rPr>
                <w:rFonts w:asciiTheme="minorHAnsi" w:eastAsia="Times New Roman" w:hAnsiTheme="minorHAnsi" w:cs="Calibri"/>
                <w:color w:val="000000"/>
                <w:kern w:val="0"/>
                <w:sz w:val="20"/>
                <w:lang w:eastAsia="en-IE"/>
              </w:rPr>
              <w:t xml:space="preserve"> </w:t>
            </w:r>
            <w:r>
              <w:rPr>
                <w:rFonts w:asciiTheme="minorHAnsi" w:eastAsia="Times New Roman" w:hAnsiTheme="minorHAnsi" w:cs="Calibri"/>
                <w:color w:val="000000"/>
                <w:kern w:val="0"/>
                <w:sz w:val="20"/>
                <w:lang w:eastAsia="en-IE"/>
              </w:rPr>
              <w:t xml:space="preserve">are </w:t>
            </w:r>
            <w:r w:rsidRPr="006436F4">
              <w:rPr>
                <w:rFonts w:asciiTheme="minorHAnsi" w:eastAsia="Times New Roman" w:hAnsiTheme="minorHAnsi" w:cs="Calibri"/>
                <w:color w:val="000000"/>
                <w:kern w:val="0"/>
                <w:sz w:val="20"/>
                <w:u w:val="single"/>
                <w:lang w:eastAsia="en-IE"/>
              </w:rPr>
              <w:t>not</w:t>
            </w:r>
            <w:r>
              <w:rPr>
                <w:rFonts w:asciiTheme="minorHAnsi" w:eastAsia="Times New Roman" w:hAnsiTheme="minorHAnsi" w:cs="Calibri"/>
                <w:color w:val="000000"/>
                <w:kern w:val="0"/>
                <w:sz w:val="20"/>
                <w:lang w:eastAsia="en-IE"/>
              </w:rPr>
              <w:t xml:space="preserve"> beneficial owners, and shall not be counted for the purpose of reporting this datapoint.</w:t>
            </w:r>
          </w:p>
        </w:tc>
      </w:tr>
      <w:tr w:rsidR="005E211E" w:rsidRPr="009B282E" w14:paraId="0D3EF9EA" w14:textId="77777777" w:rsidTr="262CC662">
        <w:tc>
          <w:tcPr>
            <w:tcW w:w="1673" w:type="dxa"/>
            <w:tcBorders>
              <w:top w:val="single" w:sz="4" w:space="0" w:color="auto"/>
              <w:left w:val="single" w:sz="4" w:space="0" w:color="auto"/>
              <w:bottom w:val="single" w:sz="4" w:space="0" w:color="auto"/>
              <w:right w:val="single" w:sz="4" w:space="0" w:color="auto"/>
            </w:tcBorders>
            <w:vAlign w:val="center"/>
          </w:tcPr>
          <w:p w14:paraId="2A9088A2" w14:textId="07D14DFE" w:rsidR="00A90803" w:rsidRPr="00813150" w:rsidRDefault="00A90803" w:rsidP="00F32516">
            <w:pPr>
              <w:pStyle w:val="InstructionsText"/>
              <w:rPr>
                <w:rStyle w:val="FormatvorlageInstructionsTabelleText"/>
                <w:rFonts w:asciiTheme="minorHAnsi" w:hAnsiTheme="minorHAnsi"/>
                <w:b/>
              </w:rPr>
            </w:pPr>
            <w:r w:rsidRPr="00A70B3F">
              <w:t>C0060</w:t>
            </w:r>
          </w:p>
        </w:tc>
        <w:tc>
          <w:tcPr>
            <w:tcW w:w="7616" w:type="dxa"/>
            <w:tcBorders>
              <w:top w:val="single" w:sz="8" w:space="0" w:color="auto"/>
              <w:left w:val="single" w:sz="4" w:space="0" w:color="auto"/>
              <w:bottom w:val="single" w:sz="4" w:space="0" w:color="auto"/>
              <w:right w:val="single" w:sz="4" w:space="0" w:color="auto"/>
            </w:tcBorders>
            <w:vAlign w:val="center"/>
          </w:tcPr>
          <w:p w14:paraId="335CD535" w14:textId="1C557F80" w:rsidR="00491899" w:rsidRDefault="00491899" w:rsidP="00813150">
            <w:pPr>
              <w:pStyle w:val="InstructionsText2"/>
              <w:rPr>
                <w:rStyle w:val="InstructionsTabelleberschrift"/>
                <w:rFonts w:asciiTheme="minorHAnsi" w:hAnsiTheme="minorHAnsi"/>
                <w:b w:val="0"/>
                <w:bCs w:val="0"/>
                <w:u w:val="none"/>
              </w:rPr>
            </w:pPr>
            <w:r w:rsidRPr="007A7FEC">
              <w:rPr>
                <w:rStyle w:val="InstructionsTabelleberschrift"/>
                <w:rFonts w:ascii="Aptos" w:hAnsi="Aptos"/>
                <w:bCs w:val="0"/>
              </w:rPr>
              <w:t xml:space="preserve">Transactions (Incoming) </w:t>
            </w:r>
            <w:r w:rsidR="00A636D2" w:rsidRPr="007A7FEC">
              <w:rPr>
                <w:rStyle w:val="InstructionsTabelleberschrift"/>
                <w:rFonts w:ascii="Aptos" w:hAnsi="Aptos"/>
                <w:bCs w:val="0"/>
              </w:rPr>
              <w:t>–</w:t>
            </w:r>
            <w:r w:rsidRPr="007A7FEC">
              <w:rPr>
                <w:rStyle w:val="InstructionsTabelleberschrift"/>
                <w:rFonts w:ascii="Aptos" w:hAnsi="Aptos"/>
                <w:bCs w:val="0"/>
              </w:rPr>
              <w:t xml:space="preserve"> </w:t>
            </w:r>
            <w:r w:rsidR="00A636D2" w:rsidRPr="007A7FEC">
              <w:rPr>
                <w:rStyle w:val="InstructionsTabelleberschrift"/>
                <w:rFonts w:ascii="Aptos" w:hAnsi="Aptos"/>
                <w:bCs w:val="0"/>
              </w:rPr>
              <w:t>Number</w:t>
            </w:r>
          </w:p>
          <w:p w14:paraId="16E75FBD" w14:textId="57B9E611" w:rsidR="0022497B" w:rsidRPr="0022497B" w:rsidRDefault="0022497B" w:rsidP="0022497B">
            <w:pPr>
              <w:pStyle w:val="InstructionsText2"/>
              <w:rPr>
                <w:rFonts w:asciiTheme="minorHAnsi" w:hAnsiTheme="minorHAnsi"/>
                <w:bCs/>
                <w:iCs/>
                <w:sz w:val="20"/>
                <w:lang w:val="en-US"/>
              </w:rPr>
            </w:pPr>
            <w:r w:rsidRPr="0022497B">
              <w:rPr>
                <w:rFonts w:asciiTheme="minorHAnsi" w:hAnsiTheme="minorHAnsi"/>
                <w:bCs/>
                <w:iCs/>
                <w:sz w:val="20"/>
                <w:lang w:val="en-US"/>
              </w:rPr>
              <w:t xml:space="preserve">This datapoint is </w:t>
            </w:r>
            <w:r>
              <w:rPr>
                <w:rFonts w:asciiTheme="minorHAnsi" w:hAnsiTheme="minorHAnsi"/>
                <w:bCs/>
                <w:iCs/>
                <w:sz w:val="20"/>
                <w:lang w:val="en-US"/>
              </w:rPr>
              <w:t xml:space="preserve">not </w:t>
            </w:r>
            <w:r w:rsidRPr="0022497B">
              <w:rPr>
                <w:rFonts w:asciiTheme="minorHAnsi" w:hAnsiTheme="minorHAnsi"/>
                <w:bCs/>
                <w:iCs/>
                <w:sz w:val="20"/>
                <w:lang w:val="en-US"/>
              </w:rPr>
              <w:t xml:space="preserve">applicable for </w:t>
            </w:r>
            <w:r>
              <w:rPr>
                <w:rFonts w:asciiTheme="minorHAnsi" w:hAnsiTheme="minorHAnsi"/>
                <w:bCs/>
                <w:iCs/>
                <w:sz w:val="20"/>
                <w:lang w:val="en-US"/>
              </w:rPr>
              <w:t>IF and AMC</w:t>
            </w:r>
            <w:r w:rsidRPr="0022497B">
              <w:rPr>
                <w:rFonts w:asciiTheme="minorHAnsi" w:hAnsiTheme="minorHAnsi"/>
                <w:bCs/>
                <w:iCs/>
                <w:sz w:val="20"/>
                <w:lang w:val="en-US"/>
              </w:rPr>
              <w:t xml:space="preserve">. </w:t>
            </w:r>
          </w:p>
          <w:p w14:paraId="0E5A4B92" w14:textId="77777777" w:rsidR="006F6099" w:rsidRDefault="00A636D2" w:rsidP="00262B45">
            <w:pPr>
              <w:pStyle w:val="InstructionsText2"/>
              <w:rPr>
                <w:rStyle w:val="InstructionsTabelleberschrift"/>
                <w:rFonts w:asciiTheme="minorHAnsi" w:hAnsiTheme="minorHAnsi"/>
                <w:b w:val="0"/>
                <w:bCs w:val="0"/>
                <w:u w:val="none"/>
              </w:rPr>
            </w:pPr>
            <w:r w:rsidRPr="007A7FEC">
              <w:rPr>
                <w:rStyle w:val="InstructionsTabelleberschrift"/>
                <w:rFonts w:asciiTheme="minorHAnsi" w:hAnsiTheme="minorHAnsi"/>
                <w:b w:val="0"/>
                <w:bCs w:val="0"/>
                <w:u w:val="none"/>
              </w:rPr>
              <w:t xml:space="preserve">Indicate the number of incoming transactions </w:t>
            </w:r>
            <w:r w:rsidR="6A67DE22" w:rsidRPr="478281BF">
              <w:rPr>
                <w:rStyle w:val="InstructionsTabelleberschrift"/>
                <w:rFonts w:asciiTheme="minorHAnsi" w:hAnsiTheme="minorHAnsi"/>
                <w:b w:val="0"/>
                <w:bCs w:val="0"/>
                <w:u w:val="none"/>
              </w:rPr>
              <w:t>during</w:t>
            </w:r>
            <w:r w:rsidRPr="002F76D3">
              <w:rPr>
                <w:rStyle w:val="InstructionsTabelleberschrift"/>
                <w:rFonts w:asciiTheme="minorHAnsi" w:hAnsiTheme="minorHAnsi"/>
                <w:b w:val="0"/>
                <w:bCs w:val="0"/>
                <w:u w:val="none"/>
              </w:rPr>
              <w:t xml:space="preserve"> the reference year by country.</w:t>
            </w:r>
          </w:p>
          <w:p w14:paraId="05D66720" w14:textId="6C518C09" w:rsidR="006F6099" w:rsidRPr="00813150" w:rsidRDefault="004F6C51" w:rsidP="00262B45">
            <w:pPr>
              <w:pStyle w:val="InstructionsText2"/>
              <w:rPr>
                <w:rStyle w:val="InstructionsTabelleberschrift"/>
                <w:rFonts w:asciiTheme="minorHAnsi" w:hAnsiTheme="minorHAnsi"/>
                <w:b w:val="0"/>
                <w:u w:val="none"/>
              </w:rPr>
            </w:pPr>
            <w:r>
              <w:rPr>
                <w:rStyle w:val="InstructionsTabelleberschrift"/>
                <w:rFonts w:asciiTheme="minorHAnsi" w:hAnsiTheme="minorHAnsi"/>
                <w:b w:val="0"/>
                <w:bCs w:val="0"/>
                <w:u w:val="none"/>
              </w:rPr>
              <w:t xml:space="preserve">The country to refer to is the country where </w:t>
            </w:r>
            <w:r w:rsidR="003C0EA5">
              <w:rPr>
                <w:rStyle w:val="InstructionsTabelleberschrift"/>
                <w:rFonts w:asciiTheme="minorHAnsi" w:hAnsiTheme="minorHAnsi"/>
                <w:b w:val="0"/>
                <w:bCs w:val="0"/>
                <w:u w:val="none"/>
              </w:rPr>
              <w:t>the payment originated</w:t>
            </w:r>
            <w:r w:rsidR="000F79E6">
              <w:rPr>
                <w:rStyle w:val="InstructionsTabelleberschrift"/>
                <w:rFonts w:asciiTheme="minorHAnsi" w:hAnsiTheme="minorHAnsi"/>
                <w:b w:val="0"/>
                <w:bCs w:val="0"/>
                <w:u w:val="none"/>
              </w:rPr>
              <w:t xml:space="preserve"> (the country of the payers bank account)</w:t>
            </w:r>
          </w:p>
        </w:tc>
      </w:tr>
      <w:tr w:rsidR="005E211E" w:rsidRPr="009B282E" w14:paraId="6BD739BF" w14:textId="77777777" w:rsidTr="262CC662">
        <w:tc>
          <w:tcPr>
            <w:tcW w:w="1673" w:type="dxa"/>
            <w:tcBorders>
              <w:top w:val="single" w:sz="4" w:space="0" w:color="auto"/>
              <w:left w:val="single" w:sz="4" w:space="0" w:color="auto"/>
              <w:bottom w:val="single" w:sz="4" w:space="0" w:color="auto"/>
              <w:right w:val="single" w:sz="4" w:space="0" w:color="auto"/>
            </w:tcBorders>
            <w:vAlign w:val="center"/>
          </w:tcPr>
          <w:p w14:paraId="1D8DAB8F" w14:textId="03A9BA0E" w:rsidR="00A90803" w:rsidRPr="00813150" w:rsidRDefault="00A90803" w:rsidP="00F32516">
            <w:pPr>
              <w:pStyle w:val="InstructionsText"/>
              <w:rPr>
                <w:rStyle w:val="FormatvorlageInstructionsTabelleText"/>
                <w:rFonts w:asciiTheme="minorHAnsi" w:hAnsiTheme="minorHAnsi"/>
                <w:b/>
              </w:rPr>
            </w:pPr>
            <w:r w:rsidRPr="00A70B3F">
              <w:t>C0070</w:t>
            </w:r>
          </w:p>
        </w:tc>
        <w:tc>
          <w:tcPr>
            <w:tcW w:w="7616" w:type="dxa"/>
            <w:tcBorders>
              <w:top w:val="nil"/>
              <w:left w:val="single" w:sz="4" w:space="0" w:color="auto"/>
              <w:bottom w:val="single" w:sz="4" w:space="0" w:color="auto"/>
              <w:right w:val="single" w:sz="4" w:space="0" w:color="auto"/>
            </w:tcBorders>
            <w:vAlign w:val="center"/>
          </w:tcPr>
          <w:p w14:paraId="4FE18685" w14:textId="77777777" w:rsidR="00491899" w:rsidRPr="007A7FEC" w:rsidRDefault="00491899" w:rsidP="007A7FEC">
            <w:pPr>
              <w:pStyle w:val="InstructionsText2"/>
              <w:rPr>
                <w:rStyle w:val="InstructionsTabelleberschrift"/>
                <w:rFonts w:asciiTheme="minorHAnsi" w:hAnsiTheme="minorHAnsi"/>
              </w:rPr>
            </w:pPr>
            <w:r w:rsidRPr="007A7FEC">
              <w:rPr>
                <w:rStyle w:val="InstructionsTabelleberschrift"/>
                <w:rFonts w:asciiTheme="minorHAnsi" w:hAnsiTheme="minorHAnsi"/>
              </w:rPr>
              <w:t>Transactions (Incoming) - Value</w:t>
            </w:r>
          </w:p>
          <w:p w14:paraId="6945A307" w14:textId="77777777" w:rsidR="0022497B" w:rsidRPr="0022497B" w:rsidRDefault="0022497B" w:rsidP="0022497B">
            <w:pPr>
              <w:pStyle w:val="InstructionsText2"/>
              <w:rPr>
                <w:rFonts w:asciiTheme="minorHAnsi" w:hAnsiTheme="minorHAnsi"/>
                <w:bCs/>
                <w:iCs/>
                <w:sz w:val="20"/>
                <w:lang w:val="en-US"/>
              </w:rPr>
            </w:pPr>
            <w:r w:rsidRPr="0022497B">
              <w:rPr>
                <w:rFonts w:asciiTheme="minorHAnsi" w:hAnsiTheme="minorHAnsi"/>
                <w:bCs/>
                <w:iCs/>
                <w:sz w:val="20"/>
                <w:lang w:val="en-US"/>
              </w:rPr>
              <w:t xml:space="preserve">This datapoint is not applicable for IF and AMC. </w:t>
            </w:r>
          </w:p>
          <w:p w14:paraId="5EFB5ACC" w14:textId="66B5B357" w:rsidR="001D3919" w:rsidRPr="00F6360B" w:rsidRDefault="00A445DE" w:rsidP="007A7FEC">
            <w:pPr>
              <w:pStyle w:val="InstructionsText2"/>
              <w:rPr>
                <w:rStyle w:val="InstructionsTabelleberschrift"/>
                <w:rFonts w:asciiTheme="minorHAnsi" w:eastAsia="Cambria" w:hAnsiTheme="minorHAnsi"/>
                <w:color w:val="262626" w:themeColor="text1" w:themeTint="D9"/>
                <w:kern w:val="20"/>
                <w:lang w:val="en-US" w:eastAsia="ja-JP"/>
              </w:rPr>
            </w:pPr>
            <w:r w:rsidRPr="007A7FEC">
              <w:rPr>
                <w:rStyle w:val="InstructionsTabelleberschrift"/>
                <w:rFonts w:asciiTheme="minorHAnsi" w:hAnsiTheme="minorHAnsi"/>
                <w:b w:val="0"/>
                <w:bCs w:val="0"/>
                <w:u w:val="none"/>
              </w:rPr>
              <w:t>Indicate the t</w:t>
            </w:r>
            <w:r w:rsidRPr="00A445DE">
              <w:rPr>
                <w:rStyle w:val="InstructionsTabelleberschrift"/>
                <w:rFonts w:asciiTheme="minorHAnsi" w:hAnsiTheme="minorHAnsi"/>
                <w:b w:val="0"/>
                <w:bCs w:val="0"/>
                <w:u w:val="none"/>
              </w:rPr>
              <w:t>otal value (EUR) of incoming transactions in the reference year by country.</w:t>
            </w:r>
          </w:p>
        </w:tc>
      </w:tr>
      <w:tr w:rsidR="005E211E" w:rsidRPr="009B282E" w14:paraId="4E2636D7" w14:textId="77777777" w:rsidTr="262CC662">
        <w:tc>
          <w:tcPr>
            <w:tcW w:w="1673" w:type="dxa"/>
            <w:tcBorders>
              <w:top w:val="single" w:sz="4" w:space="0" w:color="auto"/>
              <w:left w:val="single" w:sz="4" w:space="0" w:color="auto"/>
              <w:bottom w:val="single" w:sz="4" w:space="0" w:color="auto"/>
              <w:right w:val="single" w:sz="4" w:space="0" w:color="auto"/>
            </w:tcBorders>
            <w:vAlign w:val="center"/>
          </w:tcPr>
          <w:p w14:paraId="7D268F87" w14:textId="21536814" w:rsidR="00A90803" w:rsidRPr="00813150" w:rsidRDefault="00A90803" w:rsidP="00F32516">
            <w:pPr>
              <w:pStyle w:val="InstructionsText"/>
              <w:rPr>
                <w:rStyle w:val="FormatvorlageInstructionsTabelleText"/>
                <w:rFonts w:asciiTheme="minorHAnsi" w:hAnsiTheme="minorHAnsi"/>
                <w:b/>
              </w:rPr>
            </w:pPr>
            <w:r w:rsidRPr="00A70B3F">
              <w:t>C0080</w:t>
            </w:r>
          </w:p>
        </w:tc>
        <w:tc>
          <w:tcPr>
            <w:tcW w:w="7616" w:type="dxa"/>
            <w:tcBorders>
              <w:top w:val="nil"/>
              <w:left w:val="single" w:sz="4" w:space="0" w:color="auto"/>
              <w:bottom w:val="single" w:sz="4" w:space="0" w:color="auto"/>
              <w:right w:val="single" w:sz="4" w:space="0" w:color="auto"/>
            </w:tcBorders>
            <w:vAlign w:val="center"/>
          </w:tcPr>
          <w:p w14:paraId="063887DF" w14:textId="3BE126F8" w:rsidR="00491899" w:rsidRDefault="00491899" w:rsidP="00A90803">
            <w:pPr>
              <w:pStyle w:val="InstructionsText2"/>
              <w:rPr>
                <w:rStyle w:val="InstructionsTabelleberschrift"/>
                <w:rFonts w:asciiTheme="minorHAnsi" w:hAnsiTheme="minorHAnsi"/>
                <w:b w:val="0"/>
                <w:bCs w:val="0"/>
                <w:u w:val="none"/>
              </w:rPr>
            </w:pPr>
            <w:r w:rsidRPr="002F76D3">
              <w:rPr>
                <w:rStyle w:val="InstructionsTabelleberschrift"/>
                <w:rFonts w:ascii="Aptos" w:hAnsi="Aptos"/>
                <w:bCs w:val="0"/>
              </w:rPr>
              <w:t xml:space="preserve">Transactions (Outgoing) - </w:t>
            </w:r>
            <w:r w:rsidR="00206D6E">
              <w:rPr>
                <w:rStyle w:val="InstructionsTabelleberschrift"/>
                <w:rFonts w:ascii="Aptos" w:hAnsi="Aptos"/>
                <w:bCs w:val="0"/>
              </w:rPr>
              <w:t>Number</w:t>
            </w:r>
          </w:p>
          <w:p w14:paraId="3DAB17EE" w14:textId="77777777" w:rsidR="0022497B" w:rsidRPr="0022497B" w:rsidRDefault="0022497B" w:rsidP="0022497B">
            <w:pPr>
              <w:pStyle w:val="InstructionsText2"/>
              <w:rPr>
                <w:rFonts w:asciiTheme="minorHAnsi" w:hAnsiTheme="minorHAnsi"/>
                <w:bCs/>
                <w:iCs/>
                <w:sz w:val="20"/>
                <w:lang w:val="en-US"/>
              </w:rPr>
            </w:pPr>
            <w:r w:rsidRPr="0022497B">
              <w:rPr>
                <w:rFonts w:asciiTheme="minorHAnsi" w:hAnsiTheme="minorHAnsi"/>
                <w:bCs/>
                <w:iCs/>
                <w:sz w:val="20"/>
                <w:lang w:val="en-US"/>
              </w:rPr>
              <w:t xml:space="preserve">This datapoint is not applicable for IF and AMC. </w:t>
            </w:r>
          </w:p>
          <w:p w14:paraId="4B5D1CC9" w14:textId="7875BC87" w:rsidR="00A90803" w:rsidRPr="00F76CF8" w:rsidRDefault="00A445DE" w:rsidP="00A90803">
            <w:pPr>
              <w:pStyle w:val="InstructionsText2"/>
              <w:rPr>
                <w:rFonts w:asciiTheme="minorHAnsi" w:hAnsiTheme="minorHAnsi"/>
                <w:lang w:val="en-US"/>
              </w:rPr>
            </w:pPr>
            <w:r w:rsidRPr="007A7FEC">
              <w:rPr>
                <w:rFonts w:asciiTheme="minorHAnsi" w:hAnsiTheme="minorHAnsi"/>
                <w:sz w:val="20"/>
                <w:lang w:val="en-US"/>
              </w:rPr>
              <w:t xml:space="preserve">Indicate the number of outgoing transactions </w:t>
            </w:r>
            <w:r w:rsidR="1A9FC486" w:rsidRPr="76EBFA21">
              <w:rPr>
                <w:rFonts w:asciiTheme="minorHAnsi" w:hAnsiTheme="minorHAnsi"/>
                <w:sz w:val="20"/>
                <w:szCs w:val="20"/>
                <w:lang w:val="en-US"/>
              </w:rPr>
              <w:t>during</w:t>
            </w:r>
            <w:r w:rsidRPr="002F76D3">
              <w:rPr>
                <w:rFonts w:asciiTheme="minorHAnsi" w:hAnsiTheme="minorHAnsi"/>
                <w:sz w:val="20"/>
                <w:lang w:val="en-US"/>
              </w:rPr>
              <w:t xml:space="preserve"> the reference year by country.</w:t>
            </w:r>
          </w:p>
        </w:tc>
      </w:tr>
      <w:tr w:rsidR="005E211E" w:rsidRPr="009B282E" w14:paraId="7297048F" w14:textId="77777777" w:rsidTr="262CC662">
        <w:tc>
          <w:tcPr>
            <w:tcW w:w="1673" w:type="dxa"/>
            <w:tcBorders>
              <w:top w:val="single" w:sz="4" w:space="0" w:color="auto"/>
              <w:left w:val="single" w:sz="4" w:space="0" w:color="auto"/>
              <w:bottom w:val="single" w:sz="4" w:space="0" w:color="auto"/>
              <w:right w:val="single" w:sz="4" w:space="0" w:color="auto"/>
            </w:tcBorders>
            <w:vAlign w:val="center"/>
          </w:tcPr>
          <w:p w14:paraId="2B12BE8F" w14:textId="17CC9B90" w:rsidR="00A90803" w:rsidRPr="00813150" w:rsidRDefault="00A90803" w:rsidP="00F32516">
            <w:pPr>
              <w:pStyle w:val="InstructionsText"/>
              <w:rPr>
                <w:rStyle w:val="FormatvorlageInstructionsTabelleText"/>
                <w:rFonts w:asciiTheme="minorHAnsi" w:hAnsiTheme="minorHAnsi"/>
                <w:b/>
              </w:rPr>
            </w:pPr>
            <w:r w:rsidRPr="00A70B3F">
              <w:t>C0090</w:t>
            </w:r>
          </w:p>
        </w:tc>
        <w:tc>
          <w:tcPr>
            <w:tcW w:w="7616" w:type="dxa"/>
            <w:tcBorders>
              <w:top w:val="nil"/>
              <w:left w:val="single" w:sz="4" w:space="0" w:color="auto"/>
              <w:bottom w:val="single" w:sz="4" w:space="0" w:color="auto"/>
              <w:right w:val="single" w:sz="4" w:space="0" w:color="auto"/>
            </w:tcBorders>
            <w:vAlign w:val="center"/>
          </w:tcPr>
          <w:p w14:paraId="4673E981" w14:textId="77777777" w:rsidR="00491899" w:rsidRDefault="00491899" w:rsidP="00A90803">
            <w:pPr>
              <w:pStyle w:val="InstructionsText2"/>
              <w:rPr>
                <w:rStyle w:val="InstructionsTabelleberschrift"/>
                <w:rFonts w:asciiTheme="minorHAnsi" w:hAnsiTheme="minorHAnsi"/>
                <w:b w:val="0"/>
                <w:bCs w:val="0"/>
                <w:u w:val="none"/>
              </w:rPr>
            </w:pPr>
            <w:r w:rsidRPr="007A7FEC">
              <w:rPr>
                <w:rStyle w:val="InstructionsTabelleberschrift"/>
                <w:rFonts w:ascii="Aptos" w:hAnsi="Aptos"/>
                <w:bCs w:val="0"/>
              </w:rPr>
              <w:t>Transactions (Outgoing) - Value</w:t>
            </w:r>
          </w:p>
          <w:p w14:paraId="0B1E07F9" w14:textId="77777777" w:rsidR="0022497B" w:rsidRPr="0022497B" w:rsidRDefault="0022497B" w:rsidP="0022497B">
            <w:pPr>
              <w:pStyle w:val="InstructionsText2"/>
              <w:rPr>
                <w:rFonts w:asciiTheme="minorHAnsi" w:hAnsiTheme="minorHAnsi"/>
                <w:bCs/>
                <w:iCs/>
                <w:sz w:val="20"/>
                <w:lang w:val="en-US"/>
              </w:rPr>
            </w:pPr>
            <w:r w:rsidRPr="0022497B">
              <w:rPr>
                <w:rFonts w:asciiTheme="minorHAnsi" w:hAnsiTheme="minorHAnsi"/>
                <w:bCs/>
                <w:iCs/>
                <w:sz w:val="20"/>
                <w:lang w:val="en-US"/>
              </w:rPr>
              <w:t xml:space="preserve">This datapoint is not applicable for IF and AMC. </w:t>
            </w:r>
          </w:p>
          <w:p w14:paraId="09252F5F" w14:textId="1E2CD3EA" w:rsidR="00A90803" w:rsidRPr="007A7FEC" w:rsidRDefault="00B47516" w:rsidP="00A90803">
            <w:pPr>
              <w:pStyle w:val="InstructionsText2"/>
              <w:rPr>
                <w:rFonts w:asciiTheme="minorHAnsi" w:hAnsiTheme="minorHAnsi"/>
                <w:sz w:val="20"/>
                <w:szCs w:val="20"/>
                <w:lang w:val="en-US"/>
              </w:rPr>
            </w:pPr>
            <w:r>
              <w:rPr>
                <w:rFonts w:asciiTheme="minorHAnsi" w:hAnsiTheme="minorHAnsi"/>
                <w:sz w:val="20"/>
                <w:szCs w:val="20"/>
                <w:lang w:val="en-US"/>
              </w:rPr>
              <w:t>Indicate the t</w:t>
            </w:r>
            <w:r w:rsidR="00206D6E" w:rsidRPr="007A7FEC">
              <w:rPr>
                <w:rFonts w:asciiTheme="minorHAnsi" w:hAnsiTheme="minorHAnsi"/>
                <w:sz w:val="20"/>
                <w:szCs w:val="20"/>
                <w:lang w:val="en-US"/>
              </w:rPr>
              <w:t xml:space="preserve">otal value (EUR) of outgoing transactions </w:t>
            </w:r>
            <w:r w:rsidR="5E0BE4BA" w:rsidRPr="478281BF">
              <w:rPr>
                <w:rFonts w:asciiTheme="minorHAnsi" w:hAnsiTheme="minorHAnsi"/>
                <w:sz w:val="20"/>
                <w:szCs w:val="20"/>
                <w:lang w:val="en-US"/>
              </w:rPr>
              <w:t>during</w:t>
            </w:r>
            <w:r w:rsidR="00206D6E" w:rsidRPr="007A7FEC">
              <w:rPr>
                <w:rFonts w:asciiTheme="minorHAnsi" w:hAnsiTheme="minorHAnsi"/>
                <w:sz w:val="20"/>
                <w:szCs w:val="20"/>
                <w:lang w:val="en-US"/>
              </w:rPr>
              <w:t xml:space="preserve"> the reference year by country</w:t>
            </w:r>
            <w:r w:rsidR="00206D6E">
              <w:rPr>
                <w:rFonts w:asciiTheme="minorHAnsi" w:hAnsiTheme="minorHAnsi"/>
                <w:sz w:val="20"/>
                <w:szCs w:val="20"/>
                <w:lang w:val="en-US"/>
              </w:rPr>
              <w:t>.</w:t>
            </w:r>
          </w:p>
        </w:tc>
      </w:tr>
      <w:tr w:rsidR="005E211E" w:rsidRPr="009B282E" w14:paraId="254266AC" w14:textId="77777777" w:rsidTr="262CC662">
        <w:tc>
          <w:tcPr>
            <w:tcW w:w="1673" w:type="dxa"/>
            <w:tcBorders>
              <w:top w:val="single" w:sz="4" w:space="0" w:color="auto"/>
              <w:left w:val="single" w:sz="4" w:space="0" w:color="auto"/>
              <w:bottom w:val="single" w:sz="4" w:space="0" w:color="auto"/>
              <w:right w:val="single" w:sz="4" w:space="0" w:color="auto"/>
            </w:tcBorders>
            <w:vAlign w:val="center"/>
          </w:tcPr>
          <w:p w14:paraId="2696D2DE" w14:textId="1F78A40E" w:rsidR="00A90803" w:rsidRPr="00813150" w:rsidRDefault="00A90803" w:rsidP="00F32516">
            <w:pPr>
              <w:pStyle w:val="InstructionsText"/>
              <w:rPr>
                <w:rStyle w:val="FormatvorlageInstructionsTabelleText"/>
                <w:rFonts w:asciiTheme="minorHAnsi" w:hAnsiTheme="minorHAnsi"/>
                <w:b/>
              </w:rPr>
            </w:pPr>
            <w:r w:rsidRPr="00A70B3F">
              <w:t>C0100</w:t>
            </w:r>
          </w:p>
        </w:tc>
        <w:tc>
          <w:tcPr>
            <w:tcW w:w="7616" w:type="dxa"/>
            <w:tcBorders>
              <w:top w:val="nil"/>
              <w:left w:val="single" w:sz="4" w:space="0" w:color="auto"/>
              <w:bottom w:val="single" w:sz="4" w:space="0" w:color="auto"/>
              <w:right w:val="single" w:sz="4" w:space="0" w:color="auto"/>
            </w:tcBorders>
            <w:vAlign w:val="center"/>
          </w:tcPr>
          <w:p w14:paraId="75212FAD" w14:textId="77777777" w:rsidR="00491899" w:rsidRDefault="00491899" w:rsidP="00A90803">
            <w:pPr>
              <w:pStyle w:val="InstructionsText2"/>
              <w:rPr>
                <w:rFonts w:asciiTheme="minorHAnsi" w:hAnsiTheme="minorHAnsi"/>
                <w:sz w:val="20"/>
                <w:lang w:val="en-US"/>
              </w:rPr>
            </w:pPr>
            <w:r w:rsidRPr="00F80265">
              <w:rPr>
                <w:rFonts w:ascii="Aptos" w:hAnsi="Aptos"/>
                <w:b/>
                <w:sz w:val="20"/>
                <w:u w:val="single"/>
                <w:lang w:val="en-US"/>
              </w:rPr>
              <w:t>CIU Investment Flows - Value</w:t>
            </w:r>
          </w:p>
          <w:p w14:paraId="52648858" w14:textId="2E54B4E4" w:rsidR="004B6297" w:rsidRPr="004B6297" w:rsidRDefault="004B6297" w:rsidP="004B6297">
            <w:pPr>
              <w:pStyle w:val="InstructionsText2"/>
              <w:rPr>
                <w:rFonts w:asciiTheme="minorHAnsi" w:hAnsiTheme="minorHAnsi"/>
                <w:bCs/>
                <w:iCs/>
                <w:sz w:val="20"/>
              </w:rPr>
            </w:pPr>
            <w:r w:rsidRPr="004B6297">
              <w:rPr>
                <w:rFonts w:asciiTheme="minorHAnsi" w:hAnsiTheme="minorHAnsi"/>
                <w:bCs/>
                <w:iCs/>
                <w:sz w:val="20"/>
              </w:rPr>
              <w:t xml:space="preserve">This datapoint is </w:t>
            </w:r>
            <w:r>
              <w:rPr>
                <w:rFonts w:asciiTheme="minorHAnsi" w:hAnsiTheme="minorHAnsi"/>
                <w:bCs/>
                <w:iCs/>
                <w:sz w:val="20"/>
              </w:rPr>
              <w:t xml:space="preserve">only </w:t>
            </w:r>
            <w:r w:rsidRPr="004B6297">
              <w:rPr>
                <w:rFonts w:asciiTheme="minorHAnsi" w:hAnsiTheme="minorHAnsi"/>
                <w:bCs/>
                <w:iCs/>
                <w:sz w:val="20"/>
              </w:rPr>
              <w:t xml:space="preserve">applicable for </w:t>
            </w:r>
            <w:r>
              <w:rPr>
                <w:rFonts w:asciiTheme="minorHAnsi" w:hAnsiTheme="minorHAnsi"/>
                <w:bCs/>
                <w:iCs/>
                <w:sz w:val="20"/>
              </w:rPr>
              <w:t>AMC</w:t>
            </w:r>
            <w:r w:rsidRPr="004B6297">
              <w:rPr>
                <w:rFonts w:asciiTheme="minorHAnsi" w:hAnsiTheme="minorHAnsi"/>
                <w:bCs/>
                <w:iCs/>
                <w:sz w:val="20"/>
              </w:rPr>
              <w:t xml:space="preserve">. </w:t>
            </w:r>
          </w:p>
          <w:p w14:paraId="5563AAB2" w14:textId="77777777" w:rsidR="00491899" w:rsidRDefault="00491899" w:rsidP="00A90803">
            <w:pPr>
              <w:pStyle w:val="InstructionsText2"/>
              <w:rPr>
                <w:rFonts w:asciiTheme="minorHAnsi" w:hAnsiTheme="minorHAnsi"/>
                <w:sz w:val="20"/>
                <w:lang w:val="en-US"/>
              </w:rPr>
            </w:pPr>
            <w:r>
              <w:rPr>
                <w:rFonts w:asciiTheme="minorHAnsi" w:hAnsiTheme="minorHAnsi"/>
                <w:sz w:val="20"/>
                <w:lang w:val="en-US"/>
              </w:rPr>
              <w:t>The reference here is to the aggregated value of investment flows (asset side) during the reference year (broken down by country the flows come from).</w:t>
            </w:r>
          </w:p>
          <w:p w14:paraId="03245E4D" w14:textId="7405CBB8" w:rsidR="00A90803" w:rsidRPr="00F76CF8" w:rsidRDefault="00FB2E2C" w:rsidP="00A90803">
            <w:pPr>
              <w:pStyle w:val="InstructionsText2"/>
              <w:rPr>
                <w:rFonts w:asciiTheme="minorHAnsi" w:hAnsiTheme="minorHAnsi"/>
                <w:lang w:val="en-US"/>
              </w:rPr>
            </w:pPr>
            <w:r w:rsidRPr="00354F47">
              <w:rPr>
                <w:rFonts w:asciiTheme="minorHAnsi" w:hAnsiTheme="minorHAnsi"/>
                <w:sz w:val="20"/>
                <w:lang w:val="en-US"/>
              </w:rPr>
              <w:t>Indicate the total value (EUR) of entity's investment undertakings (CIUs) by country.</w:t>
            </w:r>
          </w:p>
        </w:tc>
      </w:tr>
      <w:tr w:rsidR="005E211E" w:rsidRPr="009B282E" w14:paraId="5B37F5F0" w14:textId="77777777" w:rsidTr="262CC662">
        <w:tc>
          <w:tcPr>
            <w:tcW w:w="1673" w:type="dxa"/>
            <w:tcBorders>
              <w:top w:val="single" w:sz="4" w:space="0" w:color="auto"/>
              <w:left w:val="single" w:sz="4" w:space="0" w:color="auto"/>
              <w:bottom w:val="single" w:sz="4" w:space="0" w:color="auto"/>
              <w:right w:val="single" w:sz="4" w:space="0" w:color="auto"/>
            </w:tcBorders>
            <w:vAlign w:val="center"/>
          </w:tcPr>
          <w:p w14:paraId="7F699EE3" w14:textId="723A5E29" w:rsidR="00A90803" w:rsidRPr="00813150" w:rsidRDefault="00A90803" w:rsidP="00F32516">
            <w:pPr>
              <w:pStyle w:val="InstructionsText"/>
              <w:rPr>
                <w:rStyle w:val="FormatvorlageInstructionsTabelleText"/>
                <w:rFonts w:asciiTheme="minorHAnsi" w:hAnsiTheme="minorHAnsi"/>
                <w:b/>
              </w:rPr>
            </w:pPr>
            <w:r w:rsidRPr="00A70B3F">
              <w:t>C0110</w:t>
            </w:r>
          </w:p>
        </w:tc>
        <w:tc>
          <w:tcPr>
            <w:tcW w:w="7616" w:type="dxa"/>
            <w:tcBorders>
              <w:top w:val="nil"/>
              <w:left w:val="single" w:sz="4" w:space="0" w:color="auto"/>
              <w:bottom w:val="single" w:sz="4" w:space="0" w:color="auto"/>
              <w:right w:val="single" w:sz="4" w:space="0" w:color="auto"/>
            </w:tcBorders>
            <w:vAlign w:val="center"/>
          </w:tcPr>
          <w:p w14:paraId="4F3E8AB6" w14:textId="77777777" w:rsidR="00491899" w:rsidRDefault="00491899" w:rsidP="00A90803">
            <w:pPr>
              <w:pStyle w:val="InstructionsText2"/>
              <w:rPr>
                <w:rFonts w:asciiTheme="minorHAnsi" w:hAnsiTheme="minorHAnsi"/>
                <w:sz w:val="20"/>
                <w:lang w:val="en-US"/>
              </w:rPr>
            </w:pPr>
            <w:r w:rsidRPr="00F80265">
              <w:rPr>
                <w:rFonts w:ascii="Aptos" w:hAnsi="Aptos"/>
                <w:b/>
                <w:sz w:val="20"/>
                <w:u w:val="single"/>
                <w:lang w:val="en-US"/>
              </w:rPr>
              <w:t>Investors</w:t>
            </w:r>
          </w:p>
          <w:p w14:paraId="4BB56CE5" w14:textId="332B7DB6" w:rsidR="00DE11F2" w:rsidRDefault="00DE11F2" w:rsidP="00A90803">
            <w:pPr>
              <w:pStyle w:val="InstructionsText2"/>
              <w:rPr>
                <w:rFonts w:asciiTheme="minorHAnsi" w:hAnsiTheme="minorHAnsi"/>
                <w:sz w:val="20"/>
                <w:szCs w:val="20"/>
                <w:lang w:val="en-US"/>
              </w:rPr>
            </w:pPr>
            <w:r w:rsidRPr="004B6297">
              <w:rPr>
                <w:rFonts w:asciiTheme="minorHAnsi" w:hAnsiTheme="minorHAnsi"/>
                <w:bCs/>
                <w:iCs/>
                <w:sz w:val="20"/>
                <w:lang w:val="en-US"/>
              </w:rPr>
              <w:t xml:space="preserve">This datapoint is </w:t>
            </w:r>
            <w:r w:rsidRPr="00DE11F2">
              <w:rPr>
                <w:rFonts w:asciiTheme="minorHAnsi" w:hAnsiTheme="minorHAnsi"/>
                <w:bCs/>
                <w:iCs/>
                <w:sz w:val="20"/>
                <w:lang w:val="en-US"/>
              </w:rPr>
              <w:t xml:space="preserve">only </w:t>
            </w:r>
            <w:r w:rsidRPr="004B6297">
              <w:rPr>
                <w:rFonts w:asciiTheme="minorHAnsi" w:hAnsiTheme="minorHAnsi"/>
                <w:bCs/>
                <w:iCs/>
                <w:sz w:val="20"/>
                <w:lang w:val="en-US"/>
              </w:rPr>
              <w:t xml:space="preserve">applicable for </w:t>
            </w:r>
            <w:r>
              <w:rPr>
                <w:rFonts w:asciiTheme="minorHAnsi" w:hAnsiTheme="minorHAnsi"/>
                <w:bCs/>
                <w:iCs/>
                <w:sz w:val="20"/>
                <w:lang w:val="en-US"/>
              </w:rPr>
              <w:t xml:space="preserve">IF and </w:t>
            </w:r>
            <w:r w:rsidRPr="00DE11F2">
              <w:rPr>
                <w:rFonts w:asciiTheme="minorHAnsi" w:hAnsiTheme="minorHAnsi"/>
                <w:bCs/>
                <w:iCs/>
                <w:sz w:val="20"/>
                <w:lang w:val="en-US"/>
              </w:rPr>
              <w:t>AMC</w:t>
            </w:r>
            <w:r w:rsidRPr="00DE11F2" w:rsidDel="00DE11F2">
              <w:rPr>
                <w:rFonts w:asciiTheme="minorHAnsi" w:hAnsiTheme="minorHAnsi"/>
                <w:sz w:val="20"/>
                <w:lang w:val="en-US"/>
              </w:rPr>
              <w:t xml:space="preserve"> </w:t>
            </w:r>
          </w:p>
          <w:p w14:paraId="12016979" w14:textId="2DB55C51" w:rsidR="00A90803" w:rsidRPr="00F76CF8" w:rsidRDefault="00FB2E2C" w:rsidP="00A90803">
            <w:pPr>
              <w:pStyle w:val="InstructionsText2"/>
              <w:rPr>
                <w:rFonts w:asciiTheme="minorHAnsi" w:hAnsiTheme="minorHAnsi"/>
                <w:b/>
                <w:sz w:val="20"/>
                <w:szCs w:val="20"/>
                <w:u w:val="single"/>
                <w:lang w:val="en-US"/>
              </w:rPr>
            </w:pPr>
            <w:r w:rsidRPr="272A0806">
              <w:rPr>
                <w:rFonts w:asciiTheme="minorHAnsi" w:hAnsiTheme="minorHAnsi"/>
                <w:sz w:val="20"/>
                <w:szCs w:val="20"/>
                <w:lang w:val="en-US"/>
              </w:rPr>
              <w:t xml:space="preserve">Indicate the </w:t>
            </w:r>
            <w:r w:rsidR="00C20B18" w:rsidRPr="272A0806">
              <w:rPr>
                <w:rFonts w:asciiTheme="minorHAnsi" w:hAnsiTheme="minorHAnsi"/>
                <w:sz w:val="20"/>
                <w:szCs w:val="20"/>
                <w:lang w:val="en-US"/>
              </w:rPr>
              <w:t>number of investors by country</w:t>
            </w:r>
            <w:r w:rsidR="7775C7F5" w:rsidRPr="272A0806">
              <w:rPr>
                <w:rStyle w:val="FormatvorlageInstructionsTabelleText"/>
                <w:rFonts w:asciiTheme="minorHAnsi" w:hAnsiTheme="minorHAnsi"/>
              </w:rPr>
              <w:t>, as of end of the reference year</w:t>
            </w:r>
            <w:r w:rsidR="00C20B18" w:rsidRPr="272A0806">
              <w:rPr>
                <w:rFonts w:asciiTheme="minorHAnsi" w:hAnsiTheme="minorHAnsi"/>
                <w:sz w:val="20"/>
                <w:szCs w:val="20"/>
                <w:lang w:val="en-US"/>
              </w:rPr>
              <w:t>.</w:t>
            </w:r>
          </w:p>
        </w:tc>
      </w:tr>
      <w:tr w:rsidR="005E211E" w:rsidRPr="009B282E" w14:paraId="31860B9A" w14:textId="77777777" w:rsidTr="262CC662">
        <w:tc>
          <w:tcPr>
            <w:tcW w:w="1673" w:type="dxa"/>
            <w:tcBorders>
              <w:top w:val="single" w:sz="4" w:space="0" w:color="auto"/>
              <w:left w:val="single" w:sz="4" w:space="0" w:color="auto"/>
              <w:bottom w:val="single" w:sz="4" w:space="0" w:color="auto"/>
              <w:right w:val="single" w:sz="4" w:space="0" w:color="auto"/>
            </w:tcBorders>
            <w:vAlign w:val="center"/>
          </w:tcPr>
          <w:p w14:paraId="0CE2CDC2" w14:textId="443B4A1F" w:rsidR="00A90803" w:rsidRPr="00813150" w:rsidRDefault="00A90803" w:rsidP="00F32516">
            <w:pPr>
              <w:pStyle w:val="InstructionsText"/>
              <w:rPr>
                <w:rStyle w:val="FormatvorlageInstructionsTabelleText"/>
                <w:rFonts w:asciiTheme="minorHAnsi" w:hAnsiTheme="minorHAnsi"/>
                <w:b/>
              </w:rPr>
            </w:pPr>
            <w:r w:rsidRPr="00A70B3F">
              <w:t>C0120</w:t>
            </w:r>
          </w:p>
        </w:tc>
        <w:tc>
          <w:tcPr>
            <w:tcW w:w="7616" w:type="dxa"/>
            <w:tcBorders>
              <w:top w:val="nil"/>
              <w:left w:val="single" w:sz="4" w:space="0" w:color="auto"/>
              <w:bottom w:val="single" w:sz="4" w:space="0" w:color="auto"/>
              <w:right w:val="single" w:sz="4" w:space="0" w:color="auto"/>
            </w:tcBorders>
            <w:vAlign w:val="center"/>
          </w:tcPr>
          <w:p w14:paraId="48B41628" w14:textId="77777777" w:rsidR="00491899" w:rsidRDefault="00491899" w:rsidP="00A90803">
            <w:pPr>
              <w:pStyle w:val="InstructionsText2"/>
              <w:rPr>
                <w:rFonts w:asciiTheme="minorHAnsi" w:hAnsiTheme="minorHAnsi"/>
                <w:sz w:val="20"/>
              </w:rPr>
            </w:pPr>
            <w:r w:rsidRPr="00F80265">
              <w:rPr>
                <w:rFonts w:ascii="Aptos" w:hAnsi="Aptos"/>
                <w:b/>
                <w:sz w:val="20"/>
                <w:u w:val="single"/>
              </w:rPr>
              <w:t>Assets under Management - Value</w:t>
            </w:r>
          </w:p>
          <w:p w14:paraId="31FD862F" w14:textId="67CF403D" w:rsidR="00DE11F2" w:rsidRDefault="00DE11F2" w:rsidP="00A90803">
            <w:pPr>
              <w:pStyle w:val="InstructionsText2"/>
              <w:rPr>
                <w:rFonts w:asciiTheme="minorHAnsi" w:hAnsiTheme="minorHAnsi"/>
                <w:sz w:val="20"/>
              </w:rPr>
            </w:pPr>
            <w:r w:rsidRPr="004B6297">
              <w:rPr>
                <w:rFonts w:asciiTheme="minorHAnsi" w:hAnsiTheme="minorHAnsi"/>
                <w:bCs/>
                <w:iCs/>
                <w:sz w:val="20"/>
                <w:lang w:val="en-US"/>
              </w:rPr>
              <w:t xml:space="preserve">This datapoint is </w:t>
            </w:r>
            <w:r w:rsidRPr="00DE11F2">
              <w:rPr>
                <w:rFonts w:asciiTheme="minorHAnsi" w:hAnsiTheme="minorHAnsi"/>
                <w:bCs/>
                <w:iCs/>
                <w:sz w:val="20"/>
                <w:lang w:val="en-US"/>
              </w:rPr>
              <w:t xml:space="preserve">only </w:t>
            </w:r>
            <w:r w:rsidRPr="004B6297">
              <w:rPr>
                <w:rFonts w:asciiTheme="minorHAnsi" w:hAnsiTheme="minorHAnsi"/>
                <w:bCs/>
                <w:iCs/>
                <w:sz w:val="20"/>
                <w:lang w:val="en-US"/>
              </w:rPr>
              <w:t xml:space="preserve">applicable for </w:t>
            </w:r>
            <w:r w:rsidRPr="00DE11F2">
              <w:rPr>
                <w:rFonts w:asciiTheme="minorHAnsi" w:hAnsiTheme="minorHAnsi"/>
                <w:bCs/>
                <w:iCs/>
                <w:sz w:val="20"/>
                <w:lang w:val="en-US"/>
              </w:rPr>
              <w:t>AMC</w:t>
            </w:r>
            <w:r w:rsidRPr="00DE11F2" w:rsidDel="00DE11F2">
              <w:rPr>
                <w:rFonts w:asciiTheme="minorHAnsi" w:hAnsiTheme="minorHAnsi"/>
                <w:sz w:val="20"/>
                <w:lang w:val="en-US"/>
              </w:rPr>
              <w:t xml:space="preserve"> </w:t>
            </w:r>
          </w:p>
          <w:p w14:paraId="44A2DA6E" w14:textId="77777777" w:rsidR="00491899" w:rsidRDefault="00491899" w:rsidP="00A90803">
            <w:pPr>
              <w:pStyle w:val="InstructionsText2"/>
              <w:rPr>
                <w:rFonts w:asciiTheme="minorHAnsi" w:hAnsiTheme="minorHAnsi"/>
                <w:sz w:val="20"/>
              </w:rPr>
            </w:pPr>
            <w:r>
              <w:rPr>
                <w:rFonts w:asciiTheme="minorHAnsi" w:hAnsiTheme="minorHAnsi"/>
                <w:sz w:val="20"/>
              </w:rPr>
              <w:t>The value of assets under management means the value of assets in the portfolio as of as of end of the reference year.</w:t>
            </w:r>
          </w:p>
          <w:p w14:paraId="73FC4F95" w14:textId="562E7D94" w:rsidR="00A90803" w:rsidRPr="00F76CF8" w:rsidRDefault="00C20B18" w:rsidP="00A90803">
            <w:pPr>
              <w:pStyle w:val="InstructionsText2"/>
              <w:rPr>
                <w:rFonts w:asciiTheme="minorHAnsi" w:hAnsiTheme="minorHAnsi"/>
                <w:sz w:val="20"/>
                <w:lang w:val="en-US"/>
              </w:rPr>
            </w:pPr>
            <w:r w:rsidRPr="00354F47">
              <w:rPr>
                <w:rFonts w:asciiTheme="minorHAnsi" w:hAnsiTheme="minorHAnsi"/>
                <w:bCs/>
                <w:sz w:val="20"/>
                <w:szCs w:val="20"/>
                <w:lang w:val="en-US"/>
              </w:rPr>
              <w:t>Indicate the total value (EUR) of assets under management by country</w:t>
            </w:r>
            <w:r w:rsidR="0099481C" w:rsidRPr="00354F47">
              <w:rPr>
                <w:rFonts w:asciiTheme="minorHAnsi" w:hAnsiTheme="minorHAnsi"/>
                <w:bCs/>
                <w:sz w:val="20"/>
                <w:szCs w:val="20"/>
                <w:lang w:val="en-US"/>
              </w:rPr>
              <w:t>.</w:t>
            </w:r>
          </w:p>
        </w:tc>
      </w:tr>
      <w:tr w:rsidR="005E211E" w:rsidRPr="009B282E" w14:paraId="4692A3F8" w14:textId="77777777" w:rsidTr="262CC662">
        <w:tc>
          <w:tcPr>
            <w:tcW w:w="1673" w:type="dxa"/>
            <w:tcBorders>
              <w:top w:val="single" w:sz="4" w:space="0" w:color="auto"/>
              <w:left w:val="single" w:sz="4" w:space="0" w:color="auto"/>
              <w:bottom w:val="single" w:sz="4" w:space="0" w:color="auto"/>
              <w:right w:val="single" w:sz="4" w:space="0" w:color="auto"/>
            </w:tcBorders>
            <w:vAlign w:val="center"/>
          </w:tcPr>
          <w:p w14:paraId="7E77F22D" w14:textId="31977196" w:rsidR="00A90803" w:rsidRPr="00813150" w:rsidRDefault="00A90803" w:rsidP="00F32516">
            <w:pPr>
              <w:pStyle w:val="InstructionsText"/>
              <w:rPr>
                <w:rStyle w:val="FormatvorlageInstructionsTabelleText"/>
                <w:rFonts w:asciiTheme="minorHAnsi" w:hAnsiTheme="minorHAnsi"/>
                <w:b/>
              </w:rPr>
            </w:pPr>
            <w:r w:rsidRPr="00A70B3F">
              <w:t>C0130</w:t>
            </w:r>
          </w:p>
        </w:tc>
        <w:tc>
          <w:tcPr>
            <w:tcW w:w="7616" w:type="dxa"/>
            <w:tcBorders>
              <w:top w:val="nil"/>
              <w:left w:val="single" w:sz="4" w:space="0" w:color="auto"/>
              <w:bottom w:val="single" w:sz="4" w:space="0" w:color="auto"/>
              <w:right w:val="single" w:sz="4" w:space="0" w:color="auto"/>
            </w:tcBorders>
            <w:vAlign w:val="center"/>
          </w:tcPr>
          <w:p w14:paraId="1312C2BA" w14:textId="77777777" w:rsidR="00491899" w:rsidRDefault="00491899" w:rsidP="00A90803">
            <w:pPr>
              <w:pStyle w:val="InstructionsText2"/>
              <w:rPr>
                <w:rFonts w:asciiTheme="minorHAnsi" w:hAnsiTheme="minorHAnsi"/>
                <w:sz w:val="20"/>
                <w:lang w:val="en-US"/>
              </w:rPr>
            </w:pPr>
            <w:r w:rsidRPr="00F80265">
              <w:rPr>
                <w:rFonts w:ascii="Aptos" w:hAnsi="Aptos"/>
                <w:b/>
                <w:sz w:val="20"/>
                <w:u w:val="single"/>
                <w:lang w:val="en-US"/>
              </w:rPr>
              <w:t>Respondent Institutions</w:t>
            </w:r>
          </w:p>
          <w:p w14:paraId="5A5BA99D" w14:textId="1770224E" w:rsidR="00DE11F2" w:rsidRDefault="00DE11F2" w:rsidP="00A90803">
            <w:pPr>
              <w:pStyle w:val="InstructionsText2"/>
              <w:rPr>
                <w:rFonts w:asciiTheme="minorHAnsi" w:hAnsiTheme="minorHAnsi"/>
                <w:sz w:val="20"/>
                <w:lang w:val="en-US"/>
              </w:rPr>
            </w:pPr>
            <w:r w:rsidRPr="004B6297">
              <w:rPr>
                <w:rFonts w:asciiTheme="minorHAnsi" w:hAnsiTheme="minorHAnsi"/>
                <w:bCs/>
                <w:iCs/>
                <w:sz w:val="20"/>
                <w:lang w:val="en-US"/>
              </w:rPr>
              <w:t xml:space="preserve">This datapoint is </w:t>
            </w:r>
            <w:r w:rsidRPr="00DE11F2">
              <w:rPr>
                <w:rFonts w:asciiTheme="minorHAnsi" w:hAnsiTheme="minorHAnsi"/>
                <w:bCs/>
                <w:iCs/>
                <w:sz w:val="20"/>
                <w:lang w:val="en-US"/>
              </w:rPr>
              <w:t xml:space="preserve">only </w:t>
            </w:r>
            <w:r w:rsidRPr="004B6297">
              <w:rPr>
                <w:rFonts w:asciiTheme="minorHAnsi" w:hAnsiTheme="minorHAnsi"/>
                <w:bCs/>
                <w:iCs/>
                <w:sz w:val="20"/>
                <w:lang w:val="en-US"/>
              </w:rPr>
              <w:t xml:space="preserve">applicable for </w:t>
            </w:r>
            <w:r>
              <w:rPr>
                <w:rFonts w:asciiTheme="minorHAnsi" w:hAnsiTheme="minorHAnsi"/>
                <w:bCs/>
                <w:iCs/>
                <w:sz w:val="20"/>
                <w:lang w:val="en-US"/>
              </w:rPr>
              <w:t>CI, PI and CASP</w:t>
            </w:r>
            <w:r w:rsidR="008A2106">
              <w:rPr>
                <w:rFonts w:asciiTheme="minorHAnsi" w:hAnsiTheme="minorHAnsi"/>
                <w:bCs/>
                <w:iCs/>
                <w:sz w:val="20"/>
                <w:lang w:val="en-US"/>
              </w:rPr>
              <w:t>.</w:t>
            </w:r>
            <w:r w:rsidRPr="00DE11F2" w:rsidDel="00DE11F2">
              <w:rPr>
                <w:rFonts w:asciiTheme="minorHAnsi" w:hAnsiTheme="minorHAnsi"/>
                <w:sz w:val="20"/>
                <w:lang w:val="en-US"/>
              </w:rPr>
              <w:t xml:space="preserve"> </w:t>
            </w:r>
          </w:p>
          <w:p w14:paraId="4E10180C" w14:textId="0E0AF31E" w:rsidR="00A90803" w:rsidRPr="00F80265" w:rsidRDefault="00A90803" w:rsidP="00A90803">
            <w:pPr>
              <w:pStyle w:val="InstructionsText2"/>
              <w:rPr>
                <w:rFonts w:asciiTheme="minorHAnsi" w:hAnsiTheme="minorHAnsi"/>
                <w:sz w:val="20"/>
                <w:szCs w:val="20"/>
              </w:rPr>
            </w:pPr>
            <w:r w:rsidRPr="4EE85BFC">
              <w:rPr>
                <w:rFonts w:asciiTheme="minorHAnsi" w:hAnsiTheme="minorHAnsi"/>
                <w:sz w:val="20"/>
                <w:szCs w:val="20"/>
              </w:rPr>
              <w:t xml:space="preserve">Obliged </w:t>
            </w:r>
            <w:r w:rsidR="00C0449A" w:rsidRPr="4EE85BFC">
              <w:rPr>
                <w:rFonts w:asciiTheme="minorHAnsi" w:hAnsiTheme="minorHAnsi"/>
                <w:sz w:val="20"/>
                <w:szCs w:val="20"/>
              </w:rPr>
              <w:t>reporting</w:t>
            </w:r>
            <w:r w:rsidRPr="4EE85BFC">
              <w:rPr>
                <w:rFonts w:asciiTheme="minorHAnsi" w:hAnsiTheme="minorHAnsi"/>
                <w:sz w:val="20"/>
                <w:szCs w:val="20"/>
              </w:rPr>
              <w:t xml:space="preserve"> entities should refer to correspondent relationship definition provided for in Article 2</w:t>
            </w:r>
            <w:r w:rsidR="005767E2" w:rsidRPr="4EE85BFC">
              <w:rPr>
                <w:rFonts w:asciiTheme="minorHAnsi" w:hAnsiTheme="minorHAnsi"/>
                <w:sz w:val="20"/>
                <w:szCs w:val="20"/>
              </w:rPr>
              <w:t>(</w:t>
            </w:r>
            <w:r w:rsidRPr="4EE85BFC">
              <w:rPr>
                <w:rFonts w:asciiTheme="minorHAnsi" w:hAnsiTheme="minorHAnsi"/>
                <w:sz w:val="20"/>
                <w:szCs w:val="20"/>
              </w:rPr>
              <w:t>1</w:t>
            </w:r>
            <w:r w:rsidR="005767E2" w:rsidRPr="4EE85BFC">
              <w:rPr>
                <w:rFonts w:asciiTheme="minorHAnsi" w:hAnsiTheme="minorHAnsi"/>
                <w:sz w:val="20"/>
                <w:szCs w:val="20"/>
              </w:rPr>
              <w:t>)</w:t>
            </w:r>
            <w:r w:rsidRPr="4EE85BFC">
              <w:rPr>
                <w:rFonts w:asciiTheme="minorHAnsi" w:hAnsiTheme="minorHAnsi"/>
                <w:sz w:val="20"/>
                <w:szCs w:val="20"/>
              </w:rPr>
              <w:t xml:space="preserve">(22) </w:t>
            </w:r>
            <w:r w:rsidR="00632313" w:rsidRPr="4EE85BFC">
              <w:rPr>
                <w:rFonts w:asciiTheme="minorHAnsi" w:hAnsiTheme="minorHAnsi"/>
                <w:sz w:val="20"/>
                <w:szCs w:val="20"/>
              </w:rPr>
              <w:t>AMLR</w:t>
            </w:r>
            <w:r w:rsidRPr="4EE85BFC">
              <w:rPr>
                <w:rFonts w:asciiTheme="minorHAnsi" w:hAnsiTheme="minorHAnsi"/>
                <w:sz w:val="20"/>
                <w:szCs w:val="20"/>
              </w:rPr>
              <w:t xml:space="preserve">. </w:t>
            </w:r>
          </w:p>
          <w:p w14:paraId="5A92A361" w14:textId="366EA28F" w:rsidR="00A90803" w:rsidRPr="00F76CF8" w:rsidRDefault="0099481C" w:rsidP="00A90803">
            <w:pPr>
              <w:pStyle w:val="InstructionsText2"/>
              <w:rPr>
                <w:rFonts w:asciiTheme="minorHAnsi" w:hAnsiTheme="minorHAnsi"/>
                <w:b/>
                <w:bCs/>
                <w:sz w:val="20"/>
                <w:u w:val="single"/>
                <w:lang w:val="en-US"/>
              </w:rPr>
            </w:pPr>
            <w:r w:rsidRPr="00F80265">
              <w:rPr>
                <w:rFonts w:asciiTheme="minorHAnsi" w:hAnsiTheme="minorHAnsi"/>
                <w:sz w:val="20"/>
                <w:lang w:val="en-US"/>
              </w:rPr>
              <w:t>Indicate the number of institutions established in foreign countries to whom you provide correspondent services (by country</w:t>
            </w:r>
            <w:r w:rsidRPr="00F80265">
              <w:rPr>
                <w:rFonts w:asciiTheme="minorHAnsi" w:hAnsiTheme="minorHAnsi"/>
                <w:sz w:val="20"/>
                <w:szCs w:val="20"/>
                <w:lang w:val="en-US"/>
              </w:rPr>
              <w:t>)</w:t>
            </w:r>
            <w:r w:rsidR="73F609FB" w:rsidRPr="025ECDA1">
              <w:rPr>
                <w:rStyle w:val="FormatvorlageInstructionsTabelleText"/>
                <w:rFonts w:asciiTheme="minorHAnsi" w:hAnsiTheme="minorHAnsi"/>
              </w:rPr>
              <w:t>, as of end of the reference year</w:t>
            </w:r>
            <w:r w:rsidRPr="00354F47">
              <w:rPr>
                <w:rFonts w:asciiTheme="minorHAnsi" w:hAnsiTheme="minorHAnsi"/>
                <w:sz w:val="20"/>
                <w:szCs w:val="20"/>
                <w:lang w:val="en-US"/>
              </w:rPr>
              <w:t>.</w:t>
            </w:r>
          </w:p>
        </w:tc>
      </w:tr>
      <w:tr w:rsidR="005E211E" w:rsidRPr="009B282E" w14:paraId="613F38C2" w14:textId="77777777" w:rsidTr="262CC662">
        <w:tc>
          <w:tcPr>
            <w:tcW w:w="1673" w:type="dxa"/>
            <w:tcBorders>
              <w:top w:val="single" w:sz="4" w:space="0" w:color="auto"/>
              <w:left w:val="single" w:sz="4" w:space="0" w:color="auto"/>
              <w:bottom w:val="single" w:sz="4" w:space="0" w:color="auto"/>
              <w:right w:val="single" w:sz="4" w:space="0" w:color="auto"/>
            </w:tcBorders>
            <w:vAlign w:val="center"/>
          </w:tcPr>
          <w:p w14:paraId="02A931DF" w14:textId="19ED57AB" w:rsidR="00A90803" w:rsidRPr="00813150" w:rsidRDefault="00A90803" w:rsidP="00F32516">
            <w:pPr>
              <w:pStyle w:val="InstructionsText"/>
              <w:rPr>
                <w:rStyle w:val="FormatvorlageInstructionsTabelleText"/>
                <w:rFonts w:asciiTheme="minorHAnsi" w:hAnsiTheme="minorHAnsi"/>
                <w:b/>
              </w:rPr>
            </w:pPr>
            <w:r w:rsidRPr="00A70B3F">
              <w:t>C0140</w:t>
            </w:r>
          </w:p>
        </w:tc>
        <w:tc>
          <w:tcPr>
            <w:tcW w:w="7616" w:type="dxa"/>
            <w:tcBorders>
              <w:top w:val="nil"/>
              <w:left w:val="single" w:sz="4" w:space="0" w:color="auto"/>
              <w:bottom w:val="single" w:sz="4" w:space="0" w:color="auto"/>
              <w:right w:val="single" w:sz="4" w:space="0" w:color="auto"/>
            </w:tcBorders>
            <w:vAlign w:val="center"/>
          </w:tcPr>
          <w:p w14:paraId="111C2551" w14:textId="77777777" w:rsidR="00491899" w:rsidRDefault="00491899" w:rsidP="00A90803">
            <w:pPr>
              <w:pStyle w:val="InstructionsText2"/>
              <w:rPr>
                <w:rFonts w:asciiTheme="minorHAnsi" w:hAnsiTheme="minorHAnsi"/>
                <w:sz w:val="20"/>
                <w:lang w:val="en-US"/>
              </w:rPr>
            </w:pPr>
            <w:r w:rsidRPr="00F80265">
              <w:rPr>
                <w:rFonts w:ascii="Aptos" w:hAnsi="Aptos"/>
                <w:b/>
                <w:sz w:val="20"/>
                <w:u w:val="single"/>
                <w:lang w:val="en-US"/>
              </w:rPr>
              <w:t>Respondent Client Funds (Incoming) - Value</w:t>
            </w:r>
          </w:p>
          <w:p w14:paraId="6A76AB37" w14:textId="17F33B2B" w:rsidR="008A2106" w:rsidRDefault="008A2106" w:rsidP="00A90803">
            <w:pPr>
              <w:pStyle w:val="InstructionsText2"/>
              <w:rPr>
                <w:rFonts w:asciiTheme="minorHAnsi" w:hAnsiTheme="minorHAnsi"/>
                <w:bCs/>
                <w:sz w:val="20"/>
              </w:rPr>
            </w:pPr>
            <w:r w:rsidRPr="004B6297">
              <w:rPr>
                <w:rFonts w:asciiTheme="minorHAnsi" w:hAnsiTheme="minorHAnsi"/>
                <w:bCs/>
                <w:iCs/>
                <w:sz w:val="20"/>
                <w:lang w:val="en-US"/>
              </w:rPr>
              <w:t xml:space="preserve">This datapoint is </w:t>
            </w:r>
            <w:r w:rsidRPr="008A2106">
              <w:rPr>
                <w:rFonts w:asciiTheme="minorHAnsi" w:hAnsiTheme="minorHAnsi"/>
                <w:bCs/>
                <w:iCs/>
                <w:sz w:val="20"/>
                <w:lang w:val="en-US"/>
              </w:rPr>
              <w:t xml:space="preserve">only </w:t>
            </w:r>
            <w:r w:rsidRPr="004B6297">
              <w:rPr>
                <w:rFonts w:asciiTheme="minorHAnsi" w:hAnsiTheme="minorHAnsi"/>
                <w:bCs/>
                <w:iCs/>
                <w:sz w:val="20"/>
                <w:lang w:val="en-US"/>
              </w:rPr>
              <w:t xml:space="preserve">applicable for </w:t>
            </w:r>
            <w:r w:rsidRPr="008A2106">
              <w:rPr>
                <w:rFonts w:asciiTheme="minorHAnsi" w:hAnsiTheme="minorHAnsi"/>
                <w:bCs/>
                <w:iCs/>
                <w:sz w:val="20"/>
                <w:lang w:val="en-US"/>
              </w:rPr>
              <w:t>CI, PI and CASP.</w:t>
            </w:r>
            <w:r w:rsidRPr="008A2106" w:rsidDel="00DE11F2">
              <w:rPr>
                <w:rFonts w:asciiTheme="minorHAnsi" w:hAnsiTheme="minorHAnsi"/>
                <w:sz w:val="20"/>
                <w:lang w:val="en-US"/>
              </w:rPr>
              <w:t xml:space="preserve"> </w:t>
            </w:r>
          </w:p>
          <w:p w14:paraId="2FEAE425" w14:textId="3BD6504B" w:rsidR="00A90803" w:rsidRPr="00F76CF8" w:rsidRDefault="00FB1B35" w:rsidP="00A90803">
            <w:pPr>
              <w:pStyle w:val="InstructionsText2"/>
              <w:rPr>
                <w:rFonts w:asciiTheme="minorHAnsi" w:hAnsiTheme="minorHAnsi"/>
                <w:sz w:val="20"/>
                <w:lang w:val="en-US"/>
              </w:rPr>
            </w:pPr>
            <w:r w:rsidRPr="00DD297A">
              <w:rPr>
                <w:rFonts w:asciiTheme="minorHAnsi" w:hAnsiTheme="minorHAnsi"/>
                <w:bCs/>
                <w:sz w:val="20"/>
              </w:rPr>
              <w:t>Indicate the total value of incoming funds moved on behalf of the respondent's clients by country of respondent's establishment</w:t>
            </w:r>
            <w:r w:rsidR="5954B001" w:rsidRPr="387DDFCF">
              <w:rPr>
                <w:rFonts w:asciiTheme="minorHAnsi" w:hAnsiTheme="minorHAnsi"/>
                <w:sz w:val="20"/>
                <w:szCs w:val="20"/>
              </w:rPr>
              <w:t xml:space="preserve"> </w:t>
            </w:r>
            <w:r w:rsidR="5954B001" w:rsidRPr="2B6CFE48">
              <w:rPr>
                <w:rFonts w:asciiTheme="minorHAnsi" w:hAnsiTheme="minorHAnsi"/>
                <w:sz w:val="20"/>
                <w:szCs w:val="20"/>
              </w:rPr>
              <w:t>during the reference year</w:t>
            </w:r>
            <w:r w:rsidRPr="00354F47">
              <w:rPr>
                <w:rFonts w:asciiTheme="minorHAnsi" w:hAnsiTheme="minorHAnsi"/>
                <w:bCs/>
                <w:sz w:val="20"/>
              </w:rPr>
              <w:t>.</w:t>
            </w:r>
          </w:p>
        </w:tc>
      </w:tr>
      <w:tr w:rsidR="005E211E" w:rsidRPr="009B282E" w14:paraId="5EDC6505" w14:textId="77777777" w:rsidTr="262CC662">
        <w:tc>
          <w:tcPr>
            <w:tcW w:w="1673" w:type="dxa"/>
            <w:tcBorders>
              <w:top w:val="single" w:sz="4" w:space="0" w:color="auto"/>
              <w:left w:val="single" w:sz="4" w:space="0" w:color="auto"/>
              <w:bottom w:val="single" w:sz="4" w:space="0" w:color="auto"/>
              <w:right w:val="single" w:sz="4" w:space="0" w:color="auto"/>
            </w:tcBorders>
            <w:vAlign w:val="center"/>
          </w:tcPr>
          <w:p w14:paraId="517148BC" w14:textId="4148FC3C" w:rsidR="00A90803" w:rsidRPr="00813150" w:rsidRDefault="00A90803" w:rsidP="00F32516">
            <w:pPr>
              <w:pStyle w:val="InstructionsText"/>
              <w:rPr>
                <w:rStyle w:val="FormatvorlageInstructionsTabelleText"/>
                <w:rFonts w:asciiTheme="minorHAnsi" w:hAnsiTheme="minorHAnsi"/>
                <w:b/>
              </w:rPr>
            </w:pPr>
            <w:r w:rsidRPr="00A70B3F">
              <w:t>C0150</w:t>
            </w:r>
          </w:p>
        </w:tc>
        <w:tc>
          <w:tcPr>
            <w:tcW w:w="7616" w:type="dxa"/>
            <w:tcBorders>
              <w:top w:val="nil"/>
              <w:left w:val="single" w:sz="4" w:space="0" w:color="auto"/>
              <w:bottom w:val="single" w:sz="4" w:space="0" w:color="auto"/>
              <w:right w:val="single" w:sz="4" w:space="0" w:color="auto"/>
            </w:tcBorders>
            <w:vAlign w:val="center"/>
          </w:tcPr>
          <w:p w14:paraId="75F2C89C" w14:textId="77777777" w:rsidR="00491899" w:rsidRDefault="00491899" w:rsidP="00A90803">
            <w:pPr>
              <w:pStyle w:val="InstructionsText2"/>
              <w:rPr>
                <w:rFonts w:asciiTheme="minorHAnsi" w:hAnsiTheme="minorHAnsi"/>
                <w:sz w:val="20"/>
                <w:lang w:val="en-US"/>
              </w:rPr>
            </w:pPr>
            <w:r w:rsidRPr="00DD297A">
              <w:rPr>
                <w:rFonts w:ascii="Aptos" w:hAnsi="Aptos"/>
                <w:b/>
                <w:sz w:val="20"/>
                <w:u w:val="single"/>
                <w:lang w:val="en-US"/>
              </w:rPr>
              <w:t>Respondent Client Funds (Outgoing) - Value</w:t>
            </w:r>
          </w:p>
          <w:p w14:paraId="127CF713" w14:textId="2EB7CCFF" w:rsidR="00A90803" w:rsidRPr="00FB1B35" w:rsidRDefault="008A2106" w:rsidP="00A90803">
            <w:pPr>
              <w:pStyle w:val="InstructionsText2"/>
              <w:rPr>
                <w:rFonts w:asciiTheme="minorHAnsi" w:hAnsiTheme="minorHAnsi"/>
                <w:sz w:val="20"/>
                <w:lang w:val="en-US"/>
              </w:rPr>
            </w:pPr>
            <w:r w:rsidRPr="004B6297">
              <w:rPr>
                <w:rFonts w:asciiTheme="minorHAnsi" w:hAnsiTheme="minorHAnsi"/>
                <w:bCs/>
                <w:iCs/>
                <w:sz w:val="20"/>
                <w:lang w:val="en-US"/>
              </w:rPr>
              <w:t xml:space="preserve">This datapoint is </w:t>
            </w:r>
            <w:r w:rsidRPr="008A2106">
              <w:rPr>
                <w:rFonts w:asciiTheme="minorHAnsi" w:hAnsiTheme="minorHAnsi"/>
                <w:bCs/>
                <w:iCs/>
                <w:sz w:val="20"/>
                <w:lang w:val="en-US"/>
              </w:rPr>
              <w:t xml:space="preserve">only </w:t>
            </w:r>
            <w:r w:rsidRPr="004B6297">
              <w:rPr>
                <w:rFonts w:asciiTheme="minorHAnsi" w:hAnsiTheme="minorHAnsi"/>
                <w:bCs/>
                <w:iCs/>
                <w:sz w:val="20"/>
                <w:lang w:val="en-US"/>
              </w:rPr>
              <w:t xml:space="preserve">applicable for </w:t>
            </w:r>
            <w:r w:rsidRPr="008A2106">
              <w:rPr>
                <w:rFonts w:asciiTheme="minorHAnsi" w:hAnsiTheme="minorHAnsi"/>
                <w:bCs/>
                <w:iCs/>
                <w:sz w:val="20"/>
                <w:lang w:val="en-US"/>
              </w:rPr>
              <w:t>CI, PI and CASP.</w:t>
            </w:r>
          </w:p>
          <w:p w14:paraId="02004179" w14:textId="54EAD0FB" w:rsidR="00A90803" w:rsidRPr="0049596C" w:rsidRDefault="00FB1B35" w:rsidP="00262B45">
            <w:pPr>
              <w:pStyle w:val="InstructionsText2"/>
              <w:rPr>
                <w:rFonts w:asciiTheme="minorHAnsi" w:hAnsiTheme="minorHAnsi"/>
                <w:sz w:val="20"/>
                <w:lang w:val="en-US"/>
              </w:rPr>
            </w:pPr>
            <w:r w:rsidRPr="00FB1B35">
              <w:rPr>
                <w:rFonts w:asciiTheme="minorHAnsi" w:hAnsiTheme="minorHAnsi"/>
                <w:sz w:val="20"/>
                <w:lang w:val="en-US"/>
              </w:rPr>
              <w:t>Indicate the t</w:t>
            </w:r>
            <w:r w:rsidRPr="00DD297A">
              <w:rPr>
                <w:rFonts w:asciiTheme="minorHAnsi" w:hAnsiTheme="minorHAnsi"/>
                <w:sz w:val="20"/>
              </w:rPr>
              <w:t>otal value of outgoing funds moved on behalf of the respondent's clients by country of respondent's establishment</w:t>
            </w:r>
            <w:r w:rsidR="42E158CB" w:rsidRPr="2B6CFE48">
              <w:rPr>
                <w:rFonts w:asciiTheme="minorHAnsi" w:hAnsiTheme="minorHAnsi"/>
                <w:sz w:val="20"/>
                <w:szCs w:val="20"/>
              </w:rPr>
              <w:t xml:space="preserve"> </w:t>
            </w:r>
            <w:r w:rsidR="42E158CB" w:rsidRPr="7402BF99">
              <w:rPr>
                <w:rFonts w:asciiTheme="minorHAnsi" w:hAnsiTheme="minorHAnsi"/>
                <w:sz w:val="20"/>
                <w:szCs w:val="20"/>
              </w:rPr>
              <w:t>during the reference year</w:t>
            </w:r>
            <w:r w:rsidRPr="00ED2FFB">
              <w:rPr>
                <w:rFonts w:asciiTheme="minorHAnsi" w:hAnsiTheme="minorHAnsi"/>
                <w:sz w:val="20"/>
              </w:rPr>
              <w:t>.</w:t>
            </w:r>
          </w:p>
        </w:tc>
      </w:tr>
      <w:tr w:rsidR="005E211E" w:rsidRPr="009B282E" w14:paraId="247593C6" w14:textId="77777777" w:rsidTr="262CC662">
        <w:tc>
          <w:tcPr>
            <w:tcW w:w="1673" w:type="dxa"/>
            <w:tcBorders>
              <w:top w:val="single" w:sz="4" w:space="0" w:color="auto"/>
              <w:left w:val="single" w:sz="4" w:space="0" w:color="auto"/>
              <w:bottom w:val="single" w:sz="4" w:space="0" w:color="auto"/>
              <w:right w:val="single" w:sz="4" w:space="0" w:color="auto"/>
            </w:tcBorders>
            <w:vAlign w:val="center"/>
          </w:tcPr>
          <w:p w14:paraId="481C5526" w14:textId="28015DB8" w:rsidR="00A90803" w:rsidRPr="00813150" w:rsidRDefault="00A90803" w:rsidP="00F32516">
            <w:pPr>
              <w:pStyle w:val="InstructionsText"/>
              <w:rPr>
                <w:rStyle w:val="FormatvorlageInstructionsTabelleText"/>
                <w:rFonts w:asciiTheme="minorHAnsi" w:hAnsiTheme="minorHAnsi"/>
                <w:b/>
              </w:rPr>
            </w:pPr>
            <w:r w:rsidRPr="00A70B3F">
              <w:t>C0160</w:t>
            </w:r>
          </w:p>
        </w:tc>
        <w:tc>
          <w:tcPr>
            <w:tcW w:w="7616" w:type="dxa"/>
            <w:tcBorders>
              <w:top w:val="nil"/>
              <w:left w:val="single" w:sz="4" w:space="0" w:color="auto"/>
              <w:bottom w:val="single" w:sz="4" w:space="0" w:color="auto"/>
              <w:right w:val="single" w:sz="4" w:space="0" w:color="auto"/>
            </w:tcBorders>
            <w:vAlign w:val="center"/>
          </w:tcPr>
          <w:p w14:paraId="687ED458" w14:textId="3ED03DDD" w:rsidR="00A90803" w:rsidRPr="00F76CF8" w:rsidRDefault="00A90803" w:rsidP="00A90803">
            <w:pPr>
              <w:pStyle w:val="InstructionsText2"/>
              <w:rPr>
                <w:rFonts w:asciiTheme="minorHAnsi" w:hAnsiTheme="minorHAnsi"/>
                <w:b/>
                <w:bCs/>
                <w:sz w:val="20"/>
                <w:u w:val="single"/>
                <w:lang w:val="en-US"/>
              </w:rPr>
            </w:pPr>
            <w:r w:rsidRPr="00F76CF8">
              <w:rPr>
                <w:rFonts w:asciiTheme="minorHAnsi" w:hAnsiTheme="minorHAnsi"/>
                <w:b/>
                <w:bCs/>
                <w:sz w:val="20"/>
                <w:u w:val="single"/>
                <w:lang w:val="en-US"/>
              </w:rPr>
              <w:t>Number of branches by country</w:t>
            </w:r>
          </w:p>
          <w:p w14:paraId="3A988DC5" w14:textId="77777777" w:rsidR="008A2106" w:rsidRPr="008A2106" w:rsidRDefault="008A2106" w:rsidP="008A2106">
            <w:pPr>
              <w:pStyle w:val="InstructionsText2"/>
              <w:rPr>
                <w:rFonts w:asciiTheme="minorHAnsi" w:hAnsiTheme="minorHAnsi"/>
                <w:bCs/>
                <w:iCs/>
                <w:sz w:val="20"/>
              </w:rPr>
            </w:pPr>
            <w:r w:rsidRPr="008A2106">
              <w:rPr>
                <w:rFonts w:asciiTheme="minorHAnsi" w:hAnsiTheme="minorHAnsi"/>
                <w:bCs/>
                <w:iCs/>
                <w:sz w:val="20"/>
              </w:rPr>
              <w:t xml:space="preserve">This datapoint is applicable for all sectors. </w:t>
            </w:r>
          </w:p>
          <w:p w14:paraId="64A516F2" w14:textId="5C401AF1" w:rsidR="00A90803" w:rsidRDefault="00A90803" w:rsidP="00A90803">
            <w:pPr>
              <w:pStyle w:val="InstructionsText2"/>
              <w:rPr>
                <w:rStyle w:val="FormatvorlageInstructionsTabelleText"/>
                <w:rFonts w:asciiTheme="minorHAnsi" w:hAnsiTheme="minorHAnsi"/>
              </w:rPr>
            </w:pPr>
            <w:r w:rsidRPr="66D9908B">
              <w:rPr>
                <w:rFonts w:asciiTheme="minorHAnsi" w:hAnsiTheme="minorHAnsi"/>
                <w:sz w:val="20"/>
                <w:szCs w:val="20"/>
                <w:lang w:val="en-US"/>
              </w:rPr>
              <w:t xml:space="preserve">In general, branches are establishments of an institution which is not a separate legal entity and which performs directly all or some activities of that credit </w:t>
            </w:r>
            <w:r w:rsidR="00AB65AB">
              <w:rPr>
                <w:rFonts w:asciiTheme="minorHAnsi" w:hAnsiTheme="minorHAnsi"/>
                <w:sz w:val="20"/>
                <w:szCs w:val="20"/>
                <w:lang w:val="en-US"/>
              </w:rPr>
              <w:t xml:space="preserve">or financial </w:t>
            </w:r>
            <w:r w:rsidRPr="66D9908B">
              <w:rPr>
                <w:rFonts w:asciiTheme="minorHAnsi" w:hAnsiTheme="minorHAnsi"/>
                <w:sz w:val="20"/>
                <w:szCs w:val="20"/>
                <w:lang w:val="en-US"/>
              </w:rPr>
              <w:t xml:space="preserve">institution. This concept applies both to branches in a Member State other than that of establishment of the reporting </w:t>
            </w:r>
            <w:r w:rsidR="00657676">
              <w:rPr>
                <w:rFonts w:asciiTheme="minorHAnsi" w:hAnsiTheme="minorHAnsi"/>
                <w:sz w:val="20"/>
                <w:szCs w:val="20"/>
                <w:lang w:val="en-US"/>
              </w:rPr>
              <w:t xml:space="preserve">obliged </w:t>
            </w:r>
            <w:r w:rsidRPr="66D9908B">
              <w:rPr>
                <w:rFonts w:asciiTheme="minorHAnsi" w:hAnsiTheme="minorHAnsi"/>
                <w:sz w:val="20"/>
                <w:szCs w:val="20"/>
                <w:lang w:val="en-US"/>
              </w:rPr>
              <w:t>entity, as well as to branches established in third countries (in the latter case, based on the national law of the home Member State and the regulatory framework of the host third country)</w:t>
            </w:r>
            <w:r w:rsidR="0FE611BF" w:rsidRPr="66D9908B">
              <w:rPr>
                <w:rStyle w:val="FormatvorlageInstructionsTabelleText"/>
                <w:rFonts w:asciiTheme="minorHAnsi" w:hAnsiTheme="minorHAnsi"/>
              </w:rPr>
              <w:t>, as of end of the reference year.</w:t>
            </w:r>
          </w:p>
          <w:p w14:paraId="1D8464CA" w14:textId="67861B57" w:rsidR="00E13626" w:rsidRPr="00F76CF8" w:rsidRDefault="00E13626" w:rsidP="00A90803">
            <w:pPr>
              <w:pStyle w:val="InstructionsText2"/>
              <w:rPr>
                <w:rStyle w:val="FormatvorlageInstructionsTabelleText"/>
                <w:rFonts w:asciiTheme="minorHAnsi" w:hAnsiTheme="minorHAnsi"/>
                <w:lang w:val="en-US"/>
              </w:rPr>
            </w:pPr>
            <w:r>
              <w:rPr>
                <w:rStyle w:val="FormatvorlageInstructionsTabelleText"/>
                <w:rFonts w:asciiTheme="minorHAnsi" w:hAnsiTheme="minorHAnsi"/>
              </w:rPr>
              <w:t>For the purpose of this reporting, only branches that are themselves obliged entities inside or outside the EU should be reported.</w:t>
            </w:r>
          </w:p>
          <w:p w14:paraId="72B6C32B" w14:textId="6CD0673D" w:rsidR="00A90803" w:rsidRPr="00F76CF8" w:rsidRDefault="00A90803" w:rsidP="00A90803">
            <w:pPr>
              <w:pStyle w:val="InstructionsText2"/>
              <w:rPr>
                <w:rFonts w:asciiTheme="minorHAnsi" w:hAnsiTheme="minorHAnsi"/>
                <w:sz w:val="20"/>
                <w:lang w:val="en-US"/>
              </w:rPr>
            </w:pPr>
            <w:r w:rsidRPr="00F76CF8">
              <w:rPr>
                <w:rFonts w:asciiTheme="minorHAnsi" w:hAnsiTheme="minorHAnsi"/>
                <w:sz w:val="20"/>
                <w:lang w:val="en-US"/>
              </w:rPr>
              <w:t xml:space="preserve">For CI’s, IF’s, AMC’s, </w:t>
            </w:r>
            <w:r w:rsidR="00826EAF">
              <w:rPr>
                <w:rFonts w:asciiTheme="minorHAnsi" w:hAnsiTheme="minorHAnsi"/>
                <w:sz w:val="20"/>
                <w:lang w:val="en-US"/>
              </w:rPr>
              <w:t xml:space="preserve">and </w:t>
            </w:r>
            <w:r w:rsidRPr="00F76CF8">
              <w:rPr>
                <w:rFonts w:asciiTheme="minorHAnsi" w:hAnsiTheme="minorHAnsi"/>
                <w:sz w:val="20"/>
                <w:lang w:val="en-US"/>
              </w:rPr>
              <w:t xml:space="preserve">PI’s a reference to the respective regulations or directives are reported below: </w:t>
            </w:r>
          </w:p>
          <w:p w14:paraId="1C9DAE11" w14:textId="6CE191D7" w:rsidR="00A90803" w:rsidRPr="00F76CF8" w:rsidRDefault="00A90803" w:rsidP="00A90803">
            <w:pPr>
              <w:pStyle w:val="InstructionsText2"/>
              <w:rPr>
                <w:rFonts w:asciiTheme="minorHAnsi" w:hAnsiTheme="minorHAnsi"/>
                <w:sz w:val="20"/>
                <w:szCs w:val="20"/>
                <w:lang w:val="en-US"/>
              </w:rPr>
            </w:pPr>
            <w:r w:rsidRPr="22F74964">
              <w:rPr>
                <w:rFonts w:asciiTheme="minorHAnsi" w:hAnsiTheme="minorHAnsi"/>
                <w:sz w:val="20"/>
                <w:szCs w:val="20"/>
                <w:lang w:val="en-US"/>
              </w:rPr>
              <w:t>1) For Credit Institutions, from the CR</w:t>
            </w:r>
            <w:r w:rsidR="00F5420B">
              <w:rPr>
                <w:rFonts w:asciiTheme="minorHAnsi" w:hAnsiTheme="minorHAnsi"/>
                <w:sz w:val="20"/>
                <w:szCs w:val="20"/>
                <w:lang w:val="en-US"/>
              </w:rPr>
              <w:t xml:space="preserve">D (Directive </w:t>
            </w:r>
            <w:r w:rsidR="00406AB6">
              <w:rPr>
                <w:rFonts w:asciiTheme="minorHAnsi" w:hAnsiTheme="minorHAnsi"/>
                <w:sz w:val="20"/>
                <w:szCs w:val="20"/>
                <w:lang w:val="en-US"/>
              </w:rPr>
              <w:t>2013/</w:t>
            </w:r>
            <w:r w:rsidR="002C2FAC">
              <w:rPr>
                <w:rFonts w:asciiTheme="minorHAnsi" w:hAnsiTheme="minorHAnsi"/>
                <w:sz w:val="20"/>
                <w:szCs w:val="20"/>
                <w:lang w:val="en-US"/>
              </w:rPr>
              <w:t>36/EU</w:t>
            </w:r>
            <w:r w:rsidR="00C323E8">
              <w:rPr>
                <w:rFonts w:asciiTheme="minorHAnsi" w:hAnsiTheme="minorHAnsi"/>
                <w:sz w:val="20"/>
                <w:szCs w:val="20"/>
                <w:lang w:val="en-US"/>
              </w:rPr>
              <w:t>)</w:t>
            </w:r>
            <w:r w:rsidR="46291CBB" w:rsidRPr="22F74964">
              <w:rPr>
                <w:rFonts w:asciiTheme="minorHAnsi" w:hAnsiTheme="minorHAnsi"/>
                <w:sz w:val="20"/>
                <w:szCs w:val="20"/>
                <w:lang w:val="en-US"/>
              </w:rPr>
              <w:t>:</w:t>
            </w:r>
          </w:p>
          <w:p w14:paraId="682B7161" w14:textId="5409DC20" w:rsidR="00A90803" w:rsidRPr="00F76CF8" w:rsidRDefault="00A90803" w:rsidP="00A90803">
            <w:pPr>
              <w:pStyle w:val="InstructionsText2"/>
              <w:rPr>
                <w:rFonts w:asciiTheme="minorHAnsi" w:hAnsiTheme="minorHAnsi"/>
                <w:sz w:val="20"/>
                <w:lang w:val="en-US"/>
              </w:rPr>
            </w:pPr>
            <w:r w:rsidRPr="00F76CF8">
              <w:rPr>
                <w:rFonts w:asciiTheme="minorHAnsi" w:hAnsiTheme="minorHAnsi"/>
                <w:sz w:val="20"/>
                <w:lang w:val="en-US"/>
              </w:rPr>
              <w:t>"A branch of a credit institution means any establishment of a credit institution which is not a separate legal entity and which performs directly all or some of the activities of that credit institution".</w:t>
            </w:r>
          </w:p>
          <w:p w14:paraId="65A980B6" w14:textId="24A4DC05" w:rsidR="00A90803" w:rsidRPr="00F76CF8" w:rsidRDefault="00A90803" w:rsidP="00A90803">
            <w:pPr>
              <w:pStyle w:val="InstructionsText2"/>
              <w:rPr>
                <w:rFonts w:asciiTheme="minorHAnsi" w:hAnsiTheme="minorHAnsi"/>
                <w:sz w:val="20"/>
                <w:szCs w:val="20"/>
                <w:lang w:val="en-US"/>
              </w:rPr>
            </w:pPr>
            <w:r w:rsidRPr="08C01055">
              <w:rPr>
                <w:rFonts w:asciiTheme="minorHAnsi" w:hAnsiTheme="minorHAnsi"/>
                <w:sz w:val="20"/>
                <w:szCs w:val="20"/>
                <w:lang w:val="en-US"/>
              </w:rPr>
              <w:t>2) For IFs, from MiFID II Art</w:t>
            </w:r>
            <w:r w:rsidR="005767E2">
              <w:rPr>
                <w:rFonts w:asciiTheme="minorHAnsi" w:hAnsiTheme="minorHAnsi"/>
                <w:sz w:val="20"/>
                <w:szCs w:val="20"/>
                <w:lang w:val="en-US"/>
              </w:rPr>
              <w:t>icle</w:t>
            </w:r>
            <w:r w:rsidRPr="08C01055">
              <w:rPr>
                <w:rFonts w:asciiTheme="minorHAnsi" w:hAnsiTheme="minorHAnsi"/>
                <w:sz w:val="20"/>
                <w:szCs w:val="20"/>
                <w:lang w:val="en-US"/>
              </w:rPr>
              <w:t xml:space="preserve"> 4(1)(3</w:t>
            </w:r>
            <w:r w:rsidR="00886602">
              <w:rPr>
                <w:rFonts w:asciiTheme="minorHAnsi" w:hAnsiTheme="minorHAnsi"/>
                <w:sz w:val="20"/>
                <w:szCs w:val="20"/>
                <w:lang w:val="en-US"/>
              </w:rPr>
              <w:t>0</w:t>
            </w:r>
            <w:r w:rsidRPr="08C01055">
              <w:rPr>
                <w:rFonts w:asciiTheme="minorHAnsi" w:hAnsiTheme="minorHAnsi"/>
                <w:sz w:val="20"/>
                <w:szCs w:val="20"/>
                <w:lang w:val="en-US"/>
              </w:rPr>
              <w:t>):</w:t>
            </w:r>
          </w:p>
          <w:p w14:paraId="32BBA43A" w14:textId="77777777" w:rsidR="00A90803" w:rsidRPr="00F76CF8" w:rsidRDefault="00A90803" w:rsidP="00A90803">
            <w:pPr>
              <w:pStyle w:val="InstructionsText2"/>
              <w:rPr>
                <w:rFonts w:asciiTheme="minorHAnsi" w:hAnsiTheme="minorHAnsi"/>
                <w:sz w:val="20"/>
                <w:lang w:val="en-US"/>
              </w:rPr>
            </w:pPr>
            <w:r w:rsidRPr="00F76CF8">
              <w:rPr>
                <w:rFonts w:asciiTheme="minorHAnsi" w:hAnsiTheme="minorHAnsi"/>
                <w:sz w:val="20"/>
                <w:lang w:val="en-US"/>
              </w:rPr>
              <w:t>“An investment firm’s branch means a place of business other than the head office which is part of an investment firm, has no legal personality, and which carries out some or all of the activities of that investment firm."</w:t>
            </w:r>
          </w:p>
          <w:p w14:paraId="6398244D" w14:textId="0F708055" w:rsidR="00A90803" w:rsidRPr="00F76CF8" w:rsidRDefault="00A90803" w:rsidP="00A90803">
            <w:pPr>
              <w:pStyle w:val="InstructionsText2"/>
              <w:rPr>
                <w:rFonts w:asciiTheme="minorHAnsi" w:hAnsiTheme="minorHAnsi"/>
                <w:sz w:val="20"/>
                <w:szCs w:val="20"/>
                <w:lang w:val="en-US"/>
              </w:rPr>
            </w:pPr>
            <w:r w:rsidRPr="262CC662">
              <w:rPr>
                <w:rFonts w:asciiTheme="minorHAnsi" w:hAnsiTheme="minorHAnsi"/>
                <w:sz w:val="20"/>
                <w:szCs w:val="20"/>
                <w:lang w:val="en-US"/>
              </w:rPr>
              <w:t>3) For AMC, Directive 2009/65/EC, Article</w:t>
            </w:r>
            <w:r w:rsidRPr="262CC662">
              <w:rPr>
                <w:rFonts w:ascii="Arial" w:hAnsi="Arial" w:cs="Arial"/>
                <w:sz w:val="20"/>
                <w:szCs w:val="20"/>
                <w:lang w:val="en-US"/>
              </w:rPr>
              <w:t> </w:t>
            </w:r>
            <w:r w:rsidRPr="262CC662">
              <w:rPr>
                <w:rFonts w:asciiTheme="minorHAnsi" w:hAnsiTheme="minorHAnsi"/>
                <w:sz w:val="20"/>
                <w:szCs w:val="20"/>
                <w:lang w:val="en-US"/>
              </w:rPr>
              <w:t>2</w:t>
            </w:r>
            <w:r w:rsidR="005767E2" w:rsidRPr="262CC662">
              <w:rPr>
                <w:rFonts w:asciiTheme="minorHAnsi" w:hAnsiTheme="minorHAnsi"/>
                <w:sz w:val="20"/>
                <w:szCs w:val="20"/>
                <w:lang w:val="en-US"/>
              </w:rPr>
              <w:t>(</w:t>
            </w:r>
            <w:r w:rsidRPr="262CC662">
              <w:rPr>
                <w:rFonts w:asciiTheme="minorHAnsi" w:hAnsiTheme="minorHAnsi"/>
                <w:sz w:val="20"/>
                <w:szCs w:val="20"/>
                <w:lang w:val="en-US"/>
              </w:rPr>
              <w:t>1</w:t>
            </w:r>
            <w:r w:rsidR="005767E2" w:rsidRPr="262CC662">
              <w:rPr>
                <w:rFonts w:asciiTheme="minorHAnsi" w:hAnsiTheme="minorHAnsi"/>
                <w:sz w:val="20"/>
                <w:szCs w:val="20"/>
                <w:lang w:val="en-US"/>
              </w:rPr>
              <w:t>)(</w:t>
            </w:r>
            <w:r w:rsidRPr="262CC662">
              <w:rPr>
                <w:rFonts w:asciiTheme="minorHAnsi" w:hAnsiTheme="minorHAnsi"/>
                <w:sz w:val="20"/>
                <w:szCs w:val="20"/>
                <w:lang w:val="en-US"/>
              </w:rPr>
              <w:t>g</w:t>
            </w:r>
            <w:r w:rsidR="005767E2" w:rsidRPr="262CC662">
              <w:rPr>
                <w:rFonts w:asciiTheme="minorHAnsi" w:hAnsiTheme="minorHAnsi"/>
                <w:sz w:val="20"/>
                <w:szCs w:val="20"/>
                <w:lang w:val="en-US"/>
              </w:rPr>
              <w:t>)</w:t>
            </w:r>
            <w:r w:rsidRPr="262CC662">
              <w:rPr>
                <w:rFonts w:asciiTheme="minorHAnsi" w:hAnsiTheme="minorHAnsi"/>
                <w:sz w:val="20"/>
                <w:szCs w:val="20"/>
                <w:lang w:val="en-US"/>
              </w:rPr>
              <w:t xml:space="preserve">: </w:t>
            </w:r>
            <w:r w:rsidRPr="262CC662">
              <w:rPr>
                <w:rFonts w:ascii="Aptos" w:hAnsi="Aptos" w:cs="Aptos"/>
                <w:sz w:val="20"/>
                <w:szCs w:val="20"/>
                <w:lang w:val="en-US"/>
              </w:rPr>
              <w:t>‘</w:t>
            </w:r>
            <w:r w:rsidRPr="262CC662">
              <w:rPr>
                <w:rFonts w:asciiTheme="minorHAnsi" w:hAnsiTheme="minorHAnsi"/>
                <w:sz w:val="20"/>
                <w:szCs w:val="20"/>
                <w:lang w:val="en-US"/>
              </w:rPr>
              <w:t>branch</w:t>
            </w:r>
            <w:r w:rsidRPr="262CC662">
              <w:rPr>
                <w:rFonts w:ascii="Aptos" w:hAnsi="Aptos" w:cs="Aptos"/>
                <w:sz w:val="20"/>
                <w:szCs w:val="20"/>
                <w:lang w:val="en-US"/>
              </w:rPr>
              <w:t>’</w:t>
            </w:r>
            <w:r w:rsidRPr="262CC662">
              <w:rPr>
                <w:rFonts w:asciiTheme="minorHAnsi" w:hAnsiTheme="minorHAnsi"/>
                <w:sz w:val="20"/>
                <w:szCs w:val="20"/>
                <w:lang w:val="en-US"/>
              </w:rPr>
              <w:t xml:space="preserve"> means a place of business which is a part of the management company, which has no legal personality and which provides the services for which the management company has been authorised";</w:t>
            </w:r>
          </w:p>
          <w:p w14:paraId="5EB59901" w14:textId="07E90BE0" w:rsidR="00A90803" w:rsidRPr="00B30324" w:rsidRDefault="00A90803" w:rsidP="00A90803">
            <w:pPr>
              <w:pStyle w:val="InstructionsText2"/>
              <w:rPr>
                <w:rFonts w:asciiTheme="minorHAnsi" w:hAnsiTheme="minorHAnsi"/>
                <w:sz w:val="20"/>
                <w:szCs w:val="20"/>
                <w:lang w:val="fr-BE"/>
              </w:rPr>
            </w:pPr>
            <w:r w:rsidRPr="00B30324">
              <w:rPr>
                <w:rFonts w:asciiTheme="minorHAnsi" w:hAnsiTheme="minorHAnsi"/>
                <w:sz w:val="20"/>
                <w:szCs w:val="20"/>
                <w:lang w:val="fr-BE"/>
              </w:rPr>
              <w:t>4) For PIs, Directive 2015/2366/EU (PSD2), Article 4(1)(</w:t>
            </w:r>
            <w:r w:rsidR="00E53287" w:rsidRPr="00B30324">
              <w:rPr>
                <w:rFonts w:asciiTheme="minorHAnsi" w:hAnsiTheme="minorHAnsi"/>
                <w:sz w:val="20"/>
                <w:szCs w:val="20"/>
                <w:lang w:val="fr-BE"/>
              </w:rPr>
              <w:t>39</w:t>
            </w:r>
            <w:r w:rsidRPr="00B30324">
              <w:rPr>
                <w:rFonts w:asciiTheme="minorHAnsi" w:hAnsiTheme="minorHAnsi"/>
                <w:sz w:val="20"/>
                <w:szCs w:val="20"/>
                <w:lang w:val="fr-BE"/>
              </w:rPr>
              <w:t>):</w:t>
            </w:r>
          </w:p>
          <w:p w14:paraId="01FB659B" w14:textId="7B6503A4" w:rsidR="00A90803" w:rsidRPr="00FD5BC8" w:rsidRDefault="001177E0" w:rsidP="00A90803">
            <w:pPr>
              <w:pStyle w:val="InstructionsText2"/>
              <w:rPr>
                <w:rFonts w:asciiTheme="minorHAnsi" w:hAnsiTheme="minorHAnsi"/>
                <w:sz w:val="20"/>
                <w:lang w:val="en-US"/>
              </w:rPr>
            </w:pPr>
            <w:r>
              <w:t>“</w:t>
            </w:r>
            <w:r w:rsidR="0013347F" w:rsidRPr="0013347F">
              <w:rPr>
                <w:rFonts w:asciiTheme="minorHAnsi" w:hAnsiTheme="minorHAnsi"/>
                <w:sz w:val="20"/>
                <w:lang w:val="en-US"/>
              </w:rPr>
              <w:t>branch’ means a place of business other than the head office which is a part of a payment institution, which has no legal personality and which carries out directly some or all of the transactions inherent in the business of a payment institution; all of the places of business set up in the same Member State by a payment institution with a head office in another Member State shall be regarded as a single branch</w:t>
            </w:r>
            <w:r>
              <w:rPr>
                <w:rFonts w:asciiTheme="minorHAnsi" w:hAnsiTheme="minorHAnsi"/>
                <w:sz w:val="20"/>
                <w:lang w:val="en-US"/>
              </w:rPr>
              <w:t>”</w:t>
            </w:r>
            <w:r w:rsidR="0013347F" w:rsidRPr="0013347F">
              <w:rPr>
                <w:rFonts w:asciiTheme="minorHAnsi" w:hAnsiTheme="minorHAnsi"/>
                <w:sz w:val="20"/>
                <w:lang w:val="en-US"/>
              </w:rPr>
              <w:t>;</w:t>
            </w:r>
          </w:p>
        </w:tc>
      </w:tr>
      <w:tr w:rsidR="005E211E" w:rsidRPr="009B282E" w14:paraId="5AD1C804" w14:textId="77777777" w:rsidTr="262CC662">
        <w:tc>
          <w:tcPr>
            <w:tcW w:w="1673" w:type="dxa"/>
            <w:tcBorders>
              <w:top w:val="single" w:sz="4" w:space="0" w:color="auto"/>
              <w:left w:val="single" w:sz="4" w:space="0" w:color="auto"/>
              <w:bottom w:val="single" w:sz="4" w:space="0" w:color="auto"/>
              <w:right w:val="single" w:sz="4" w:space="0" w:color="auto"/>
            </w:tcBorders>
            <w:vAlign w:val="center"/>
          </w:tcPr>
          <w:p w14:paraId="4DB2C9B4" w14:textId="5775201A" w:rsidR="00A90803" w:rsidRPr="009275BC" w:rsidRDefault="00A90803" w:rsidP="00F32516">
            <w:pPr>
              <w:pStyle w:val="InstructionsText"/>
              <w:rPr>
                <w:rStyle w:val="FormatvorlageInstructionsTabelleText"/>
                <w:rFonts w:asciiTheme="minorHAnsi" w:hAnsiTheme="minorHAnsi"/>
                <w:bCs/>
              </w:rPr>
            </w:pPr>
            <w:r w:rsidRPr="00A70B3F">
              <w:t>C0170</w:t>
            </w:r>
          </w:p>
        </w:tc>
        <w:tc>
          <w:tcPr>
            <w:tcW w:w="7616" w:type="dxa"/>
            <w:tcBorders>
              <w:top w:val="nil"/>
              <w:left w:val="single" w:sz="4" w:space="0" w:color="auto"/>
              <w:bottom w:val="single" w:sz="4" w:space="0" w:color="auto"/>
              <w:right w:val="single" w:sz="4" w:space="0" w:color="auto"/>
            </w:tcBorders>
            <w:vAlign w:val="center"/>
          </w:tcPr>
          <w:p w14:paraId="4723A9E0" w14:textId="194EAB9E" w:rsidR="00A90803" w:rsidRPr="00F76CF8" w:rsidRDefault="00A90803" w:rsidP="00A90803">
            <w:pPr>
              <w:pStyle w:val="InstructionsText2"/>
              <w:rPr>
                <w:rFonts w:asciiTheme="minorHAnsi" w:hAnsiTheme="minorHAnsi"/>
                <w:b/>
                <w:bCs/>
                <w:sz w:val="20"/>
                <w:u w:val="single"/>
                <w:lang w:val="en-US"/>
              </w:rPr>
            </w:pPr>
            <w:r w:rsidRPr="00F76CF8">
              <w:rPr>
                <w:rFonts w:asciiTheme="minorHAnsi" w:hAnsiTheme="minorHAnsi"/>
                <w:b/>
                <w:bCs/>
                <w:sz w:val="20"/>
                <w:u w:val="single"/>
                <w:lang w:val="en-US"/>
              </w:rPr>
              <w:t>Number of subsidiaries by country</w:t>
            </w:r>
          </w:p>
          <w:p w14:paraId="01AF0238" w14:textId="77777777" w:rsidR="00984BA8" w:rsidRPr="00984BA8" w:rsidRDefault="00984BA8" w:rsidP="00984BA8">
            <w:pPr>
              <w:pStyle w:val="InstructionsText2"/>
              <w:rPr>
                <w:rFonts w:asciiTheme="minorHAnsi" w:hAnsiTheme="minorHAnsi"/>
                <w:bCs/>
                <w:iCs/>
                <w:sz w:val="20"/>
                <w:lang w:val="en-US"/>
              </w:rPr>
            </w:pPr>
            <w:r w:rsidRPr="00984BA8">
              <w:rPr>
                <w:rFonts w:asciiTheme="minorHAnsi" w:hAnsiTheme="minorHAnsi"/>
                <w:bCs/>
                <w:iCs/>
                <w:sz w:val="20"/>
                <w:lang w:val="en-US"/>
              </w:rPr>
              <w:t xml:space="preserve">This datapoint is applicable for all sectors. </w:t>
            </w:r>
          </w:p>
          <w:p w14:paraId="5EF0E6C4" w14:textId="6337873C" w:rsidR="00A90803" w:rsidRPr="00135B9D" w:rsidRDefault="008A1BBF" w:rsidP="00A90803">
            <w:pPr>
              <w:pStyle w:val="InstructionsText2"/>
              <w:rPr>
                <w:rFonts w:asciiTheme="minorHAnsi" w:hAnsiTheme="minorHAnsi"/>
                <w:sz w:val="20"/>
                <w:szCs w:val="20"/>
                <w:lang w:val="en-US"/>
              </w:rPr>
            </w:pPr>
            <w:r>
              <w:rPr>
                <w:rFonts w:asciiTheme="minorHAnsi" w:hAnsiTheme="minorHAnsi"/>
                <w:bCs/>
                <w:iCs/>
                <w:sz w:val="20"/>
                <w:lang w:val="en-US"/>
              </w:rPr>
              <w:t>For the purpose of this reporting, a</w:t>
            </w:r>
            <w:r w:rsidRPr="008A1BBF">
              <w:rPr>
                <w:rFonts w:asciiTheme="minorHAnsi" w:hAnsiTheme="minorHAnsi"/>
                <w:bCs/>
                <w:iCs/>
                <w:sz w:val="20"/>
                <w:lang w:val="en-US"/>
              </w:rPr>
              <w:t xml:space="preserve"> subsidiary is an undertaking that is an obliged entity</w:t>
            </w:r>
            <w:r w:rsidR="002E248D" w:rsidRPr="002E248D">
              <w:rPr>
                <w:rFonts w:asciiTheme="minorHAnsi" w:hAnsiTheme="minorHAnsi"/>
                <w:bCs/>
                <w:iCs/>
                <w:sz w:val="20"/>
                <w:lang w:val="en-US"/>
              </w:rPr>
              <w:t>,</w:t>
            </w:r>
            <w:r w:rsidRPr="008A1BBF">
              <w:rPr>
                <w:rFonts w:asciiTheme="minorHAnsi" w:hAnsiTheme="minorHAnsi"/>
                <w:bCs/>
                <w:iCs/>
                <w:sz w:val="20"/>
                <w:lang w:val="en-US"/>
              </w:rPr>
              <w:t xml:space="preserve"> inside or outside the EU, controlled by the reporting</w:t>
            </w:r>
            <w:r>
              <w:rPr>
                <w:rFonts w:asciiTheme="minorHAnsi" w:hAnsiTheme="minorHAnsi"/>
                <w:bCs/>
                <w:iCs/>
                <w:sz w:val="20"/>
                <w:lang w:val="en-US"/>
              </w:rPr>
              <w:t xml:space="preserve"> obliged</w:t>
            </w:r>
            <w:r w:rsidRPr="008A1BBF">
              <w:rPr>
                <w:rFonts w:asciiTheme="minorHAnsi" w:hAnsiTheme="minorHAnsi"/>
                <w:bCs/>
                <w:iCs/>
                <w:sz w:val="20"/>
                <w:lang w:val="en-US"/>
              </w:rPr>
              <w:t xml:space="preserve"> entity and that is not a branch</w:t>
            </w:r>
            <w:r w:rsidR="00543AEE">
              <w:rPr>
                <w:rFonts w:asciiTheme="minorHAnsi" w:hAnsiTheme="minorHAnsi"/>
                <w:bCs/>
                <w:iCs/>
                <w:sz w:val="20"/>
                <w:lang w:val="en-US"/>
              </w:rPr>
              <w:t>.</w:t>
            </w:r>
            <w:r w:rsidR="00503BA3">
              <w:t xml:space="preserve"> </w:t>
            </w:r>
            <w:r w:rsidR="00503BA3" w:rsidRPr="00503BA3">
              <w:rPr>
                <w:rFonts w:asciiTheme="minorHAnsi" w:hAnsiTheme="minorHAnsi"/>
                <w:bCs/>
                <w:iCs/>
                <w:sz w:val="20"/>
                <w:lang w:val="en-US"/>
              </w:rPr>
              <w:t>Subsidiaries of such subsidiaries shall also be reported.</w:t>
            </w:r>
            <w:r w:rsidR="00492E40">
              <w:rPr>
                <w:rFonts w:asciiTheme="minorHAnsi" w:hAnsiTheme="minorHAnsi"/>
                <w:bCs/>
                <w:iCs/>
                <w:sz w:val="20"/>
                <w:lang w:val="en-US"/>
              </w:rPr>
              <w:t xml:space="preserve"> </w:t>
            </w:r>
            <w:r w:rsidR="39B56E27" w:rsidRPr="5E53EA6E">
              <w:rPr>
                <w:rStyle w:val="FormatvorlageInstructionsTabelleText"/>
                <w:rFonts w:asciiTheme="minorHAnsi" w:hAnsiTheme="minorHAnsi"/>
              </w:rPr>
              <w:t>As of end of the reference year.</w:t>
            </w:r>
            <w:r w:rsidR="39B56E27" w:rsidRPr="5E53EA6E">
              <w:rPr>
                <w:rFonts w:asciiTheme="minorHAnsi" w:hAnsiTheme="minorHAnsi"/>
                <w:sz w:val="20"/>
                <w:szCs w:val="20"/>
                <w:lang w:val="en-US"/>
              </w:rPr>
              <w:t xml:space="preserve"> </w:t>
            </w:r>
          </w:p>
        </w:tc>
      </w:tr>
    </w:tbl>
    <w:p w14:paraId="7DCF7A2F" w14:textId="42A00C3C" w:rsidR="0080527E" w:rsidRPr="00DE2EE9" w:rsidRDefault="00980502" w:rsidP="008B2BFD">
      <w:pPr>
        <w:pStyle w:val="Heading2"/>
        <w:rPr>
          <w:rFonts w:asciiTheme="minorHAnsi" w:hAnsiTheme="minorHAnsi"/>
          <w:lang w:val="en-IE"/>
        </w:rPr>
      </w:pPr>
      <w:bookmarkStart w:id="270" w:name="_Toc223086593"/>
      <w:bookmarkStart w:id="271" w:name="_Toc223086687"/>
      <w:bookmarkStart w:id="272" w:name="_Toc223086781"/>
      <w:bookmarkStart w:id="273" w:name="_Toc223086875"/>
      <w:bookmarkStart w:id="274" w:name="_Toc221355998"/>
      <w:bookmarkStart w:id="275" w:name="_Toc223104864"/>
      <w:bookmarkEnd w:id="270"/>
      <w:bookmarkEnd w:id="271"/>
      <w:bookmarkEnd w:id="272"/>
      <w:bookmarkEnd w:id="273"/>
      <w:r>
        <w:rPr>
          <w:rFonts w:asciiTheme="minorHAnsi" w:hAnsiTheme="minorHAnsi"/>
          <w:lang w:val="en-IE"/>
        </w:rPr>
        <w:t>AML</w:t>
      </w:r>
      <w:r w:rsidR="004C2AE2">
        <w:rPr>
          <w:rFonts w:asciiTheme="minorHAnsi" w:hAnsiTheme="minorHAnsi"/>
          <w:lang w:val="en-IE"/>
        </w:rPr>
        <w:t>.</w:t>
      </w:r>
      <w:r>
        <w:rPr>
          <w:rFonts w:asciiTheme="minorHAnsi" w:hAnsiTheme="minorHAnsi"/>
          <w:lang w:val="en-IE"/>
        </w:rPr>
        <w:t xml:space="preserve">06.01 </w:t>
      </w:r>
      <w:r w:rsidR="0080527E" w:rsidRPr="00DE2EE9">
        <w:rPr>
          <w:rFonts w:asciiTheme="minorHAnsi" w:hAnsiTheme="minorHAnsi"/>
          <w:lang w:val="en-IE"/>
        </w:rPr>
        <w:t>Distribution Channels</w:t>
      </w:r>
      <w:bookmarkEnd w:id="274"/>
      <w:bookmarkEnd w:id="275"/>
    </w:p>
    <w:p w14:paraId="3CC98F19" w14:textId="77777777" w:rsidR="008E1D72" w:rsidRPr="00A017EB" w:rsidRDefault="008E1D72" w:rsidP="008E1D72">
      <w:pPr>
        <w:rPr>
          <w:rFonts w:asciiTheme="minorHAnsi" w:hAnsiTheme="minorHAnsi"/>
          <w:b/>
          <w:bCs/>
          <w:iCs/>
        </w:rPr>
      </w:pPr>
      <w:r w:rsidRPr="00A017EB">
        <w:rPr>
          <w:rFonts w:asciiTheme="minorHAnsi" w:hAnsiTheme="minorHAnsi"/>
          <w:b/>
          <w:bCs/>
          <w:iCs/>
        </w:rPr>
        <w:t>Template Remarks</w:t>
      </w:r>
    </w:p>
    <w:p w14:paraId="6EEE0A3D" w14:textId="718755D9" w:rsidR="00C317CD" w:rsidRPr="00612A74" w:rsidRDefault="00215E25" w:rsidP="00135B9D">
      <w:pPr>
        <w:rPr>
          <w:lang w:val="en-IE"/>
        </w:rPr>
      </w:pPr>
      <w:r w:rsidRPr="00612A74">
        <w:rPr>
          <w:rFonts w:asciiTheme="minorHAnsi" w:eastAsia="Times New Roman" w:hAnsiTheme="minorHAnsi"/>
          <w:color w:val="auto"/>
          <w:kern w:val="0"/>
          <w:sz w:val="20"/>
          <w:szCs w:val="24"/>
          <w:lang w:eastAsia="de-DE"/>
        </w:rPr>
        <w:t>This</w:t>
      </w:r>
      <w:r w:rsidRPr="00612A74">
        <w:rPr>
          <w:rFonts w:eastAsiaTheme="minorEastAsia" w:cstheme="minorBidi"/>
          <w:color w:val="auto"/>
          <w:lang w:eastAsia="en-US"/>
        </w:rPr>
        <w:t xml:space="preserve"> template (cluster of datapoints) is applicable for all sectors (unless it is mentioned in the datapoint otherwise). </w:t>
      </w:r>
    </w:p>
    <w:tbl>
      <w:tblPr>
        <w:tblW w:w="92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3"/>
        <w:gridCol w:w="7616"/>
      </w:tblGrid>
      <w:tr w:rsidR="005E211E" w:rsidRPr="009B282E" w14:paraId="4FDB0B0C" w14:textId="77777777" w:rsidTr="07B633FE">
        <w:tc>
          <w:tcPr>
            <w:tcW w:w="16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5987B8" w14:textId="77777777" w:rsidR="00385644" w:rsidRPr="009275BC" w:rsidRDefault="00385644" w:rsidP="00F32516">
            <w:pPr>
              <w:pStyle w:val="InstructionsText"/>
              <w:rPr>
                <w:rStyle w:val="InstructionsTabelleText"/>
                <w:rFonts w:asciiTheme="minorHAnsi" w:hAnsiTheme="minorHAnsi"/>
                <w:bCs w:val="0"/>
                <w:lang w:eastAsia="en-US"/>
              </w:rPr>
            </w:pPr>
          </w:p>
        </w:tc>
        <w:tc>
          <w:tcPr>
            <w:tcW w:w="76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B84FD3" w14:textId="77777777" w:rsidR="00385644" w:rsidRPr="009275BC" w:rsidRDefault="00385644" w:rsidP="00F32516">
            <w:pPr>
              <w:pStyle w:val="InstructionsText"/>
              <w:rPr>
                <w:rStyle w:val="InstructionsTabelleText"/>
                <w:rFonts w:asciiTheme="minorHAnsi" w:hAnsiTheme="minorHAnsi"/>
                <w:bCs w:val="0"/>
                <w:lang w:eastAsia="en-US"/>
              </w:rPr>
            </w:pPr>
          </w:p>
        </w:tc>
      </w:tr>
      <w:tr w:rsidR="005E211E" w:rsidRPr="009B282E" w14:paraId="66074FB2" w14:textId="77777777" w:rsidTr="00DE2EE9">
        <w:tc>
          <w:tcPr>
            <w:tcW w:w="1673" w:type="dxa"/>
            <w:tcBorders>
              <w:top w:val="single" w:sz="4" w:space="0" w:color="auto"/>
              <w:left w:val="single" w:sz="4" w:space="0" w:color="auto"/>
              <w:bottom w:val="single" w:sz="4" w:space="0" w:color="auto"/>
              <w:right w:val="single" w:sz="4" w:space="0" w:color="auto"/>
            </w:tcBorders>
            <w:vAlign w:val="center"/>
          </w:tcPr>
          <w:p w14:paraId="7FE9CE3A" w14:textId="05D98FE8" w:rsidR="00EF583E" w:rsidRPr="009275BC" w:rsidRDefault="00145298"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C0010</w:t>
            </w:r>
          </w:p>
        </w:tc>
        <w:tc>
          <w:tcPr>
            <w:tcW w:w="7616" w:type="dxa"/>
            <w:tcBorders>
              <w:top w:val="single" w:sz="8" w:space="0" w:color="auto"/>
              <w:left w:val="single" w:sz="4" w:space="0" w:color="000000" w:themeColor="text1"/>
              <w:bottom w:val="single" w:sz="4" w:space="0" w:color="000000" w:themeColor="text1"/>
              <w:right w:val="single" w:sz="4" w:space="0" w:color="000000" w:themeColor="text1"/>
            </w:tcBorders>
            <w:vAlign w:val="center"/>
          </w:tcPr>
          <w:p w14:paraId="10D3150A" w14:textId="77777777" w:rsidR="00491899" w:rsidRDefault="00EF583E" w:rsidP="001E4C88">
            <w:pPr>
              <w:pStyle w:val="InstructionsText2"/>
              <w:rPr>
                <w:rFonts w:asciiTheme="minorHAnsi" w:eastAsia="Verdana" w:hAnsiTheme="minorHAnsi" w:cs="Verdana"/>
                <w:b/>
                <w:sz w:val="20"/>
                <w:szCs w:val="20"/>
                <w:u w:val="single"/>
                <w:lang w:val="en-US"/>
              </w:rPr>
            </w:pPr>
            <w:r w:rsidRPr="00DE2EE9">
              <w:rPr>
                <w:rFonts w:asciiTheme="minorHAnsi" w:eastAsia="Verdana" w:hAnsiTheme="minorHAnsi" w:cs="Verdana"/>
                <w:b/>
                <w:sz w:val="20"/>
                <w:szCs w:val="20"/>
                <w:u w:val="single"/>
                <w:lang w:val="en-US"/>
              </w:rPr>
              <w:t>Country</w:t>
            </w:r>
          </w:p>
          <w:p w14:paraId="47997AC2" w14:textId="6FF55BEB" w:rsidR="00EF583E" w:rsidRPr="00DE2EE9" w:rsidRDefault="00DE6625" w:rsidP="001E4C88">
            <w:pPr>
              <w:pStyle w:val="InstructionsText2"/>
              <w:rPr>
                <w:rFonts w:asciiTheme="minorHAnsi" w:eastAsia="Verdana" w:hAnsiTheme="minorHAnsi" w:cs="Verdana"/>
                <w:b/>
                <w:sz w:val="20"/>
                <w:szCs w:val="20"/>
                <w:u w:val="single"/>
                <w:lang w:val="en-US"/>
              </w:rPr>
            </w:pPr>
            <w:r>
              <w:rPr>
                <w:rFonts w:asciiTheme="minorHAnsi" w:eastAsia="Verdana" w:hAnsiTheme="minorHAnsi" w:cs="Verdana"/>
                <w:sz w:val="20"/>
              </w:rPr>
              <w:t>Select</w:t>
            </w:r>
            <w:r w:rsidRPr="00800992">
              <w:rPr>
                <w:rFonts w:asciiTheme="minorHAnsi" w:eastAsia="Verdana" w:hAnsiTheme="minorHAnsi" w:cs="Verdana"/>
                <w:sz w:val="20"/>
              </w:rPr>
              <w:t xml:space="preserve"> </w:t>
            </w:r>
            <w:r w:rsidR="00491899" w:rsidRPr="00800992">
              <w:rPr>
                <w:rFonts w:asciiTheme="minorHAnsi" w:eastAsia="Verdana" w:hAnsiTheme="minorHAnsi" w:cs="Verdana"/>
                <w:sz w:val="20"/>
              </w:rPr>
              <w:t>the country using the ISO 3166-1 alpha-2 code.</w:t>
            </w:r>
          </w:p>
        </w:tc>
      </w:tr>
      <w:tr w:rsidR="005E211E" w:rsidRPr="009B282E" w14:paraId="15525234" w14:textId="77777777" w:rsidTr="00DE2EE9">
        <w:tc>
          <w:tcPr>
            <w:tcW w:w="1673" w:type="dxa"/>
            <w:tcBorders>
              <w:top w:val="single" w:sz="4" w:space="0" w:color="auto"/>
              <w:left w:val="single" w:sz="4" w:space="0" w:color="auto"/>
              <w:bottom w:val="single" w:sz="4" w:space="0" w:color="auto"/>
              <w:right w:val="single" w:sz="4" w:space="0" w:color="auto"/>
            </w:tcBorders>
            <w:vAlign w:val="center"/>
          </w:tcPr>
          <w:p w14:paraId="3EC73B52" w14:textId="4B4BB6B0" w:rsidR="00730B5B" w:rsidRPr="009275BC" w:rsidRDefault="00006EBC"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w:t>
            </w:r>
            <w:r w:rsidR="000169F9">
              <w:rPr>
                <w:rStyle w:val="FormatvorlageInstructionsTabelleText"/>
                <w:rFonts w:asciiTheme="minorHAnsi" w:hAnsiTheme="minorHAnsi"/>
              </w:rPr>
              <w:t>20</w:t>
            </w:r>
          </w:p>
        </w:tc>
        <w:tc>
          <w:tcPr>
            <w:tcW w:w="7616" w:type="dxa"/>
            <w:tcBorders>
              <w:top w:val="nil"/>
              <w:left w:val="single" w:sz="4" w:space="0" w:color="000000" w:themeColor="text1"/>
              <w:bottom w:val="single" w:sz="4" w:space="0" w:color="000000" w:themeColor="text1"/>
              <w:right w:val="single" w:sz="4" w:space="0" w:color="000000" w:themeColor="text1"/>
            </w:tcBorders>
            <w:vAlign w:val="center"/>
          </w:tcPr>
          <w:p w14:paraId="11126425" w14:textId="77777777" w:rsidR="00730B5B" w:rsidRPr="00DE2EE9" w:rsidRDefault="00730B5B" w:rsidP="00730B5B">
            <w:pPr>
              <w:pStyle w:val="InstructionsText2"/>
              <w:rPr>
                <w:rFonts w:asciiTheme="minorHAnsi" w:eastAsia="Verdana" w:hAnsiTheme="minorHAnsi" w:cs="Verdana"/>
                <w:b/>
                <w:sz w:val="20"/>
                <w:szCs w:val="20"/>
                <w:u w:val="single"/>
                <w:lang w:val="en-US"/>
              </w:rPr>
            </w:pPr>
            <w:r w:rsidRPr="00DE2EE9">
              <w:rPr>
                <w:rFonts w:asciiTheme="minorHAnsi" w:eastAsia="Verdana" w:hAnsiTheme="minorHAnsi" w:cs="Verdana"/>
                <w:b/>
                <w:sz w:val="20"/>
                <w:szCs w:val="20"/>
                <w:u w:val="single"/>
                <w:lang w:val="en-US"/>
              </w:rPr>
              <w:t>Number of agents by country</w:t>
            </w:r>
          </w:p>
          <w:p w14:paraId="34689D64" w14:textId="037CA692" w:rsidR="00514958" w:rsidRDefault="00514958" w:rsidP="0058365B">
            <w:pPr>
              <w:pStyle w:val="InstructionsText2"/>
              <w:rPr>
                <w:rFonts w:asciiTheme="minorHAnsi" w:eastAsia="Verdana" w:hAnsiTheme="minorHAnsi" w:cs="Verdana"/>
                <w:sz w:val="20"/>
                <w:szCs w:val="20"/>
                <w:lang w:val="en-US"/>
              </w:rPr>
            </w:pPr>
            <w:r w:rsidRPr="00984BA8">
              <w:rPr>
                <w:rFonts w:asciiTheme="minorHAnsi" w:eastAsia="Verdana" w:hAnsiTheme="minorHAnsi" w:cs="Verdana"/>
                <w:bCs/>
                <w:iCs/>
                <w:sz w:val="20"/>
                <w:szCs w:val="20"/>
                <w:lang w:val="en-US"/>
              </w:rPr>
              <w:t xml:space="preserve">This datapoint is </w:t>
            </w:r>
            <w:r>
              <w:rPr>
                <w:rFonts w:asciiTheme="minorHAnsi" w:eastAsia="Verdana" w:hAnsiTheme="minorHAnsi" w:cs="Verdana"/>
                <w:bCs/>
                <w:iCs/>
                <w:sz w:val="20"/>
                <w:szCs w:val="20"/>
                <w:lang w:val="en-US"/>
              </w:rPr>
              <w:t>only</w:t>
            </w:r>
            <w:r w:rsidRPr="00514958">
              <w:rPr>
                <w:rFonts w:asciiTheme="minorHAnsi" w:eastAsia="Verdana" w:hAnsiTheme="minorHAnsi" w:cs="Verdana"/>
                <w:bCs/>
                <w:iCs/>
                <w:sz w:val="20"/>
                <w:szCs w:val="20"/>
                <w:lang w:val="en-US"/>
              </w:rPr>
              <w:t xml:space="preserve"> </w:t>
            </w:r>
            <w:r w:rsidRPr="00984BA8">
              <w:rPr>
                <w:rFonts w:asciiTheme="minorHAnsi" w:eastAsia="Verdana" w:hAnsiTheme="minorHAnsi" w:cs="Verdana"/>
                <w:bCs/>
                <w:iCs/>
                <w:sz w:val="20"/>
                <w:szCs w:val="20"/>
                <w:lang w:val="en-US"/>
              </w:rPr>
              <w:t>applicable for</w:t>
            </w:r>
            <w:r w:rsidRPr="00514958">
              <w:rPr>
                <w:rFonts w:asciiTheme="minorHAnsi" w:eastAsia="Verdana" w:hAnsiTheme="minorHAnsi" w:cs="Verdana"/>
                <w:bCs/>
                <w:iCs/>
                <w:sz w:val="20"/>
                <w:szCs w:val="20"/>
                <w:lang w:val="en-US"/>
              </w:rPr>
              <w:t xml:space="preserve"> </w:t>
            </w:r>
            <w:r>
              <w:rPr>
                <w:rFonts w:asciiTheme="minorHAnsi" w:eastAsia="Verdana" w:hAnsiTheme="minorHAnsi" w:cs="Verdana"/>
                <w:bCs/>
                <w:iCs/>
                <w:sz w:val="20"/>
                <w:szCs w:val="20"/>
                <w:lang w:val="en-US"/>
              </w:rPr>
              <w:t>EMI, PI and IF</w:t>
            </w:r>
            <w:r w:rsidRPr="00514958">
              <w:rPr>
                <w:rFonts w:asciiTheme="minorHAnsi" w:eastAsia="Verdana" w:hAnsiTheme="minorHAnsi" w:cs="Verdana"/>
                <w:bCs/>
                <w:sz w:val="20"/>
                <w:szCs w:val="20"/>
                <w:lang w:val="en-US"/>
              </w:rPr>
              <w:t>.</w:t>
            </w:r>
          </w:p>
          <w:p w14:paraId="5E02ECA7" w14:textId="45EED770" w:rsidR="003C5E13" w:rsidRDefault="4D86B625" w:rsidP="0058365B">
            <w:pPr>
              <w:pStyle w:val="InstructionsText2"/>
              <w:rPr>
                <w:rFonts w:asciiTheme="minorHAnsi" w:eastAsia="Verdana" w:hAnsiTheme="minorHAnsi" w:cs="Verdana"/>
                <w:sz w:val="20"/>
                <w:szCs w:val="20"/>
                <w:lang w:val="en-US"/>
              </w:rPr>
            </w:pPr>
            <w:r w:rsidRPr="520FA887">
              <w:rPr>
                <w:rFonts w:asciiTheme="minorHAnsi" w:eastAsia="Verdana" w:hAnsiTheme="minorHAnsi" w:cs="Verdana"/>
                <w:sz w:val="20"/>
                <w:szCs w:val="20"/>
                <w:lang w:val="en-US"/>
              </w:rPr>
              <w:t xml:space="preserve">As of the end of the reference year. </w:t>
            </w:r>
          </w:p>
          <w:p w14:paraId="09E39C4E" w14:textId="77777777" w:rsidR="0058365B" w:rsidRPr="00DE2EE9" w:rsidRDefault="0058365B" w:rsidP="0058365B">
            <w:pPr>
              <w:pStyle w:val="InstructionsText2"/>
              <w:rPr>
                <w:rFonts w:asciiTheme="minorHAnsi" w:eastAsia="Verdana" w:hAnsiTheme="minorHAnsi" w:cs="Verdana"/>
                <w:sz w:val="20"/>
                <w:szCs w:val="20"/>
                <w:lang w:val="en-US"/>
              </w:rPr>
            </w:pPr>
            <w:r w:rsidRPr="00DE2EE9">
              <w:rPr>
                <w:rFonts w:asciiTheme="minorHAnsi" w:eastAsia="Verdana" w:hAnsiTheme="minorHAnsi" w:cs="Verdana"/>
                <w:sz w:val="20"/>
                <w:szCs w:val="20"/>
                <w:lang w:val="en-US"/>
              </w:rPr>
              <w:t>For PI: An agent within the meaning of Article 4(38) of Directive (EU) 2015/2366 (a natural or legal person who acts on behalf of a payment institution in providing payment services).</w:t>
            </w:r>
          </w:p>
          <w:p w14:paraId="7C3B9865" w14:textId="43145650" w:rsidR="0058365B" w:rsidRPr="00DE2EE9" w:rsidRDefault="0058365B" w:rsidP="0058365B">
            <w:pPr>
              <w:pStyle w:val="InstructionsText2"/>
              <w:rPr>
                <w:rFonts w:asciiTheme="minorHAnsi" w:eastAsia="Verdana" w:hAnsiTheme="minorHAnsi" w:cs="Verdana"/>
                <w:sz w:val="20"/>
                <w:szCs w:val="20"/>
                <w:lang w:val="en-US"/>
              </w:rPr>
            </w:pPr>
            <w:r w:rsidRPr="00DE2EE9">
              <w:rPr>
                <w:rFonts w:asciiTheme="minorHAnsi" w:eastAsia="Verdana" w:hAnsiTheme="minorHAnsi" w:cs="Verdana"/>
                <w:sz w:val="20"/>
                <w:szCs w:val="20"/>
                <w:lang w:val="en-US"/>
              </w:rPr>
              <w:t>For IF: Agents should be understood as ‘tied agents’.</w:t>
            </w:r>
          </w:p>
        </w:tc>
      </w:tr>
      <w:tr w:rsidR="005E211E" w:rsidRPr="009B282E" w14:paraId="2E3CFC72" w14:textId="77777777" w:rsidTr="00DE2EE9">
        <w:tc>
          <w:tcPr>
            <w:tcW w:w="1673" w:type="dxa"/>
            <w:tcBorders>
              <w:top w:val="single" w:sz="4" w:space="0" w:color="auto"/>
              <w:left w:val="single" w:sz="4" w:space="0" w:color="auto"/>
              <w:bottom w:val="single" w:sz="4" w:space="0" w:color="auto"/>
              <w:right w:val="single" w:sz="4" w:space="0" w:color="auto"/>
            </w:tcBorders>
            <w:vAlign w:val="center"/>
          </w:tcPr>
          <w:p w14:paraId="122863F1" w14:textId="76CBCEFB" w:rsidR="00730B5B" w:rsidRPr="009275BC" w:rsidRDefault="00006EBC"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w:t>
            </w:r>
            <w:r w:rsidR="000169F9">
              <w:rPr>
                <w:rStyle w:val="FormatvorlageInstructionsTabelleText"/>
                <w:rFonts w:asciiTheme="minorHAnsi" w:hAnsiTheme="minorHAnsi"/>
              </w:rPr>
              <w:t>30</w:t>
            </w:r>
          </w:p>
        </w:tc>
        <w:tc>
          <w:tcPr>
            <w:tcW w:w="7616" w:type="dxa"/>
            <w:tcBorders>
              <w:top w:val="nil"/>
              <w:left w:val="single" w:sz="4" w:space="0" w:color="000000" w:themeColor="text1"/>
              <w:bottom w:val="single" w:sz="4" w:space="0" w:color="000000" w:themeColor="text1"/>
              <w:right w:val="single" w:sz="4" w:space="0" w:color="000000" w:themeColor="text1"/>
            </w:tcBorders>
            <w:vAlign w:val="center"/>
          </w:tcPr>
          <w:p w14:paraId="4656F86B" w14:textId="52754463" w:rsidR="00491899" w:rsidRDefault="00730B5B" w:rsidP="00730B5B">
            <w:pPr>
              <w:pStyle w:val="InstructionsText2"/>
              <w:rPr>
                <w:rFonts w:asciiTheme="minorHAnsi" w:eastAsia="Verdana" w:hAnsiTheme="minorHAnsi" w:cs="Verdana"/>
                <w:sz w:val="20"/>
                <w:szCs w:val="20"/>
                <w:lang w:val="en-US"/>
              </w:rPr>
            </w:pPr>
            <w:r w:rsidRPr="00DE2EE9">
              <w:rPr>
                <w:rFonts w:asciiTheme="minorHAnsi" w:eastAsia="Verdana" w:hAnsiTheme="minorHAnsi" w:cs="Verdana"/>
                <w:b/>
                <w:sz w:val="20"/>
                <w:szCs w:val="20"/>
                <w:u w:val="single"/>
                <w:lang w:val="en-US"/>
              </w:rPr>
              <w:t>Number of distributors by country</w:t>
            </w:r>
          </w:p>
          <w:p w14:paraId="7D0A0A8D" w14:textId="47144E03" w:rsidR="001721CA" w:rsidRDefault="001721CA" w:rsidP="00730B5B">
            <w:pPr>
              <w:pStyle w:val="InstructionsText2"/>
              <w:rPr>
                <w:rFonts w:asciiTheme="minorHAnsi" w:eastAsia="Verdana" w:hAnsiTheme="minorHAnsi" w:cs="Verdana"/>
                <w:sz w:val="20"/>
                <w:szCs w:val="20"/>
                <w:lang w:val="en-US"/>
              </w:rPr>
            </w:pPr>
            <w:r w:rsidRPr="00984BA8">
              <w:rPr>
                <w:rFonts w:asciiTheme="minorHAnsi" w:eastAsia="Verdana" w:hAnsiTheme="minorHAnsi" w:cs="Verdana"/>
                <w:bCs/>
                <w:iCs/>
                <w:sz w:val="20"/>
                <w:szCs w:val="20"/>
                <w:lang w:val="en-US"/>
              </w:rPr>
              <w:t xml:space="preserve">This datapoint is </w:t>
            </w:r>
            <w:r>
              <w:rPr>
                <w:rFonts w:asciiTheme="minorHAnsi" w:eastAsia="Verdana" w:hAnsiTheme="minorHAnsi" w:cs="Verdana"/>
                <w:bCs/>
                <w:iCs/>
                <w:sz w:val="20"/>
                <w:szCs w:val="20"/>
                <w:lang w:val="en-US"/>
              </w:rPr>
              <w:t>only</w:t>
            </w:r>
            <w:r w:rsidRPr="001721CA">
              <w:rPr>
                <w:rFonts w:asciiTheme="minorHAnsi" w:eastAsia="Verdana" w:hAnsiTheme="minorHAnsi" w:cs="Verdana"/>
                <w:bCs/>
                <w:iCs/>
                <w:sz w:val="20"/>
                <w:szCs w:val="20"/>
                <w:lang w:val="en-US"/>
              </w:rPr>
              <w:t xml:space="preserve"> </w:t>
            </w:r>
            <w:r w:rsidRPr="00984BA8">
              <w:rPr>
                <w:rFonts w:asciiTheme="minorHAnsi" w:eastAsia="Verdana" w:hAnsiTheme="minorHAnsi" w:cs="Verdana"/>
                <w:bCs/>
                <w:iCs/>
                <w:sz w:val="20"/>
                <w:szCs w:val="20"/>
                <w:lang w:val="en-US"/>
              </w:rPr>
              <w:t>applicable for</w:t>
            </w:r>
            <w:r w:rsidRPr="001721CA">
              <w:rPr>
                <w:rFonts w:asciiTheme="minorHAnsi" w:eastAsia="Verdana" w:hAnsiTheme="minorHAnsi" w:cs="Verdana"/>
                <w:bCs/>
                <w:iCs/>
                <w:sz w:val="20"/>
                <w:szCs w:val="20"/>
                <w:lang w:val="en-US"/>
              </w:rPr>
              <w:t xml:space="preserve"> </w:t>
            </w:r>
            <w:r>
              <w:rPr>
                <w:rFonts w:asciiTheme="minorHAnsi" w:eastAsia="Verdana" w:hAnsiTheme="minorHAnsi" w:cs="Verdana"/>
                <w:bCs/>
                <w:iCs/>
                <w:sz w:val="20"/>
                <w:szCs w:val="20"/>
                <w:lang w:val="en-US"/>
              </w:rPr>
              <w:t>EMI</w:t>
            </w:r>
            <w:r w:rsidRPr="001721CA">
              <w:rPr>
                <w:rFonts w:asciiTheme="minorHAnsi" w:eastAsia="Verdana" w:hAnsiTheme="minorHAnsi" w:cs="Verdana"/>
                <w:bCs/>
                <w:sz w:val="20"/>
                <w:szCs w:val="20"/>
                <w:lang w:val="en-US"/>
              </w:rPr>
              <w:t>.</w:t>
            </w:r>
          </w:p>
          <w:p w14:paraId="26BB2D94" w14:textId="277F9F20" w:rsidR="00C06F95" w:rsidRDefault="4131886D" w:rsidP="00730B5B">
            <w:pPr>
              <w:pStyle w:val="InstructionsText2"/>
              <w:rPr>
                <w:rFonts w:asciiTheme="minorHAnsi" w:eastAsia="Verdana" w:hAnsiTheme="minorHAnsi" w:cs="Verdana"/>
                <w:sz w:val="20"/>
                <w:szCs w:val="20"/>
                <w:lang w:val="en-US"/>
              </w:rPr>
            </w:pPr>
            <w:r w:rsidRPr="520FA887">
              <w:rPr>
                <w:rFonts w:asciiTheme="minorHAnsi" w:eastAsia="Verdana" w:hAnsiTheme="minorHAnsi" w:cs="Verdana"/>
                <w:sz w:val="20"/>
                <w:szCs w:val="20"/>
                <w:lang w:val="en-US"/>
              </w:rPr>
              <w:t xml:space="preserve">As of the end of the reference year. </w:t>
            </w:r>
            <w:r w:rsidR="00C06F95">
              <w:rPr>
                <w:rFonts w:asciiTheme="minorHAnsi" w:eastAsia="Verdana" w:hAnsiTheme="minorHAnsi" w:cs="Verdana"/>
                <w:sz w:val="20"/>
                <w:szCs w:val="20"/>
                <w:lang w:val="en-US"/>
              </w:rPr>
              <w:t xml:space="preserve">Only to be reported by </w:t>
            </w:r>
            <w:r w:rsidR="00F02C7D">
              <w:rPr>
                <w:rFonts w:asciiTheme="minorHAnsi" w:eastAsia="Verdana" w:hAnsiTheme="minorHAnsi" w:cs="Verdana"/>
                <w:sz w:val="20"/>
                <w:szCs w:val="20"/>
                <w:lang w:val="en-US"/>
              </w:rPr>
              <w:t>EMIs</w:t>
            </w:r>
          </w:p>
          <w:p w14:paraId="328EE03B" w14:textId="07223AAC" w:rsidR="00904EB0" w:rsidRPr="00DE2EE9" w:rsidRDefault="00904EB0" w:rsidP="00730B5B">
            <w:pPr>
              <w:pStyle w:val="InstructionsText2"/>
              <w:rPr>
                <w:rFonts w:asciiTheme="minorHAnsi" w:eastAsia="Verdana" w:hAnsiTheme="minorHAnsi" w:cs="Verdana"/>
                <w:sz w:val="20"/>
                <w:szCs w:val="20"/>
                <w:lang w:val="en-US"/>
              </w:rPr>
            </w:pPr>
            <w:r w:rsidRPr="00DE2EE9">
              <w:rPr>
                <w:rFonts w:asciiTheme="minorHAnsi" w:eastAsia="Verdana" w:hAnsiTheme="minorHAnsi" w:cs="Verdana"/>
                <w:sz w:val="20"/>
                <w:szCs w:val="20"/>
                <w:lang w:val="en-US"/>
              </w:rPr>
              <w:t>Refers to Article 3(4) of the Directive 2009/110/EC (E-money Directive).</w:t>
            </w:r>
          </w:p>
        </w:tc>
      </w:tr>
      <w:tr w:rsidR="005E211E" w:rsidRPr="009B282E" w14:paraId="62B029AC" w14:textId="77777777" w:rsidTr="00DE2EE9">
        <w:tc>
          <w:tcPr>
            <w:tcW w:w="1673" w:type="dxa"/>
            <w:tcBorders>
              <w:top w:val="single" w:sz="4" w:space="0" w:color="auto"/>
              <w:left w:val="single" w:sz="4" w:space="0" w:color="auto"/>
              <w:bottom w:val="single" w:sz="4" w:space="0" w:color="auto"/>
              <w:right w:val="single" w:sz="4" w:space="0" w:color="auto"/>
            </w:tcBorders>
            <w:vAlign w:val="center"/>
          </w:tcPr>
          <w:p w14:paraId="74AD600D" w14:textId="03D07796" w:rsidR="00730B5B" w:rsidRPr="009275BC" w:rsidRDefault="00006EBC" w:rsidP="00F32516">
            <w:pPr>
              <w:pStyle w:val="InstructionsText"/>
              <w:rPr>
                <w:rStyle w:val="FormatvorlageInstructionsTabelleText"/>
                <w:rFonts w:asciiTheme="minorHAnsi" w:hAnsiTheme="minorHAnsi"/>
                <w:bCs/>
              </w:rPr>
            </w:pPr>
            <w:r w:rsidRPr="009275BC">
              <w:rPr>
                <w:rStyle w:val="FormatvorlageInstructionsTabelleText"/>
                <w:rFonts w:asciiTheme="minorHAnsi" w:hAnsiTheme="minorHAnsi"/>
              </w:rPr>
              <w:t>C00</w:t>
            </w:r>
            <w:r w:rsidR="000169F9">
              <w:rPr>
                <w:rStyle w:val="FormatvorlageInstructionsTabelleText"/>
                <w:rFonts w:asciiTheme="minorHAnsi" w:hAnsiTheme="minorHAnsi"/>
              </w:rPr>
              <w:t>40</w:t>
            </w:r>
          </w:p>
        </w:tc>
        <w:tc>
          <w:tcPr>
            <w:tcW w:w="7616" w:type="dxa"/>
            <w:tcBorders>
              <w:top w:val="nil"/>
              <w:left w:val="single" w:sz="4" w:space="0" w:color="000000" w:themeColor="text1"/>
              <w:bottom w:val="single" w:sz="4" w:space="0" w:color="000000" w:themeColor="text1"/>
              <w:right w:val="single" w:sz="4" w:space="0" w:color="000000" w:themeColor="text1"/>
            </w:tcBorders>
            <w:vAlign w:val="center"/>
          </w:tcPr>
          <w:p w14:paraId="38086D78" w14:textId="77777777" w:rsidR="00491899" w:rsidRDefault="00491899" w:rsidP="00730B5B">
            <w:pPr>
              <w:pStyle w:val="InstructionsText2"/>
              <w:rPr>
                <w:rFonts w:asciiTheme="minorHAnsi" w:eastAsia="Verdana" w:hAnsiTheme="minorHAnsi" w:cs="Verdana"/>
                <w:sz w:val="20"/>
                <w:szCs w:val="20"/>
                <w:lang w:val="en-US"/>
              </w:rPr>
            </w:pPr>
            <w:r w:rsidRPr="004651E0">
              <w:rPr>
                <w:rFonts w:ascii="Aptos" w:eastAsia="Verdana" w:hAnsi="Aptos" w:cs="Verdana"/>
                <w:b/>
                <w:sz w:val="20"/>
                <w:szCs w:val="20"/>
                <w:u w:val="single"/>
                <w:lang w:val="en-US"/>
              </w:rPr>
              <w:t>Gross Written Premiums through Brokers - Value</w:t>
            </w:r>
          </w:p>
          <w:p w14:paraId="0698D758" w14:textId="03F54FED" w:rsidR="00F440F1" w:rsidRPr="00F440F1" w:rsidRDefault="00F440F1" w:rsidP="00F440F1">
            <w:pPr>
              <w:pStyle w:val="InstructionsText2"/>
              <w:rPr>
                <w:rFonts w:asciiTheme="minorHAnsi" w:eastAsia="Verdana" w:hAnsiTheme="minorHAnsi" w:cs="Verdana"/>
                <w:sz w:val="20"/>
              </w:rPr>
            </w:pPr>
            <w:r w:rsidRPr="00F440F1">
              <w:rPr>
                <w:rFonts w:asciiTheme="minorHAnsi" w:eastAsia="Verdana" w:hAnsiTheme="minorHAnsi" w:cs="Verdana"/>
                <w:bCs/>
                <w:iCs/>
                <w:sz w:val="20"/>
              </w:rPr>
              <w:t>This datapoint is only applicable for</w:t>
            </w:r>
            <w:r w:rsidR="00F712EA">
              <w:rPr>
                <w:rFonts w:asciiTheme="minorHAnsi" w:eastAsia="Verdana" w:hAnsiTheme="minorHAnsi" w:cs="Verdana"/>
                <w:bCs/>
                <w:iCs/>
                <w:sz w:val="20"/>
              </w:rPr>
              <w:t xml:space="preserve"> LI</w:t>
            </w:r>
            <w:r w:rsidRPr="00F440F1">
              <w:rPr>
                <w:rFonts w:asciiTheme="minorHAnsi" w:eastAsia="Verdana" w:hAnsiTheme="minorHAnsi" w:cs="Verdana"/>
                <w:bCs/>
                <w:sz w:val="20"/>
              </w:rPr>
              <w:t>.</w:t>
            </w:r>
          </w:p>
          <w:p w14:paraId="27CB841D" w14:textId="2B00B060" w:rsidR="002A4549" w:rsidRPr="007865CF" w:rsidRDefault="002A4549" w:rsidP="00730B5B">
            <w:pPr>
              <w:pStyle w:val="InstructionsText2"/>
              <w:rPr>
                <w:rFonts w:asciiTheme="minorHAnsi" w:eastAsia="Verdana" w:hAnsiTheme="minorHAnsi" w:cs="Verdana"/>
                <w:sz w:val="20"/>
                <w:szCs w:val="20"/>
                <w:lang w:val="en-US"/>
              </w:rPr>
            </w:pPr>
            <w:r w:rsidRPr="00DE2EE9">
              <w:rPr>
                <w:rFonts w:asciiTheme="minorHAnsi" w:eastAsia="Verdana" w:hAnsiTheme="minorHAnsi" w:cs="Verdana"/>
                <w:sz w:val="20"/>
                <w:szCs w:val="20"/>
                <w:lang w:val="en-US"/>
              </w:rPr>
              <w:t>Broker: an intermediary who sells, solicits, or negotiates insurance on behalf of a client for compensation.</w:t>
            </w:r>
          </w:p>
          <w:p w14:paraId="3A4ACD3B" w14:textId="2BCB780E" w:rsidR="002A4549" w:rsidRPr="00DE2EE9" w:rsidRDefault="00AF6A53" w:rsidP="00730B5B">
            <w:pPr>
              <w:pStyle w:val="InstructionsText2"/>
              <w:rPr>
                <w:rFonts w:asciiTheme="minorHAnsi" w:eastAsia="Verdana" w:hAnsiTheme="minorHAnsi" w:cs="Verdana"/>
                <w:sz w:val="20"/>
                <w:szCs w:val="20"/>
                <w:lang w:val="en-US"/>
              </w:rPr>
            </w:pPr>
            <w:r w:rsidRPr="007865CF">
              <w:rPr>
                <w:rFonts w:asciiTheme="minorHAnsi" w:eastAsia="Verdana" w:hAnsiTheme="minorHAnsi" w:cs="Verdana"/>
                <w:sz w:val="20"/>
                <w:szCs w:val="20"/>
                <w:lang w:val="en-US"/>
              </w:rPr>
              <w:t xml:space="preserve">Indicate the </w:t>
            </w:r>
            <w:r w:rsidRPr="004651E0">
              <w:rPr>
                <w:rFonts w:asciiTheme="minorHAnsi" w:eastAsia="Verdana" w:hAnsiTheme="minorHAnsi" w:cs="Verdana"/>
                <w:sz w:val="20"/>
                <w:szCs w:val="20"/>
                <w:lang w:val="en-US"/>
              </w:rPr>
              <w:t>total value of gross written premiums through insurance contracts issued through brokers</w:t>
            </w:r>
            <w:r w:rsidR="1BF53EB7" w:rsidRPr="26542C75">
              <w:rPr>
                <w:rFonts w:asciiTheme="minorHAnsi" w:eastAsia="Verdana" w:hAnsiTheme="minorHAnsi" w:cs="Verdana"/>
                <w:sz w:val="20"/>
                <w:szCs w:val="20"/>
                <w:lang w:val="en-US"/>
              </w:rPr>
              <w:t xml:space="preserve"> during the reference year</w:t>
            </w:r>
            <w:r w:rsidRPr="000D1C22">
              <w:rPr>
                <w:rFonts w:asciiTheme="minorHAnsi" w:eastAsia="Verdana" w:hAnsiTheme="minorHAnsi" w:cs="Verdana"/>
                <w:sz w:val="20"/>
                <w:szCs w:val="20"/>
                <w:lang w:val="en-US"/>
              </w:rPr>
              <w:t>, broken down by country the brokers are established</w:t>
            </w:r>
            <w:r w:rsidR="007865CF" w:rsidRPr="000D1C22">
              <w:rPr>
                <w:rFonts w:asciiTheme="minorHAnsi" w:eastAsia="Verdana" w:hAnsiTheme="minorHAnsi" w:cs="Verdana"/>
                <w:sz w:val="20"/>
                <w:szCs w:val="20"/>
                <w:lang w:val="en-US"/>
              </w:rPr>
              <w:t>.</w:t>
            </w:r>
            <w:r w:rsidR="00D23147">
              <w:rPr>
                <w:rFonts w:asciiTheme="minorHAnsi" w:eastAsia="Verdana" w:hAnsiTheme="minorHAnsi" w:cs="Verdana"/>
                <w:sz w:val="20"/>
                <w:szCs w:val="20"/>
                <w:lang w:val="en-US"/>
              </w:rPr>
              <w:t xml:space="preserve"> </w:t>
            </w:r>
          </w:p>
        </w:tc>
      </w:tr>
      <w:tr w:rsidR="005E211E" w:rsidRPr="009B282E" w14:paraId="69F43D58" w14:textId="77777777" w:rsidTr="00DE2EE9">
        <w:tc>
          <w:tcPr>
            <w:tcW w:w="1673" w:type="dxa"/>
            <w:tcBorders>
              <w:top w:val="single" w:sz="4" w:space="0" w:color="auto"/>
              <w:left w:val="single" w:sz="4" w:space="0" w:color="auto"/>
              <w:bottom w:val="single" w:sz="4" w:space="0" w:color="auto"/>
              <w:right w:val="single" w:sz="4" w:space="0" w:color="auto"/>
            </w:tcBorders>
            <w:vAlign w:val="center"/>
          </w:tcPr>
          <w:p w14:paraId="1B3B9224" w14:textId="43E9C991" w:rsidR="00730B5B" w:rsidRPr="009275BC" w:rsidRDefault="00006EBC" w:rsidP="00F32516">
            <w:pPr>
              <w:pStyle w:val="InstructionsText"/>
              <w:rPr>
                <w:rStyle w:val="FormatvorlageInstructionsTabelleText"/>
                <w:rFonts w:asciiTheme="minorHAnsi" w:hAnsiTheme="minorHAnsi"/>
                <w:bCs/>
              </w:rPr>
            </w:pPr>
            <w:r w:rsidRPr="009275BC">
              <w:rPr>
                <w:rStyle w:val="FormatvorlageInstructionsTabelleText"/>
                <w:rFonts w:asciiTheme="minorHAnsi" w:hAnsiTheme="minorHAnsi"/>
              </w:rPr>
              <w:t>C00</w:t>
            </w:r>
            <w:r w:rsidR="000169F9">
              <w:rPr>
                <w:rStyle w:val="FormatvorlageInstructionsTabelleText"/>
                <w:rFonts w:asciiTheme="minorHAnsi" w:hAnsiTheme="minorHAnsi"/>
              </w:rPr>
              <w:t>50</w:t>
            </w:r>
          </w:p>
        </w:tc>
        <w:tc>
          <w:tcPr>
            <w:tcW w:w="7616" w:type="dxa"/>
            <w:tcBorders>
              <w:top w:val="nil"/>
              <w:left w:val="single" w:sz="4" w:space="0" w:color="auto"/>
              <w:bottom w:val="single" w:sz="8" w:space="0" w:color="auto"/>
              <w:right w:val="single" w:sz="4" w:space="0" w:color="auto"/>
            </w:tcBorders>
            <w:vAlign w:val="center"/>
          </w:tcPr>
          <w:p w14:paraId="0FEEED90" w14:textId="7B927E31" w:rsidR="00491899" w:rsidRDefault="00491899" w:rsidP="00730B5B">
            <w:pPr>
              <w:pStyle w:val="InstructionsText2"/>
              <w:rPr>
                <w:rFonts w:asciiTheme="minorHAnsi" w:eastAsia="Verdana" w:hAnsiTheme="minorHAnsi" w:cs="Verdana"/>
                <w:sz w:val="20"/>
                <w:szCs w:val="20"/>
                <w:lang w:val="en-US"/>
              </w:rPr>
            </w:pPr>
            <w:r w:rsidRPr="004651E0">
              <w:rPr>
                <w:rFonts w:ascii="Aptos" w:eastAsia="Verdana" w:hAnsi="Aptos" w:cs="Verdana"/>
                <w:b/>
                <w:sz w:val="20"/>
                <w:szCs w:val="20"/>
                <w:u w:val="single"/>
                <w:lang w:val="en-US"/>
              </w:rPr>
              <w:t>White Labelling Partners</w:t>
            </w:r>
            <w:r w:rsidR="005E1A41">
              <w:rPr>
                <w:rFonts w:ascii="Aptos" w:eastAsia="Verdana" w:hAnsi="Aptos" w:cs="Verdana"/>
                <w:b/>
                <w:sz w:val="20"/>
                <w:szCs w:val="20"/>
                <w:u w:val="single"/>
                <w:lang w:val="en-US"/>
              </w:rPr>
              <w:t xml:space="preserve"> by country</w:t>
            </w:r>
          </w:p>
          <w:p w14:paraId="56C2BFF9" w14:textId="78F211AD" w:rsidR="00A64223" w:rsidRPr="00A64223" w:rsidRDefault="00A64223" w:rsidP="00A64223">
            <w:pPr>
              <w:pStyle w:val="InstructionsText2"/>
              <w:rPr>
                <w:rFonts w:asciiTheme="minorHAnsi" w:eastAsia="Verdana" w:hAnsiTheme="minorHAnsi" w:cs="Verdana"/>
                <w:sz w:val="20"/>
              </w:rPr>
            </w:pPr>
            <w:r w:rsidRPr="00A64223">
              <w:rPr>
                <w:rFonts w:asciiTheme="minorHAnsi" w:eastAsia="Verdana" w:hAnsiTheme="minorHAnsi" w:cs="Verdana"/>
                <w:bCs/>
                <w:iCs/>
                <w:sz w:val="20"/>
              </w:rPr>
              <w:t xml:space="preserve">This datapoint is only applicable for </w:t>
            </w:r>
            <w:r w:rsidR="008A1E2A">
              <w:rPr>
                <w:rFonts w:asciiTheme="minorHAnsi" w:eastAsia="Verdana" w:hAnsiTheme="minorHAnsi" w:cs="Verdana"/>
                <w:bCs/>
                <w:iCs/>
                <w:sz w:val="20"/>
              </w:rPr>
              <w:t>CI, EMI, PI</w:t>
            </w:r>
            <w:r w:rsidR="00AA211C">
              <w:rPr>
                <w:rFonts w:asciiTheme="minorHAnsi" w:eastAsia="Verdana" w:hAnsiTheme="minorHAnsi" w:cs="Verdana"/>
                <w:bCs/>
                <w:iCs/>
                <w:sz w:val="20"/>
              </w:rPr>
              <w:t>, CASP and O</w:t>
            </w:r>
            <w:r w:rsidRPr="00A64223">
              <w:rPr>
                <w:rFonts w:asciiTheme="minorHAnsi" w:eastAsia="Verdana" w:hAnsiTheme="minorHAnsi" w:cs="Verdana"/>
                <w:bCs/>
                <w:sz w:val="20"/>
              </w:rPr>
              <w:t>.</w:t>
            </w:r>
          </w:p>
          <w:p w14:paraId="1F0E01BE" w14:textId="2EC7CA8D" w:rsidR="004F118E" w:rsidRDefault="001E68AF" w:rsidP="00730B5B">
            <w:pPr>
              <w:pStyle w:val="InstructionsText2"/>
              <w:rPr>
                <w:rFonts w:asciiTheme="minorHAnsi" w:eastAsia="Verdana" w:hAnsiTheme="minorHAnsi" w:cs="Verdana"/>
                <w:sz w:val="20"/>
                <w:szCs w:val="20"/>
                <w:lang w:val="en-US"/>
              </w:rPr>
            </w:pPr>
            <w:r w:rsidRPr="001E68AF">
              <w:rPr>
                <w:rFonts w:asciiTheme="minorHAnsi" w:eastAsia="Verdana" w:hAnsiTheme="minorHAnsi" w:cs="Verdana"/>
                <w:sz w:val="20"/>
                <w:szCs w:val="20"/>
                <w:lang w:val="en-US"/>
              </w:rPr>
              <w:t>White labelling partne</w:t>
            </w:r>
            <w:r>
              <w:rPr>
                <w:rFonts w:asciiTheme="minorHAnsi" w:eastAsia="Verdana" w:hAnsiTheme="minorHAnsi" w:cs="Verdana"/>
                <w:sz w:val="20"/>
                <w:szCs w:val="20"/>
                <w:lang w:val="en-US"/>
              </w:rPr>
              <w:t>r</w:t>
            </w:r>
            <w:r w:rsidR="004F118E" w:rsidRPr="00DE2EE9">
              <w:rPr>
                <w:rFonts w:asciiTheme="minorHAnsi" w:eastAsia="Verdana" w:hAnsiTheme="minorHAnsi" w:cs="Verdana"/>
                <w:sz w:val="20"/>
                <w:szCs w:val="20"/>
                <w:lang w:val="en-US"/>
              </w:rPr>
              <w:t xml:space="preserve"> that collaborates with a licensed </w:t>
            </w:r>
            <w:r w:rsidR="00863B13">
              <w:rPr>
                <w:rFonts w:asciiTheme="minorHAnsi" w:eastAsia="Verdana" w:hAnsiTheme="minorHAnsi" w:cs="Verdana"/>
                <w:sz w:val="20"/>
                <w:szCs w:val="20"/>
                <w:lang w:val="en-US"/>
              </w:rPr>
              <w:t>reporting obliged entity</w:t>
            </w:r>
            <w:r w:rsidR="004F118E" w:rsidRPr="00DE2EE9">
              <w:rPr>
                <w:rFonts w:asciiTheme="minorHAnsi" w:eastAsia="Verdana" w:hAnsiTheme="minorHAnsi" w:cs="Verdana"/>
                <w:sz w:val="20"/>
                <w:szCs w:val="20"/>
                <w:lang w:val="en-US"/>
              </w:rPr>
              <w:t xml:space="preserve"> to offer financial services under its own brand, without having a banking licence itself. While it presented the service to customers, the actual service is legally and operationally provided by the bank. The partner acts as an intermediary between the bank and the customers but not performing any regulated banking activities on its own. Intra-group companies should also be captured</w:t>
            </w:r>
            <w:r w:rsidR="007865CF">
              <w:rPr>
                <w:rFonts w:asciiTheme="minorHAnsi" w:eastAsia="Verdana" w:hAnsiTheme="minorHAnsi" w:cs="Verdana"/>
                <w:sz w:val="20"/>
                <w:szCs w:val="20"/>
                <w:lang w:val="en-US"/>
              </w:rPr>
              <w:t>.</w:t>
            </w:r>
          </w:p>
          <w:p w14:paraId="57621CB5" w14:textId="189257B8" w:rsidR="004F118E" w:rsidRPr="00DE2EE9" w:rsidRDefault="007865CF" w:rsidP="00730B5B">
            <w:pPr>
              <w:pStyle w:val="InstructionsText2"/>
              <w:rPr>
                <w:rFonts w:asciiTheme="minorHAnsi" w:eastAsia="Verdana" w:hAnsiTheme="minorHAnsi" w:cs="Verdana"/>
                <w:sz w:val="20"/>
                <w:szCs w:val="20"/>
                <w:lang w:val="en-US"/>
              </w:rPr>
            </w:pPr>
            <w:r>
              <w:rPr>
                <w:rFonts w:asciiTheme="minorHAnsi" w:eastAsia="Verdana" w:hAnsiTheme="minorHAnsi" w:cs="Verdana"/>
                <w:sz w:val="20"/>
                <w:szCs w:val="20"/>
                <w:lang w:val="en-US"/>
              </w:rPr>
              <w:t xml:space="preserve">Indicate the </w:t>
            </w:r>
            <w:r w:rsidR="003B3C71">
              <w:rPr>
                <w:rFonts w:asciiTheme="minorHAnsi" w:eastAsia="Verdana" w:hAnsiTheme="minorHAnsi" w:cs="Verdana"/>
                <w:sz w:val="20"/>
                <w:szCs w:val="20"/>
                <w:lang w:val="en-US"/>
              </w:rPr>
              <w:t>n</w:t>
            </w:r>
            <w:r w:rsidR="003B3C71" w:rsidRPr="003B3C71">
              <w:rPr>
                <w:rFonts w:asciiTheme="minorHAnsi" w:eastAsia="Verdana" w:hAnsiTheme="minorHAnsi" w:cs="Verdana"/>
                <w:sz w:val="20"/>
                <w:szCs w:val="20"/>
                <w:lang w:val="en-US"/>
              </w:rPr>
              <w:t xml:space="preserve">umber of white labelling partners </w:t>
            </w:r>
            <w:r w:rsidR="5336CF64" w:rsidRPr="4C539FF8">
              <w:rPr>
                <w:rFonts w:asciiTheme="minorHAnsi" w:eastAsia="Verdana" w:hAnsiTheme="minorHAnsi" w:cs="Verdana"/>
                <w:sz w:val="20"/>
                <w:szCs w:val="20"/>
                <w:lang w:val="en-US"/>
              </w:rPr>
              <w:t xml:space="preserve">at the end of the </w:t>
            </w:r>
            <w:r w:rsidR="5336CF64" w:rsidRPr="6C4A82DC">
              <w:rPr>
                <w:rFonts w:asciiTheme="minorHAnsi" w:eastAsia="Verdana" w:hAnsiTheme="minorHAnsi" w:cs="Verdana"/>
                <w:sz w:val="20"/>
                <w:szCs w:val="20"/>
                <w:lang w:val="en-US"/>
              </w:rPr>
              <w:t xml:space="preserve">reference year </w:t>
            </w:r>
            <w:r w:rsidR="003B3C71" w:rsidRPr="6C4A82DC">
              <w:rPr>
                <w:rFonts w:asciiTheme="minorHAnsi" w:eastAsia="Verdana" w:hAnsiTheme="minorHAnsi" w:cs="Verdana"/>
                <w:sz w:val="20"/>
                <w:szCs w:val="20"/>
                <w:lang w:val="en-US"/>
              </w:rPr>
              <w:t>by</w:t>
            </w:r>
            <w:r w:rsidR="003B3C71" w:rsidRPr="003B3C71">
              <w:rPr>
                <w:rFonts w:asciiTheme="minorHAnsi" w:eastAsia="Verdana" w:hAnsiTheme="minorHAnsi" w:cs="Verdana"/>
                <w:sz w:val="20"/>
                <w:szCs w:val="20"/>
                <w:lang w:val="en-US"/>
              </w:rPr>
              <w:t xml:space="preserve"> country of establishment</w:t>
            </w:r>
            <w:r w:rsidR="003B3C71">
              <w:rPr>
                <w:rFonts w:asciiTheme="minorHAnsi" w:eastAsia="Verdana" w:hAnsiTheme="minorHAnsi" w:cs="Verdana"/>
                <w:sz w:val="20"/>
                <w:szCs w:val="20"/>
                <w:lang w:val="en-US"/>
              </w:rPr>
              <w:t>.</w:t>
            </w:r>
          </w:p>
        </w:tc>
      </w:tr>
    </w:tbl>
    <w:p w14:paraId="2192E6BD" w14:textId="2500CA40" w:rsidR="000D1C22" w:rsidRDefault="000D1C22" w:rsidP="000D1C22">
      <w:pPr>
        <w:spacing w:before="0" w:after="0" w:line="240" w:lineRule="auto"/>
        <w:rPr>
          <w:rFonts w:asciiTheme="minorHAnsi" w:hAnsiTheme="minorHAnsi"/>
        </w:rPr>
      </w:pPr>
      <w:bookmarkStart w:id="276" w:name="_Toc212647040"/>
      <w:bookmarkStart w:id="277" w:name="_Toc221355999"/>
    </w:p>
    <w:p w14:paraId="5E14E8E1" w14:textId="77777777" w:rsidR="000D1C22" w:rsidRDefault="000D1C22" w:rsidP="000D1C22">
      <w:pPr>
        <w:spacing w:before="0" w:after="0" w:line="240" w:lineRule="auto"/>
        <w:rPr>
          <w:rFonts w:asciiTheme="minorHAnsi" w:hAnsiTheme="minorHAnsi"/>
        </w:rPr>
      </w:pPr>
    </w:p>
    <w:p w14:paraId="0E233BE2" w14:textId="28EC1A8D" w:rsidR="000D1C22" w:rsidRDefault="000D1C22">
      <w:pPr>
        <w:spacing w:before="0" w:after="0" w:line="240" w:lineRule="auto"/>
        <w:rPr>
          <w:rFonts w:asciiTheme="minorHAnsi" w:hAnsiTheme="minorHAnsi"/>
          <w:b/>
          <w:color w:val="132D4E" w:themeColor="text2"/>
          <w:sz w:val="32"/>
          <w:szCs w:val="36"/>
        </w:rPr>
      </w:pPr>
      <w:r>
        <w:rPr>
          <w:rFonts w:asciiTheme="minorHAnsi" w:hAnsiTheme="minorHAnsi"/>
        </w:rPr>
        <w:br w:type="page"/>
      </w:r>
    </w:p>
    <w:p w14:paraId="6336DE39" w14:textId="386ECFB6" w:rsidR="00A801D7" w:rsidRPr="00DE2EE9" w:rsidRDefault="00A801D7" w:rsidP="000D1C22">
      <w:pPr>
        <w:pStyle w:val="Heading2"/>
        <w:numPr>
          <w:ilvl w:val="0"/>
          <w:numId w:val="0"/>
        </w:numPr>
        <w:rPr>
          <w:rFonts w:asciiTheme="minorHAnsi" w:hAnsiTheme="minorHAnsi"/>
        </w:rPr>
      </w:pPr>
      <w:bookmarkStart w:id="278" w:name="_Toc223104865"/>
      <w:r w:rsidRPr="00DE2EE9">
        <w:rPr>
          <w:rFonts w:asciiTheme="minorHAnsi" w:hAnsiTheme="minorHAnsi"/>
        </w:rPr>
        <w:t>Section B – AML/CFT Controls data points</w:t>
      </w:r>
      <w:bookmarkEnd w:id="276"/>
      <w:bookmarkEnd w:id="277"/>
      <w:bookmarkEnd w:id="278"/>
    </w:p>
    <w:p w14:paraId="5B8F2980" w14:textId="051B519D" w:rsidR="002A521B" w:rsidRDefault="001A11CF" w:rsidP="00AD73E1">
      <w:pPr>
        <w:pStyle w:val="Heading2"/>
        <w:rPr>
          <w:rFonts w:asciiTheme="minorHAnsi" w:hAnsiTheme="minorHAnsi"/>
          <w:lang w:val="en-IE"/>
        </w:rPr>
      </w:pPr>
      <w:bookmarkStart w:id="279" w:name="_Toc223104866"/>
      <w:bookmarkStart w:id="280" w:name="_Toc221356000"/>
      <w:r w:rsidRPr="00DE2EE9">
        <w:rPr>
          <w:rFonts w:asciiTheme="minorHAnsi" w:hAnsiTheme="minorHAnsi"/>
          <w:lang w:val="en-IE"/>
        </w:rPr>
        <w:t xml:space="preserve">AML.07.01 </w:t>
      </w:r>
      <w:r w:rsidR="00774CB9" w:rsidRPr="00DE2EE9">
        <w:rPr>
          <w:rFonts w:asciiTheme="minorHAnsi" w:hAnsiTheme="minorHAnsi"/>
          <w:lang w:val="en-IE"/>
        </w:rPr>
        <w:t>Governance/Culture and Compliance</w:t>
      </w:r>
      <w:bookmarkEnd w:id="279"/>
      <w:r w:rsidR="00774CB9" w:rsidRPr="00DE2EE9">
        <w:rPr>
          <w:rFonts w:asciiTheme="minorHAnsi" w:hAnsiTheme="minorHAnsi"/>
          <w:lang w:val="en-IE"/>
        </w:rPr>
        <w:t xml:space="preserve"> </w:t>
      </w:r>
      <w:bookmarkEnd w:id="280"/>
    </w:p>
    <w:p w14:paraId="2C8D9410" w14:textId="6F2CBD9A" w:rsidR="00E653D3" w:rsidRDefault="00523800" w:rsidP="00135B9D">
      <w:pPr>
        <w:jc w:val="both"/>
        <w:rPr>
          <w:rFonts w:asciiTheme="minorHAnsi" w:hAnsiTheme="minorHAnsi"/>
          <w:lang w:val="en-IE"/>
        </w:rPr>
      </w:pPr>
      <w:r w:rsidRPr="00135B9D">
        <w:rPr>
          <w:rFonts w:asciiTheme="minorHAnsi" w:hAnsiTheme="minorHAnsi"/>
          <w:lang w:val="en-IE"/>
        </w:rPr>
        <w:t xml:space="preserve">For the purpose of this reporting, </w:t>
      </w:r>
      <w:r w:rsidR="00E653D3" w:rsidRPr="00135B9D">
        <w:rPr>
          <w:rFonts w:asciiTheme="minorHAnsi" w:hAnsiTheme="minorHAnsi"/>
          <w:lang w:val="en-IE"/>
        </w:rPr>
        <w:t xml:space="preserve">staff means all employees who work for </w:t>
      </w:r>
      <w:r w:rsidRPr="00135B9D">
        <w:rPr>
          <w:rFonts w:asciiTheme="minorHAnsi" w:hAnsiTheme="minorHAnsi"/>
          <w:lang w:val="en-IE"/>
        </w:rPr>
        <w:t xml:space="preserve">the reporting obliged entity. </w:t>
      </w:r>
      <w:r w:rsidR="00883F8E" w:rsidRPr="00135B9D">
        <w:rPr>
          <w:rFonts w:asciiTheme="minorHAnsi" w:hAnsiTheme="minorHAnsi"/>
          <w:lang w:val="en-IE"/>
        </w:rPr>
        <w:t xml:space="preserve">Independent contractors, </w:t>
      </w:r>
      <w:r w:rsidR="005B4CAA" w:rsidRPr="00135B9D">
        <w:rPr>
          <w:rFonts w:asciiTheme="minorHAnsi" w:hAnsiTheme="minorHAnsi"/>
          <w:lang w:val="en-IE"/>
        </w:rPr>
        <w:t xml:space="preserve">staff from another company withing the same group, </w:t>
      </w:r>
      <w:r w:rsidR="00883F8E" w:rsidRPr="00135B9D">
        <w:rPr>
          <w:rFonts w:asciiTheme="minorHAnsi" w:hAnsiTheme="minorHAnsi"/>
          <w:lang w:val="en-IE"/>
        </w:rPr>
        <w:t>consultants and external service providers</w:t>
      </w:r>
      <w:r w:rsidR="00DB66E1" w:rsidRPr="00135B9D">
        <w:rPr>
          <w:rFonts w:asciiTheme="minorHAnsi" w:hAnsiTheme="minorHAnsi"/>
          <w:lang w:val="en-IE"/>
        </w:rPr>
        <w:t xml:space="preserve"> should not be accounted for.</w:t>
      </w:r>
    </w:p>
    <w:p w14:paraId="1F16854B" w14:textId="373C4C17" w:rsidR="00ED68C6" w:rsidRDefault="00ED68C6" w:rsidP="00AC4DDE">
      <w:pPr>
        <w:jc w:val="both"/>
        <w:rPr>
          <w:rFonts w:asciiTheme="minorHAnsi" w:hAnsiTheme="minorHAnsi"/>
          <w:lang w:val="en-IE"/>
        </w:rPr>
      </w:pPr>
      <w:r w:rsidRPr="00ED68C6">
        <w:rPr>
          <w:rFonts w:asciiTheme="minorHAnsi" w:hAnsiTheme="minorHAnsi"/>
          <w:lang w:val="en-IE"/>
        </w:rPr>
        <w:t>When a member of staff is only partially dedicated to the tasks to be reported, the reporting obliged entity should, to the extent reasonably feasible, report only the proportion of that staff member’s time that is allocated to the tasks in question.</w:t>
      </w:r>
    </w:p>
    <w:p w14:paraId="45E18ADB" w14:textId="77777777" w:rsidR="008E1D72" w:rsidRPr="00A017EB" w:rsidRDefault="008E1D72" w:rsidP="008E1D72">
      <w:pPr>
        <w:rPr>
          <w:rFonts w:asciiTheme="minorHAnsi" w:hAnsiTheme="minorHAnsi"/>
          <w:b/>
          <w:bCs/>
          <w:iCs/>
        </w:rPr>
      </w:pPr>
      <w:r w:rsidRPr="00A017EB">
        <w:rPr>
          <w:rFonts w:asciiTheme="minorHAnsi" w:hAnsiTheme="minorHAnsi"/>
          <w:b/>
          <w:bCs/>
          <w:iCs/>
        </w:rPr>
        <w:t>Template Remarks</w:t>
      </w:r>
    </w:p>
    <w:p w14:paraId="011AE382" w14:textId="20264F19" w:rsidR="005771F9" w:rsidRPr="00135B9D" w:rsidRDefault="005771F9" w:rsidP="00135B9D">
      <w:pPr>
        <w:rPr>
          <w:lang w:val="en-IE"/>
        </w:rPr>
      </w:pPr>
      <w:r w:rsidRPr="00135B9D">
        <w:rPr>
          <w:rFonts w:asciiTheme="minorHAnsi" w:hAnsiTheme="minorHAnsi"/>
          <w:lang w:val="en-IE"/>
        </w:rPr>
        <w:t>This template (cluster of datapoints) is applicable for all sectors</w:t>
      </w:r>
      <w:r w:rsidR="001D44BB">
        <w:rPr>
          <w:rFonts w:asciiTheme="minorHAnsi" w:hAnsiTheme="minorHAnsi"/>
          <w:lang w:val="en-IE"/>
        </w:rPr>
        <w:t xml:space="preserve">. </w:t>
      </w:r>
    </w:p>
    <w:tbl>
      <w:tblPr>
        <w:tblW w:w="92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3"/>
        <w:gridCol w:w="7616"/>
      </w:tblGrid>
      <w:tr w:rsidR="005E211E" w:rsidRPr="009B282E" w14:paraId="2B1D283A" w14:textId="77777777">
        <w:tc>
          <w:tcPr>
            <w:tcW w:w="16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D7525C" w14:textId="77777777" w:rsidR="00404030" w:rsidRPr="009275BC" w:rsidRDefault="00404030" w:rsidP="00F32516">
            <w:pPr>
              <w:pStyle w:val="InstructionsText"/>
              <w:rPr>
                <w:rStyle w:val="InstructionsTabelleText"/>
                <w:rFonts w:asciiTheme="minorHAnsi" w:hAnsiTheme="minorHAnsi"/>
                <w:bCs w:val="0"/>
                <w:lang w:eastAsia="en-US"/>
              </w:rPr>
            </w:pPr>
            <w:bookmarkStart w:id="281" w:name="_Hlk219470139"/>
            <w:r w:rsidRPr="009275BC">
              <w:rPr>
                <w:rStyle w:val="InstructionsTabelleText"/>
                <w:rFonts w:asciiTheme="minorHAnsi" w:hAnsiTheme="minorHAnsi"/>
              </w:rPr>
              <w:t>Column code</w:t>
            </w:r>
          </w:p>
        </w:tc>
        <w:tc>
          <w:tcPr>
            <w:tcW w:w="76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7F4F97" w14:textId="77777777" w:rsidR="00404030" w:rsidRPr="009275BC" w:rsidRDefault="00404030" w:rsidP="00F32516">
            <w:pPr>
              <w:pStyle w:val="InstructionsText"/>
              <w:rPr>
                <w:rStyle w:val="InstructionsTabelleText"/>
                <w:rFonts w:asciiTheme="minorHAnsi" w:hAnsiTheme="minorHAnsi"/>
                <w:bCs w:val="0"/>
                <w:lang w:eastAsia="en-US"/>
              </w:rPr>
            </w:pPr>
            <w:r w:rsidRPr="009275BC">
              <w:rPr>
                <w:rStyle w:val="InstructionsTabelleText"/>
                <w:rFonts w:asciiTheme="minorHAnsi" w:hAnsiTheme="minorHAnsi"/>
              </w:rPr>
              <w:t>Legal references and instructions</w:t>
            </w:r>
          </w:p>
        </w:tc>
      </w:tr>
      <w:tr w:rsidR="00A10CBD" w:rsidRPr="009B282E" w14:paraId="57F96B7E" w14:textId="77777777" w:rsidTr="004B0DBE">
        <w:tc>
          <w:tcPr>
            <w:tcW w:w="1673" w:type="dxa"/>
            <w:tcBorders>
              <w:top w:val="single" w:sz="4" w:space="0" w:color="auto"/>
              <w:left w:val="single" w:sz="4" w:space="0" w:color="auto"/>
              <w:bottom w:val="single" w:sz="4" w:space="0" w:color="auto"/>
              <w:right w:val="single" w:sz="4" w:space="0" w:color="auto"/>
            </w:tcBorders>
            <w:vAlign w:val="center"/>
          </w:tcPr>
          <w:p w14:paraId="189D00C8" w14:textId="5C9BE653" w:rsidR="002667B0" w:rsidRPr="009275BC" w:rsidRDefault="000056A1"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C0010</w:t>
            </w:r>
          </w:p>
        </w:tc>
        <w:tc>
          <w:tcPr>
            <w:tcW w:w="76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AC4F402" w14:textId="77777777" w:rsidR="00491899" w:rsidRDefault="00491899" w:rsidP="002667B0">
            <w:pPr>
              <w:pStyle w:val="InstructionsText2"/>
              <w:rPr>
                <w:rFonts w:asciiTheme="minorHAnsi" w:eastAsia="Verdana" w:hAnsiTheme="minorHAnsi" w:cs="Verdana"/>
                <w:bCs/>
                <w:sz w:val="20"/>
                <w:szCs w:val="20"/>
                <w:lang w:val="en-US"/>
              </w:rPr>
            </w:pPr>
            <w:r w:rsidRPr="008F7E92">
              <w:rPr>
                <w:rFonts w:ascii="Aptos" w:eastAsia="Verdana" w:hAnsi="Aptos" w:cs="Verdana"/>
                <w:b/>
                <w:bCs/>
                <w:sz w:val="20"/>
                <w:szCs w:val="20"/>
                <w:u w:val="single"/>
                <w:lang w:val="en-US"/>
              </w:rPr>
              <w:t>Last AML/CFT Compliance Check</w:t>
            </w:r>
          </w:p>
          <w:p w14:paraId="7F996CD5" w14:textId="3E21DC23" w:rsidR="002667B0" w:rsidRPr="001E7977" w:rsidRDefault="00A95D11" w:rsidP="002667B0">
            <w:pPr>
              <w:pStyle w:val="InstructionsText2"/>
              <w:rPr>
                <w:rFonts w:asciiTheme="minorHAnsi" w:eastAsia="Verdana" w:hAnsiTheme="minorHAnsi" w:cs="Verdana"/>
                <w:bCs/>
                <w:sz w:val="20"/>
                <w:szCs w:val="20"/>
                <w:lang w:val="en-US"/>
              </w:rPr>
            </w:pPr>
            <w:r>
              <w:rPr>
                <w:rFonts w:asciiTheme="minorHAnsi" w:eastAsia="Verdana" w:hAnsiTheme="minorHAnsi" w:cs="Verdana"/>
                <w:bCs/>
                <w:sz w:val="20"/>
                <w:szCs w:val="20"/>
                <w:lang w:val="en-US"/>
              </w:rPr>
              <w:t>Indicate the d</w:t>
            </w:r>
            <w:r w:rsidR="002667B0" w:rsidRPr="001E7977">
              <w:rPr>
                <w:rFonts w:asciiTheme="minorHAnsi" w:eastAsia="Verdana" w:hAnsiTheme="minorHAnsi" w:cs="Verdana"/>
                <w:bCs/>
                <w:sz w:val="20"/>
                <w:szCs w:val="20"/>
                <w:lang w:val="en-US"/>
              </w:rPr>
              <w:t xml:space="preserve">ate at which the procedures covering </w:t>
            </w:r>
            <w:r w:rsidR="00AD64E2">
              <w:rPr>
                <w:rFonts w:asciiTheme="minorHAnsi" w:eastAsia="Verdana" w:hAnsiTheme="minorHAnsi" w:cs="Verdana"/>
                <w:bCs/>
                <w:sz w:val="20"/>
                <w:szCs w:val="20"/>
                <w:lang w:val="en-US"/>
              </w:rPr>
              <w:t>at least a significant part</w:t>
            </w:r>
            <w:r w:rsidR="002667B0" w:rsidRPr="001E7977">
              <w:rPr>
                <w:rFonts w:asciiTheme="minorHAnsi" w:eastAsia="Verdana" w:hAnsiTheme="minorHAnsi" w:cs="Verdana"/>
                <w:bCs/>
                <w:sz w:val="20"/>
                <w:szCs w:val="20"/>
                <w:lang w:val="en-US"/>
              </w:rPr>
              <w:t xml:space="preserve"> of the AML/CFT framework (including initial and ongoing CDD, transaction and business relationship monitoring, STR, and </w:t>
            </w:r>
            <w:r w:rsidR="005133BE">
              <w:rPr>
                <w:rFonts w:asciiTheme="minorHAnsi" w:eastAsia="Verdana" w:hAnsiTheme="minorHAnsi" w:cs="Verdana"/>
                <w:bCs/>
                <w:sz w:val="20"/>
                <w:szCs w:val="20"/>
                <w:lang w:val="en-US"/>
              </w:rPr>
              <w:t>targeted</w:t>
            </w:r>
            <w:r w:rsidR="002667B0" w:rsidRPr="001E7977">
              <w:rPr>
                <w:rFonts w:asciiTheme="minorHAnsi" w:eastAsia="Verdana" w:hAnsiTheme="minorHAnsi" w:cs="Verdana"/>
                <w:bCs/>
                <w:sz w:val="20"/>
                <w:szCs w:val="20"/>
                <w:lang w:val="en-US"/>
              </w:rPr>
              <w:t xml:space="preserve"> financial sanction screening) were checked </w:t>
            </w:r>
            <w:r w:rsidR="009C222F">
              <w:rPr>
                <w:rFonts w:asciiTheme="minorHAnsi" w:eastAsia="Verdana" w:hAnsiTheme="minorHAnsi" w:cs="Verdana"/>
                <w:bCs/>
                <w:sz w:val="20"/>
                <w:szCs w:val="20"/>
                <w:lang w:val="en-US"/>
              </w:rPr>
              <w:t xml:space="preserve">by the compliance functions </w:t>
            </w:r>
            <w:r w:rsidR="002667B0" w:rsidRPr="001E7977">
              <w:rPr>
                <w:rFonts w:asciiTheme="minorHAnsi" w:eastAsia="Verdana" w:hAnsiTheme="minorHAnsi" w:cs="Verdana"/>
                <w:bCs/>
                <w:sz w:val="20"/>
                <w:szCs w:val="20"/>
                <w:lang w:val="en-US"/>
              </w:rPr>
              <w:t>as being in compliance with existing laws and regulations applicable at that date</w:t>
            </w:r>
            <w:r w:rsidR="001F145D">
              <w:rPr>
                <w:rFonts w:asciiTheme="minorHAnsi" w:eastAsia="Verdana" w:hAnsiTheme="minorHAnsi" w:cs="Verdana"/>
                <w:bCs/>
                <w:sz w:val="20"/>
                <w:szCs w:val="20"/>
                <w:lang w:val="en-US"/>
              </w:rPr>
              <w:t>.</w:t>
            </w:r>
            <w:r w:rsidR="00222139">
              <w:rPr>
                <w:rFonts w:asciiTheme="minorHAnsi" w:eastAsia="Verdana" w:hAnsiTheme="minorHAnsi" w:cs="Verdana"/>
                <w:bCs/>
                <w:sz w:val="20"/>
                <w:szCs w:val="20"/>
                <w:lang w:val="en-US"/>
              </w:rPr>
              <w:t xml:space="preserve"> </w:t>
            </w:r>
          </w:p>
          <w:p w14:paraId="135C536E" w14:textId="2A6DE2E4" w:rsidR="002667B0" w:rsidRPr="004B0DBE" w:rsidRDefault="00AE7E10" w:rsidP="00AE7E10">
            <w:pPr>
              <w:pStyle w:val="InstructionsText2"/>
              <w:rPr>
                <w:rFonts w:asciiTheme="minorHAnsi" w:eastAsia="Verdana" w:hAnsiTheme="minorHAnsi" w:cs="Verdana"/>
                <w:sz w:val="20"/>
                <w:szCs w:val="20"/>
                <w:lang w:val="en-US"/>
              </w:rPr>
            </w:pPr>
            <w:r w:rsidRPr="004B0DBE">
              <w:rPr>
                <w:rFonts w:asciiTheme="minorHAnsi" w:eastAsia="Verdana" w:hAnsiTheme="minorHAnsi" w:cs="Verdana"/>
                <w:sz w:val="20"/>
                <w:szCs w:val="20"/>
                <w:lang w:val="en-US"/>
              </w:rPr>
              <w:t xml:space="preserve">If you have more than one date, please use the most recent one. </w:t>
            </w:r>
          </w:p>
        </w:tc>
      </w:tr>
      <w:tr w:rsidR="00A10CBD" w:rsidRPr="009B282E" w14:paraId="113756D4" w14:textId="77777777" w:rsidTr="004B0DBE">
        <w:tc>
          <w:tcPr>
            <w:tcW w:w="1673" w:type="dxa"/>
            <w:tcBorders>
              <w:top w:val="single" w:sz="4" w:space="0" w:color="auto"/>
              <w:left w:val="single" w:sz="4" w:space="0" w:color="auto"/>
              <w:bottom w:val="single" w:sz="4" w:space="0" w:color="auto"/>
              <w:right w:val="single" w:sz="4" w:space="0" w:color="auto"/>
            </w:tcBorders>
            <w:vAlign w:val="center"/>
          </w:tcPr>
          <w:p w14:paraId="169D9406" w14:textId="7828D727" w:rsidR="002667B0" w:rsidRPr="009275BC" w:rsidRDefault="000056A1"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C0020</w:t>
            </w:r>
          </w:p>
        </w:tc>
        <w:tc>
          <w:tcPr>
            <w:tcW w:w="7616"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A9FD680" w14:textId="77777777" w:rsidR="00491899" w:rsidRDefault="00491899" w:rsidP="00D02993">
            <w:pPr>
              <w:pStyle w:val="InstructionsText2"/>
              <w:rPr>
                <w:rFonts w:asciiTheme="minorHAnsi" w:hAnsiTheme="minorHAnsi"/>
                <w:sz w:val="20"/>
                <w:szCs w:val="20"/>
                <w:lang w:val="en-US"/>
              </w:rPr>
            </w:pPr>
            <w:r w:rsidRPr="00AC1F80">
              <w:rPr>
                <w:rFonts w:ascii="Aptos" w:hAnsi="Aptos"/>
                <w:b/>
                <w:sz w:val="20"/>
                <w:szCs w:val="20"/>
                <w:u w:val="single"/>
                <w:lang w:val="en-US"/>
              </w:rPr>
              <w:t>Dedicated AML/CFT Staff (FTE)</w:t>
            </w:r>
          </w:p>
          <w:p w14:paraId="0265B2EC" w14:textId="3E3F12A1" w:rsidR="00A95D11" w:rsidRPr="004B0DBE" w:rsidRDefault="00A95D11" w:rsidP="00A95D11">
            <w:pPr>
              <w:pStyle w:val="InstructionsText2"/>
              <w:rPr>
                <w:rFonts w:asciiTheme="minorHAnsi" w:hAnsiTheme="minorHAnsi"/>
                <w:b/>
                <w:sz w:val="20"/>
                <w:szCs w:val="20"/>
                <w:u w:val="single"/>
                <w:lang w:val="en-US"/>
              </w:rPr>
            </w:pPr>
            <w:r>
              <w:rPr>
                <w:rFonts w:asciiTheme="minorHAnsi" w:hAnsiTheme="minorHAnsi"/>
                <w:sz w:val="20"/>
                <w:szCs w:val="20"/>
                <w:lang w:val="en-US"/>
              </w:rPr>
              <w:t xml:space="preserve">Indicate the </w:t>
            </w:r>
            <w:r w:rsidRPr="00A95D11">
              <w:rPr>
                <w:rFonts w:asciiTheme="minorHAnsi" w:hAnsiTheme="minorHAnsi"/>
                <w:sz w:val="20"/>
                <w:szCs w:val="20"/>
                <w:lang w:val="en-US"/>
              </w:rPr>
              <w:t>n</w:t>
            </w:r>
            <w:r w:rsidRPr="003B39FC">
              <w:rPr>
                <w:rFonts w:asciiTheme="minorHAnsi" w:hAnsiTheme="minorHAnsi"/>
                <w:sz w:val="20"/>
                <w:szCs w:val="20"/>
                <w:lang w:val="en-US"/>
              </w:rPr>
              <w:t>umber of dedicated AML/CFT compliance staff (in FTE</w:t>
            </w:r>
            <w:r w:rsidR="1294F4DC" w:rsidRPr="003B39FC">
              <w:rPr>
                <w:rFonts w:asciiTheme="minorHAnsi" w:hAnsiTheme="minorHAnsi"/>
                <w:sz w:val="20"/>
                <w:szCs w:val="20"/>
                <w:lang w:val="en-US"/>
              </w:rPr>
              <w:t>)</w:t>
            </w:r>
            <w:r w:rsidR="51C54174" w:rsidRPr="255DE7AB">
              <w:rPr>
                <w:rFonts w:asciiTheme="minorHAnsi" w:hAnsiTheme="minorHAnsi"/>
                <w:sz w:val="20"/>
                <w:szCs w:val="20"/>
                <w:lang w:val="en-US"/>
              </w:rPr>
              <w:t xml:space="preserve"> </w:t>
            </w:r>
            <w:r w:rsidR="001E3178">
              <w:rPr>
                <w:rFonts w:asciiTheme="minorHAnsi" w:hAnsiTheme="minorHAnsi"/>
                <w:sz w:val="20"/>
                <w:szCs w:val="20"/>
                <w:lang w:val="en-US"/>
              </w:rPr>
              <w:t>in the compliance function</w:t>
            </w:r>
            <w:r w:rsidR="51C54174" w:rsidRPr="255DE7AB">
              <w:rPr>
                <w:rFonts w:asciiTheme="minorHAnsi" w:hAnsiTheme="minorHAnsi"/>
                <w:sz w:val="20"/>
                <w:szCs w:val="20"/>
                <w:lang w:val="en-US"/>
              </w:rPr>
              <w:t xml:space="preserve"> </w:t>
            </w:r>
            <w:r w:rsidR="51C54174" w:rsidRPr="0EB0FF75">
              <w:rPr>
                <w:rFonts w:asciiTheme="minorHAnsi" w:hAnsiTheme="minorHAnsi"/>
                <w:sz w:val="20"/>
                <w:szCs w:val="20"/>
                <w:lang w:val="en-US"/>
              </w:rPr>
              <w:t>as of the end of the reference year</w:t>
            </w:r>
            <w:r w:rsidR="1294F4DC" w:rsidRPr="003B39FC">
              <w:rPr>
                <w:rFonts w:asciiTheme="minorHAnsi" w:hAnsiTheme="minorHAnsi"/>
                <w:sz w:val="20"/>
                <w:szCs w:val="20"/>
                <w:lang w:val="en-US"/>
              </w:rPr>
              <w:t>.</w:t>
            </w:r>
            <w:r w:rsidR="00291840">
              <w:rPr>
                <w:rFonts w:asciiTheme="minorHAnsi" w:hAnsiTheme="minorHAnsi"/>
                <w:sz w:val="20"/>
                <w:szCs w:val="20"/>
                <w:lang w:val="en-US"/>
              </w:rPr>
              <w:t xml:space="preserve"> </w:t>
            </w:r>
            <w:r w:rsidR="00815366">
              <w:rPr>
                <w:rFonts w:asciiTheme="minorHAnsi" w:hAnsiTheme="minorHAnsi"/>
                <w:sz w:val="20"/>
                <w:szCs w:val="20"/>
                <w:lang w:val="en-US"/>
              </w:rPr>
              <w:t xml:space="preserve">The number of </w:t>
            </w:r>
            <w:r w:rsidR="001A4C9F" w:rsidRPr="001A4C9F">
              <w:rPr>
                <w:rFonts w:asciiTheme="minorHAnsi" w:hAnsiTheme="minorHAnsi"/>
                <w:sz w:val="20"/>
                <w:szCs w:val="20"/>
                <w:lang w:val="en-US"/>
              </w:rPr>
              <w:t>FTEs</w:t>
            </w:r>
            <w:r w:rsidR="00815366">
              <w:rPr>
                <w:rFonts w:asciiTheme="minorHAnsi" w:hAnsiTheme="minorHAnsi"/>
                <w:sz w:val="20"/>
                <w:szCs w:val="20"/>
                <w:lang w:val="en-US"/>
              </w:rPr>
              <w:t xml:space="preserve"> </w:t>
            </w:r>
            <w:r w:rsidR="00C476B1">
              <w:rPr>
                <w:rFonts w:asciiTheme="minorHAnsi" w:hAnsiTheme="minorHAnsi"/>
                <w:sz w:val="20"/>
                <w:szCs w:val="20"/>
                <w:lang w:val="en-US"/>
              </w:rPr>
              <w:t xml:space="preserve">could </w:t>
            </w:r>
            <w:r w:rsidR="00815366">
              <w:rPr>
                <w:rFonts w:asciiTheme="minorHAnsi" w:hAnsiTheme="minorHAnsi"/>
                <w:sz w:val="20"/>
                <w:szCs w:val="20"/>
                <w:lang w:val="en-US"/>
              </w:rPr>
              <w:t xml:space="preserve">be reported </w:t>
            </w:r>
            <w:r w:rsidR="00C476B1">
              <w:rPr>
                <w:rFonts w:asciiTheme="minorHAnsi" w:hAnsiTheme="minorHAnsi"/>
                <w:sz w:val="20"/>
                <w:szCs w:val="20"/>
                <w:lang w:val="en-US"/>
              </w:rPr>
              <w:t xml:space="preserve">with </w:t>
            </w:r>
            <w:r w:rsidR="00815366">
              <w:rPr>
                <w:rFonts w:asciiTheme="minorHAnsi" w:hAnsiTheme="minorHAnsi"/>
                <w:sz w:val="20"/>
                <w:szCs w:val="20"/>
                <w:lang w:val="en-US"/>
              </w:rPr>
              <w:t>decimal</w:t>
            </w:r>
            <w:r w:rsidR="00C476B1">
              <w:rPr>
                <w:rFonts w:asciiTheme="minorHAnsi" w:hAnsiTheme="minorHAnsi"/>
                <w:sz w:val="20"/>
                <w:szCs w:val="20"/>
                <w:lang w:val="en-US"/>
              </w:rPr>
              <w:t>s</w:t>
            </w:r>
            <w:r w:rsidR="00FD4FA5">
              <w:rPr>
                <w:rFonts w:asciiTheme="minorHAnsi" w:hAnsiTheme="minorHAnsi"/>
                <w:sz w:val="20"/>
                <w:szCs w:val="20"/>
                <w:lang w:val="en-US"/>
              </w:rPr>
              <w:t xml:space="preserve"> </w:t>
            </w:r>
            <w:r w:rsidR="001A4C9F" w:rsidRPr="001A4C9F">
              <w:rPr>
                <w:rFonts w:asciiTheme="minorHAnsi" w:hAnsiTheme="minorHAnsi"/>
                <w:sz w:val="20"/>
                <w:szCs w:val="20"/>
                <w:lang w:val="en-US"/>
              </w:rPr>
              <w:t>place</w:t>
            </w:r>
            <w:r w:rsidR="00C476B1">
              <w:rPr>
                <w:rFonts w:asciiTheme="minorHAnsi" w:hAnsiTheme="minorHAnsi"/>
                <w:sz w:val="20"/>
                <w:szCs w:val="20"/>
                <w:lang w:val="en-US"/>
              </w:rPr>
              <w:t>s</w:t>
            </w:r>
            <w:r w:rsidR="001A4C9F" w:rsidRPr="001A4C9F">
              <w:rPr>
                <w:rFonts w:asciiTheme="minorHAnsi" w:hAnsiTheme="minorHAnsi"/>
                <w:sz w:val="20"/>
                <w:szCs w:val="20"/>
                <w:lang w:val="en-US"/>
              </w:rPr>
              <w:t>.</w:t>
            </w:r>
          </w:p>
          <w:p w14:paraId="2E84DC93" w14:textId="4AD0B54A" w:rsidR="00D02993" w:rsidRPr="009E003F" w:rsidRDefault="00D02993" w:rsidP="00D02993">
            <w:pPr>
              <w:pStyle w:val="InstructionsText2"/>
              <w:rPr>
                <w:rFonts w:asciiTheme="minorHAnsi" w:hAnsiTheme="minorHAnsi"/>
                <w:sz w:val="20"/>
                <w:szCs w:val="20"/>
                <w:lang w:val="en-US"/>
              </w:rPr>
            </w:pPr>
            <w:r w:rsidRPr="009E003F">
              <w:rPr>
                <w:rFonts w:asciiTheme="minorHAnsi" w:hAnsiTheme="minorHAnsi"/>
                <w:sz w:val="20"/>
                <w:szCs w:val="20"/>
                <w:lang w:val="en-US"/>
              </w:rPr>
              <w:t>Staff mainly focused on AML/CFT compliance-related tasks. This should include at least:</w:t>
            </w:r>
          </w:p>
          <w:p w14:paraId="412A2F19" w14:textId="41AE4FE9" w:rsidR="00CD0488" w:rsidRPr="009E003F" w:rsidRDefault="00D02993" w:rsidP="004854E3">
            <w:pPr>
              <w:pStyle w:val="InstructionsText2"/>
              <w:numPr>
                <w:ilvl w:val="0"/>
                <w:numId w:val="83"/>
              </w:numPr>
              <w:rPr>
                <w:rFonts w:asciiTheme="minorHAnsi" w:hAnsiTheme="minorHAnsi"/>
                <w:sz w:val="20"/>
                <w:szCs w:val="20"/>
                <w:lang w:val="en-US"/>
              </w:rPr>
            </w:pPr>
            <w:r w:rsidRPr="009E003F">
              <w:rPr>
                <w:rFonts w:asciiTheme="minorHAnsi" w:hAnsiTheme="minorHAnsi"/>
                <w:sz w:val="20"/>
                <w:szCs w:val="20"/>
                <w:lang w:val="en-US"/>
              </w:rPr>
              <w:t xml:space="preserve">the compliance officer appointed in accordance with Article 11 </w:t>
            </w:r>
            <w:r w:rsidR="00CF1C22">
              <w:rPr>
                <w:rFonts w:asciiTheme="minorHAnsi" w:hAnsiTheme="minorHAnsi"/>
                <w:sz w:val="20"/>
                <w:szCs w:val="20"/>
                <w:lang w:val="en-US"/>
              </w:rPr>
              <w:t xml:space="preserve">AMLR </w:t>
            </w:r>
            <w:r w:rsidRPr="009E003F">
              <w:rPr>
                <w:rFonts w:asciiTheme="minorHAnsi" w:hAnsiTheme="minorHAnsi"/>
                <w:sz w:val="20"/>
                <w:szCs w:val="20"/>
                <w:lang w:val="en-US"/>
              </w:rPr>
              <w:t>and all the staff assisting the compliance officer in the tasks defined in Article 11</w:t>
            </w:r>
            <w:r w:rsidR="00CF1C22">
              <w:rPr>
                <w:rFonts w:asciiTheme="minorHAnsi" w:hAnsiTheme="minorHAnsi"/>
                <w:sz w:val="20"/>
                <w:szCs w:val="20"/>
                <w:lang w:val="en-US"/>
              </w:rPr>
              <w:t xml:space="preserve"> AMLR</w:t>
            </w:r>
            <w:r w:rsidRPr="009E003F">
              <w:rPr>
                <w:rFonts w:asciiTheme="minorHAnsi" w:hAnsiTheme="minorHAnsi"/>
                <w:sz w:val="20"/>
                <w:szCs w:val="20"/>
                <w:lang w:val="en-US"/>
              </w:rPr>
              <w:t>.</w:t>
            </w:r>
          </w:p>
          <w:p w14:paraId="64495C2D" w14:textId="5703A051" w:rsidR="00D02993" w:rsidRPr="009E003F" w:rsidRDefault="00D02993" w:rsidP="004854E3">
            <w:pPr>
              <w:pStyle w:val="InstructionsText2"/>
              <w:numPr>
                <w:ilvl w:val="0"/>
                <w:numId w:val="83"/>
              </w:numPr>
              <w:rPr>
                <w:rFonts w:asciiTheme="minorHAnsi" w:hAnsiTheme="minorHAnsi"/>
                <w:sz w:val="20"/>
                <w:szCs w:val="20"/>
                <w:lang w:val="en-US"/>
              </w:rPr>
            </w:pPr>
            <w:r w:rsidRPr="009E003F">
              <w:rPr>
                <w:rFonts w:asciiTheme="minorHAnsi" w:hAnsiTheme="minorHAnsi"/>
                <w:sz w:val="20"/>
                <w:szCs w:val="20"/>
                <w:lang w:val="en-US"/>
              </w:rPr>
              <w:t>staff responsible for carrying out the analysis mentioned in Article 69(2) AMLR and staff responsible for reporting suspicious transactions in accordance with Article 69 AMLR.</w:t>
            </w:r>
          </w:p>
          <w:p w14:paraId="6D622275" w14:textId="591AC010" w:rsidR="00D02993" w:rsidRPr="009E003F" w:rsidRDefault="00D02993" w:rsidP="004854E3">
            <w:pPr>
              <w:pStyle w:val="InstructionsText2"/>
              <w:numPr>
                <w:ilvl w:val="0"/>
                <w:numId w:val="83"/>
              </w:numPr>
              <w:rPr>
                <w:rFonts w:asciiTheme="minorHAnsi" w:hAnsiTheme="minorHAnsi"/>
                <w:sz w:val="20"/>
                <w:szCs w:val="20"/>
                <w:lang w:val="en-US"/>
              </w:rPr>
            </w:pPr>
            <w:r w:rsidRPr="009E003F">
              <w:rPr>
                <w:rFonts w:asciiTheme="minorHAnsi" w:hAnsiTheme="minorHAnsi"/>
                <w:sz w:val="20"/>
                <w:szCs w:val="20"/>
                <w:lang w:val="en-US"/>
              </w:rPr>
              <w:t>staff responsible for establishing and reviewing the internal policies and procedures mentioned in Article 9 AMLR</w:t>
            </w:r>
            <w:r w:rsidR="00235B77">
              <w:rPr>
                <w:rFonts w:asciiTheme="minorHAnsi" w:hAnsiTheme="minorHAnsi"/>
                <w:sz w:val="20"/>
                <w:szCs w:val="20"/>
                <w:lang w:val="en-US"/>
              </w:rPr>
              <w:t>.</w:t>
            </w:r>
          </w:p>
          <w:p w14:paraId="76A774C3" w14:textId="5D11FB3F" w:rsidR="002667B0" w:rsidRPr="004B0DBE" w:rsidRDefault="00D02993" w:rsidP="004854E3">
            <w:pPr>
              <w:pStyle w:val="InstructionsText2"/>
              <w:numPr>
                <w:ilvl w:val="0"/>
                <w:numId w:val="83"/>
              </w:numPr>
              <w:rPr>
                <w:rFonts w:asciiTheme="minorHAnsi" w:hAnsiTheme="minorHAnsi"/>
                <w:u w:val="single"/>
                <w:lang w:val="en-US"/>
              </w:rPr>
            </w:pPr>
            <w:r w:rsidRPr="009E003F">
              <w:rPr>
                <w:rFonts w:asciiTheme="minorHAnsi" w:hAnsiTheme="minorHAnsi"/>
                <w:sz w:val="20"/>
                <w:szCs w:val="20"/>
                <w:lang w:val="en-US"/>
              </w:rPr>
              <w:t>all other staff specialising in AML/CFT compliance, including those who spend the majority of their time on tasks listed Article 20 AMLR.</w:t>
            </w:r>
          </w:p>
        </w:tc>
      </w:tr>
      <w:tr w:rsidR="005E211E" w:rsidRPr="009B282E" w14:paraId="1212A53C" w14:textId="77777777" w:rsidTr="004B0DBE">
        <w:tc>
          <w:tcPr>
            <w:tcW w:w="1673" w:type="dxa"/>
            <w:tcBorders>
              <w:top w:val="single" w:sz="4" w:space="0" w:color="auto"/>
              <w:left w:val="single" w:sz="4" w:space="0" w:color="auto"/>
              <w:bottom w:val="single" w:sz="4" w:space="0" w:color="auto"/>
              <w:right w:val="single" w:sz="4" w:space="0" w:color="auto"/>
            </w:tcBorders>
            <w:vAlign w:val="center"/>
          </w:tcPr>
          <w:p w14:paraId="7BA890FF" w14:textId="388ECC14" w:rsidR="00290963" w:rsidRPr="009275BC" w:rsidRDefault="000056A1"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C0030</w:t>
            </w:r>
          </w:p>
        </w:tc>
        <w:tc>
          <w:tcPr>
            <w:tcW w:w="7616" w:type="dxa"/>
            <w:tcBorders>
              <w:top w:val="nil"/>
              <w:left w:val="single" w:sz="4" w:space="0" w:color="000000" w:themeColor="text1"/>
              <w:bottom w:val="single" w:sz="4" w:space="0" w:color="000000" w:themeColor="text1"/>
              <w:right w:val="single" w:sz="4" w:space="0" w:color="000000" w:themeColor="text1"/>
            </w:tcBorders>
          </w:tcPr>
          <w:p w14:paraId="3242C729" w14:textId="77777777" w:rsidR="00491899" w:rsidRDefault="00491899" w:rsidP="00C942CA">
            <w:pPr>
              <w:spacing w:before="0" w:after="0" w:line="240" w:lineRule="auto"/>
              <w:jc w:val="both"/>
              <w:rPr>
                <w:rFonts w:asciiTheme="minorHAnsi" w:eastAsia="Times New Roman" w:hAnsiTheme="minorHAnsi" w:cs="Calibri"/>
                <w:b/>
                <w:bCs/>
                <w:color w:val="000000"/>
                <w:kern w:val="0"/>
                <w:sz w:val="20"/>
                <w:lang w:val="en-IE" w:eastAsia="en-IE"/>
              </w:rPr>
            </w:pPr>
            <w:r w:rsidRPr="003B39FC">
              <w:rPr>
                <w:rFonts w:ascii="Aptos" w:eastAsia="Times New Roman" w:hAnsi="Aptos" w:cs="Calibri"/>
                <w:b/>
                <w:bCs/>
                <w:color w:val="000000"/>
                <w:kern w:val="0"/>
                <w:sz w:val="20"/>
                <w:u w:val="single"/>
                <w:lang w:val="en-IE" w:eastAsia="en-IE"/>
              </w:rPr>
              <w:t>AML Training - Compliance Staff (%)</w:t>
            </w:r>
          </w:p>
          <w:p w14:paraId="4A426EC1" w14:textId="30F4969D" w:rsidR="00C942CA" w:rsidRPr="003B39FC" w:rsidRDefault="00C942CA" w:rsidP="00C942CA">
            <w:pPr>
              <w:spacing w:before="0" w:after="0" w:line="240" w:lineRule="auto"/>
              <w:jc w:val="both"/>
              <w:rPr>
                <w:rFonts w:asciiTheme="minorHAnsi" w:eastAsia="Times New Roman" w:hAnsiTheme="minorHAnsi" w:cs="Calibri"/>
                <w:color w:val="000000"/>
                <w:kern w:val="0"/>
                <w:sz w:val="20"/>
                <w:lang w:val="en-IE" w:eastAsia="en-IE"/>
              </w:rPr>
            </w:pPr>
          </w:p>
          <w:p w14:paraId="23D2B4DA" w14:textId="507C52D2" w:rsidR="00A95D11" w:rsidRPr="003B39FC" w:rsidRDefault="00A95D11" w:rsidP="00A95D11">
            <w:pPr>
              <w:spacing w:before="0" w:after="0" w:line="240" w:lineRule="auto"/>
              <w:jc w:val="both"/>
              <w:rPr>
                <w:rFonts w:asciiTheme="minorHAnsi" w:hAnsiTheme="minorHAnsi"/>
                <w:sz w:val="20"/>
              </w:rPr>
            </w:pPr>
            <w:r w:rsidRPr="003B39FC">
              <w:rPr>
                <w:rFonts w:asciiTheme="minorHAnsi" w:hAnsiTheme="minorHAnsi"/>
                <w:sz w:val="20"/>
              </w:rPr>
              <w:t xml:space="preserve">Indicate the percentage of </w:t>
            </w:r>
            <w:r w:rsidRPr="003B39FC">
              <w:rPr>
                <w:rFonts w:asciiTheme="minorHAnsi" w:eastAsia="Times New Roman" w:hAnsiTheme="minorHAnsi" w:cs="Calibri"/>
                <w:color w:val="000000"/>
                <w:kern w:val="0"/>
                <w:sz w:val="20"/>
                <w:lang w:val="en-IE" w:eastAsia="en-IE"/>
              </w:rPr>
              <w:t xml:space="preserve">AML/CFT compliance </w:t>
            </w:r>
            <w:r w:rsidRPr="003B39FC">
              <w:rPr>
                <w:rFonts w:asciiTheme="minorHAnsi" w:hAnsiTheme="minorHAnsi"/>
                <w:sz w:val="20"/>
              </w:rPr>
              <w:t xml:space="preserve">personnel </w:t>
            </w:r>
            <w:r w:rsidR="0096473D">
              <w:rPr>
                <w:rFonts w:asciiTheme="minorHAnsi" w:hAnsiTheme="minorHAnsi"/>
                <w:sz w:val="20"/>
              </w:rPr>
              <w:t xml:space="preserve">(headcount) </w:t>
            </w:r>
            <w:r w:rsidRPr="003B39FC">
              <w:rPr>
                <w:rFonts w:asciiTheme="minorHAnsi" w:hAnsiTheme="minorHAnsi"/>
                <w:sz w:val="20"/>
              </w:rPr>
              <w:t xml:space="preserve">who have </w:t>
            </w:r>
            <w:r w:rsidR="000C4465">
              <w:rPr>
                <w:rFonts w:asciiTheme="minorHAnsi" w:hAnsiTheme="minorHAnsi"/>
                <w:sz w:val="20"/>
              </w:rPr>
              <w:t>completed</w:t>
            </w:r>
            <w:r w:rsidR="000C4465" w:rsidRPr="003B39FC">
              <w:rPr>
                <w:rFonts w:asciiTheme="minorHAnsi" w:hAnsiTheme="minorHAnsi"/>
                <w:sz w:val="20"/>
              </w:rPr>
              <w:t xml:space="preserve"> </w:t>
            </w:r>
            <w:r w:rsidR="00C41252">
              <w:rPr>
                <w:rFonts w:asciiTheme="minorHAnsi" w:hAnsiTheme="minorHAnsi"/>
                <w:sz w:val="20"/>
              </w:rPr>
              <w:t xml:space="preserve">internal or external </w:t>
            </w:r>
            <w:r w:rsidRPr="003B39FC">
              <w:rPr>
                <w:rFonts w:asciiTheme="minorHAnsi" w:hAnsiTheme="minorHAnsi"/>
                <w:sz w:val="20"/>
              </w:rPr>
              <w:t>AML</w:t>
            </w:r>
            <w:r w:rsidR="00C41252">
              <w:rPr>
                <w:rFonts w:asciiTheme="minorHAnsi" w:hAnsiTheme="minorHAnsi"/>
                <w:sz w:val="20"/>
              </w:rPr>
              <w:t>/CFT</w:t>
            </w:r>
            <w:r w:rsidRPr="003B39FC">
              <w:rPr>
                <w:rFonts w:asciiTheme="minorHAnsi" w:hAnsiTheme="minorHAnsi"/>
                <w:sz w:val="20"/>
              </w:rPr>
              <w:t xml:space="preserve"> training during the reference </w:t>
            </w:r>
            <w:r w:rsidR="0016157E">
              <w:rPr>
                <w:rFonts w:asciiTheme="minorHAnsi" w:hAnsiTheme="minorHAnsi"/>
                <w:sz w:val="20"/>
              </w:rPr>
              <w:t>year</w:t>
            </w:r>
            <w:r w:rsidRPr="003B39FC">
              <w:rPr>
                <w:rFonts w:asciiTheme="minorHAnsi" w:hAnsiTheme="minorHAnsi"/>
                <w:sz w:val="20"/>
              </w:rPr>
              <w:t>.</w:t>
            </w:r>
          </w:p>
          <w:p w14:paraId="04380573" w14:textId="77777777" w:rsidR="00A95D11" w:rsidRPr="004B0DBE" w:rsidRDefault="00A95D11" w:rsidP="00C942CA">
            <w:pPr>
              <w:spacing w:before="0" w:after="0" w:line="240" w:lineRule="auto"/>
              <w:jc w:val="both"/>
              <w:rPr>
                <w:rFonts w:asciiTheme="minorHAnsi" w:eastAsia="Times New Roman" w:hAnsiTheme="minorHAnsi" w:cs="Calibri"/>
                <w:b/>
                <w:bCs/>
                <w:color w:val="000000"/>
                <w:kern w:val="0"/>
                <w:sz w:val="20"/>
                <w:lang w:val="en-IE" w:eastAsia="en-IE"/>
              </w:rPr>
            </w:pPr>
          </w:p>
          <w:p w14:paraId="35BD8EAA" w14:textId="35449DC2" w:rsidR="00290963" w:rsidRDefault="00290963" w:rsidP="003A79C1">
            <w:pPr>
              <w:pStyle w:val="InstructionsText2"/>
              <w:rPr>
                <w:rFonts w:asciiTheme="minorHAnsi" w:hAnsiTheme="minorHAnsi"/>
                <w:sz w:val="20"/>
                <w:szCs w:val="20"/>
                <w:lang w:val="en-US"/>
              </w:rPr>
            </w:pPr>
            <w:r w:rsidRPr="00090329">
              <w:rPr>
                <w:rFonts w:asciiTheme="minorHAnsi" w:hAnsiTheme="minorHAnsi"/>
                <w:sz w:val="20"/>
                <w:szCs w:val="20"/>
                <w:lang w:val="en-US"/>
              </w:rPr>
              <w:t>AML</w:t>
            </w:r>
            <w:r w:rsidR="007D068C">
              <w:rPr>
                <w:rFonts w:asciiTheme="minorHAnsi" w:hAnsiTheme="minorHAnsi"/>
                <w:sz w:val="20"/>
                <w:szCs w:val="20"/>
                <w:lang w:val="en-US"/>
              </w:rPr>
              <w:t>/CFT training</w:t>
            </w:r>
            <w:r w:rsidRPr="00090329">
              <w:rPr>
                <w:rFonts w:asciiTheme="minorHAnsi" w:hAnsiTheme="minorHAnsi"/>
                <w:sz w:val="20"/>
                <w:szCs w:val="20"/>
                <w:lang w:val="en-US"/>
              </w:rPr>
              <w:t xml:space="preserve">: Structured education or instruction provided to employees to ensure they understand their legal obligations, institutional policies, and practical procedures for preventing and detecting money laundering and terrorist financing. Reference can be made to the training programmes as described in </w:t>
            </w:r>
            <w:r w:rsidR="00A96C1F">
              <w:rPr>
                <w:rFonts w:asciiTheme="minorHAnsi" w:hAnsiTheme="minorHAnsi"/>
                <w:sz w:val="20"/>
                <w:szCs w:val="20"/>
                <w:lang w:val="en-US"/>
              </w:rPr>
              <w:t>A</w:t>
            </w:r>
            <w:r w:rsidRPr="00090329">
              <w:rPr>
                <w:rFonts w:asciiTheme="minorHAnsi" w:hAnsiTheme="minorHAnsi"/>
                <w:sz w:val="20"/>
                <w:szCs w:val="20"/>
                <w:lang w:val="en-US"/>
              </w:rPr>
              <w:t>rticle 12 AMLR</w:t>
            </w:r>
            <w:r w:rsidR="00F34D4B">
              <w:rPr>
                <w:rFonts w:asciiTheme="minorHAnsi" w:hAnsiTheme="minorHAnsi"/>
                <w:sz w:val="20"/>
                <w:szCs w:val="20"/>
                <w:lang w:val="en-US"/>
              </w:rPr>
              <w:t>.</w:t>
            </w:r>
            <w:r w:rsidRPr="00090329">
              <w:rPr>
                <w:rFonts w:asciiTheme="minorHAnsi" w:hAnsiTheme="minorHAnsi"/>
                <w:sz w:val="20"/>
                <w:szCs w:val="20"/>
                <w:lang w:val="en-US"/>
              </w:rPr>
              <w:t xml:space="preserve"> </w:t>
            </w:r>
          </w:p>
          <w:p w14:paraId="66DA92E2" w14:textId="39AB3F10" w:rsidR="00DD44B3" w:rsidRPr="00DD44B3" w:rsidRDefault="00DD44B3" w:rsidP="00DD44B3">
            <w:pPr>
              <w:pStyle w:val="InstructionsText2"/>
              <w:rPr>
                <w:rFonts w:asciiTheme="minorHAnsi" w:hAnsiTheme="minorHAnsi"/>
                <w:sz w:val="20"/>
                <w:szCs w:val="20"/>
                <w:lang w:val="en-US"/>
              </w:rPr>
            </w:pPr>
            <w:r>
              <w:rPr>
                <w:rFonts w:asciiTheme="minorHAnsi" w:hAnsiTheme="minorHAnsi"/>
                <w:sz w:val="20"/>
                <w:szCs w:val="20"/>
                <w:lang w:val="en-US"/>
              </w:rPr>
              <w:t xml:space="preserve">AML/CFT Compliance personnel: </w:t>
            </w:r>
            <w:r w:rsidRPr="00DD44B3">
              <w:rPr>
                <w:rFonts w:asciiTheme="minorHAnsi" w:hAnsiTheme="minorHAnsi"/>
                <w:sz w:val="20"/>
                <w:szCs w:val="20"/>
                <w:lang w:val="en-US"/>
              </w:rPr>
              <w:t>Staff</w:t>
            </w:r>
            <w:r>
              <w:rPr>
                <w:rFonts w:asciiTheme="minorHAnsi" w:hAnsiTheme="minorHAnsi"/>
                <w:sz w:val="20"/>
                <w:szCs w:val="20"/>
                <w:lang w:val="en-US"/>
              </w:rPr>
              <w:t xml:space="preserve"> </w:t>
            </w:r>
            <w:r w:rsidRPr="00DD44B3">
              <w:rPr>
                <w:rFonts w:asciiTheme="minorHAnsi" w:hAnsiTheme="minorHAnsi"/>
                <w:sz w:val="20"/>
                <w:szCs w:val="20"/>
                <w:lang w:val="en-US"/>
              </w:rPr>
              <w:t>mainly focused on AML/CFT compliance-related tasks. This should include at least:</w:t>
            </w:r>
          </w:p>
          <w:p w14:paraId="2B7778B8" w14:textId="2464E9B4" w:rsidR="00DD44B3" w:rsidRDefault="00DD44B3" w:rsidP="004854E3">
            <w:pPr>
              <w:pStyle w:val="InstructionsText2"/>
              <w:numPr>
                <w:ilvl w:val="0"/>
                <w:numId w:val="83"/>
              </w:numPr>
              <w:rPr>
                <w:rFonts w:asciiTheme="minorHAnsi" w:hAnsiTheme="minorHAnsi"/>
                <w:sz w:val="20"/>
                <w:szCs w:val="20"/>
                <w:lang w:val="en-US"/>
              </w:rPr>
            </w:pPr>
            <w:r w:rsidRPr="00DD44B3">
              <w:rPr>
                <w:rFonts w:asciiTheme="minorHAnsi" w:hAnsiTheme="minorHAnsi"/>
                <w:sz w:val="20"/>
                <w:szCs w:val="20"/>
                <w:lang w:val="en-US"/>
              </w:rPr>
              <w:t xml:space="preserve">the compliance officer appointed in accordance with Article 11 </w:t>
            </w:r>
            <w:r w:rsidR="00A96C1F">
              <w:rPr>
                <w:rFonts w:asciiTheme="minorHAnsi" w:hAnsiTheme="minorHAnsi"/>
                <w:sz w:val="20"/>
                <w:szCs w:val="20"/>
                <w:lang w:val="en-US"/>
              </w:rPr>
              <w:t>AMLR</w:t>
            </w:r>
            <w:r w:rsidRPr="00DD44B3">
              <w:rPr>
                <w:rFonts w:asciiTheme="minorHAnsi" w:hAnsiTheme="minorHAnsi"/>
                <w:sz w:val="20"/>
                <w:szCs w:val="20"/>
                <w:lang w:val="en-US"/>
              </w:rPr>
              <w:t xml:space="preserve"> and all the staff assisting the compliance officer in the tasks defined in Article 11</w:t>
            </w:r>
            <w:r w:rsidR="00A96C1F">
              <w:rPr>
                <w:rFonts w:asciiTheme="minorHAnsi" w:hAnsiTheme="minorHAnsi"/>
                <w:sz w:val="20"/>
                <w:szCs w:val="20"/>
                <w:lang w:val="en-US"/>
              </w:rPr>
              <w:t xml:space="preserve"> AMLR</w:t>
            </w:r>
            <w:r w:rsidRPr="00DD44B3">
              <w:rPr>
                <w:rFonts w:asciiTheme="minorHAnsi" w:hAnsiTheme="minorHAnsi"/>
                <w:sz w:val="20"/>
                <w:szCs w:val="20"/>
                <w:lang w:val="en-US"/>
              </w:rPr>
              <w:t>.</w:t>
            </w:r>
          </w:p>
          <w:p w14:paraId="7874E3D0" w14:textId="3A03799A" w:rsidR="00DD44B3" w:rsidRPr="00DD44B3" w:rsidRDefault="00DD44B3" w:rsidP="004854E3">
            <w:pPr>
              <w:pStyle w:val="InstructionsText2"/>
              <w:numPr>
                <w:ilvl w:val="0"/>
                <w:numId w:val="83"/>
              </w:numPr>
              <w:rPr>
                <w:rFonts w:asciiTheme="minorHAnsi" w:hAnsiTheme="minorHAnsi"/>
                <w:sz w:val="20"/>
                <w:szCs w:val="20"/>
                <w:lang w:val="en-US"/>
              </w:rPr>
            </w:pPr>
            <w:r w:rsidRPr="00DD44B3">
              <w:rPr>
                <w:rFonts w:asciiTheme="minorHAnsi" w:hAnsiTheme="minorHAnsi"/>
                <w:sz w:val="20"/>
                <w:szCs w:val="20"/>
                <w:lang w:val="en-US"/>
              </w:rPr>
              <w:t>staff responsible for carrying out the analysis mentioned in Article 69(2) AMLR and staff responsible for reporting suspicious transactions in accordance with Article 69 AMLR.</w:t>
            </w:r>
          </w:p>
          <w:p w14:paraId="490B0A6E" w14:textId="58421C25" w:rsidR="00DD44B3" w:rsidRDefault="00DD44B3" w:rsidP="004854E3">
            <w:pPr>
              <w:pStyle w:val="InstructionsText2"/>
              <w:numPr>
                <w:ilvl w:val="0"/>
                <w:numId w:val="83"/>
              </w:numPr>
              <w:rPr>
                <w:rFonts w:asciiTheme="minorHAnsi" w:hAnsiTheme="minorHAnsi"/>
                <w:sz w:val="20"/>
                <w:szCs w:val="20"/>
                <w:lang w:val="en-US"/>
              </w:rPr>
            </w:pPr>
            <w:r w:rsidRPr="00DD44B3">
              <w:rPr>
                <w:rFonts w:asciiTheme="minorHAnsi" w:hAnsiTheme="minorHAnsi"/>
                <w:sz w:val="20"/>
                <w:szCs w:val="20"/>
                <w:lang w:val="en-US"/>
              </w:rPr>
              <w:t>staff responsible for establishing and reviewing the internal policies and procedures mentioned in Article 9 AMLR</w:t>
            </w:r>
            <w:r w:rsidR="008E33C9">
              <w:rPr>
                <w:rFonts w:asciiTheme="minorHAnsi" w:hAnsiTheme="minorHAnsi"/>
                <w:sz w:val="20"/>
                <w:szCs w:val="20"/>
                <w:lang w:val="en-US"/>
              </w:rPr>
              <w:t>.</w:t>
            </w:r>
          </w:p>
          <w:p w14:paraId="0CCF91A2" w14:textId="15286082" w:rsidR="00DD44B3" w:rsidRPr="00DD44B3" w:rsidRDefault="00DD44B3" w:rsidP="004854E3">
            <w:pPr>
              <w:pStyle w:val="InstructionsText2"/>
              <w:numPr>
                <w:ilvl w:val="0"/>
                <w:numId w:val="83"/>
              </w:numPr>
              <w:rPr>
                <w:rFonts w:asciiTheme="minorHAnsi" w:hAnsiTheme="minorHAnsi"/>
                <w:sz w:val="20"/>
                <w:szCs w:val="20"/>
                <w:lang w:val="en-US"/>
              </w:rPr>
            </w:pPr>
            <w:r w:rsidRPr="00DD44B3">
              <w:rPr>
                <w:rFonts w:asciiTheme="minorHAnsi" w:hAnsiTheme="minorHAnsi"/>
                <w:sz w:val="20"/>
                <w:szCs w:val="20"/>
                <w:lang w:val="en-US"/>
              </w:rPr>
              <w:t>all other staff specialising in AML/CFT compliance, including those who spend the majority of their time on tasks listed Article 20 AMLR.</w:t>
            </w:r>
          </w:p>
        </w:tc>
      </w:tr>
      <w:tr w:rsidR="005E211E" w:rsidRPr="009B282E" w14:paraId="610CF21A" w14:textId="77777777" w:rsidTr="004B0DBE">
        <w:tc>
          <w:tcPr>
            <w:tcW w:w="1673" w:type="dxa"/>
            <w:tcBorders>
              <w:top w:val="single" w:sz="4" w:space="0" w:color="auto"/>
              <w:left w:val="single" w:sz="4" w:space="0" w:color="auto"/>
              <w:bottom w:val="single" w:sz="4" w:space="0" w:color="auto"/>
              <w:right w:val="single" w:sz="4" w:space="0" w:color="auto"/>
            </w:tcBorders>
            <w:vAlign w:val="center"/>
          </w:tcPr>
          <w:p w14:paraId="38787A7A" w14:textId="71CEF4AD" w:rsidR="00C942CA" w:rsidRPr="009275BC" w:rsidRDefault="000056A1"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C0040</w:t>
            </w:r>
          </w:p>
        </w:tc>
        <w:tc>
          <w:tcPr>
            <w:tcW w:w="7616" w:type="dxa"/>
            <w:tcBorders>
              <w:top w:val="nil"/>
              <w:left w:val="single" w:sz="4" w:space="0" w:color="000000" w:themeColor="text1"/>
              <w:bottom w:val="single" w:sz="4" w:space="0" w:color="000000" w:themeColor="text1"/>
              <w:right w:val="single" w:sz="4" w:space="0" w:color="000000" w:themeColor="text1"/>
            </w:tcBorders>
          </w:tcPr>
          <w:p w14:paraId="7DF3005A" w14:textId="10EFFFA3" w:rsidR="00491899" w:rsidRDefault="00491899" w:rsidP="00C942CA">
            <w:pPr>
              <w:spacing w:before="0" w:after="0" w:line="240" w:lineRule="auto"/>
              <w:jc w:val="both"/>
              <w:rPr>
                <w:rFonts w:asciiTheme="minorHAnsi" w:hAnsiTheme="minorHAnsi"/>
                <w:b/>
                <w:bCs/>
                <w:sz w:val="20"/>
                <w:u w:val="single"/>
              </w:rPr>
            </w:pPr>
            <w:r w:rsidRPr="003B39FC">
              <w:rPr>
                <w:rFonts w:ascii="Aptos" w:hAnsi="Aptos"/>
                <w:b/>
                <w:bCs/>
                <w:sz w:val="20"/>
                <w:u w:val="single"/>
              </w:rPr>
              <w:t xml:space="preserve">AML Training - Non-AML/CFT Compliance Personnel </w:t>
            </w:r>
          </w:p>
          <w:p w14:paraId="4398A1FE" w14:textId="46DF41FA" w:rsidR="00C942CA" w:rsidRPr="004B0DBE" w:rsidRDefault="00C942CA" w:rsidP="00C942CA">
            <w:pPr>
              <w:spacing w:before="0" w:after="0" w:line="240" w:lineRule="auto"/>
              <w:jc w:val="both"/>
              <w:rPr>
                <w:rFonts w:asciiTheme="minorHAnsi" w:hAnsiTheme="minorHAnsi"/>
                <w:b/>
                <w:bCs/>
                <w:sz w:val="20"/>
                <w:u w:val="single"/>
              </w:rPr>
            </w:pPr>
          </w:p>
          <w:p w14:paraId="65BF4FC7" w14:textId="5D06144D" w:rsidR="00185BE3" w:rsidRPr="003B39FC" w:rsidRDefault="00185BE3" w:rsidP="00185BE3">
            <w:pPr>
              <w:spacing w:before="0" w:after="0" w:line="240" w:lineRule="auto"/>
              <w:jc w:val="both"/>
              <w:rPr>
                <w:rFonts w:asciiTheme="minorHAnsi" w:hAnsiTheme="minorHAnsi"/>
                <w:sz w:val="20"/>
              </w:rPr>
            </w:pPr>
            <w:r w:rsidRPr="003B39FC">
              <w:rPr>
                <w:rFonts w:asciiTheme="minorHAnsi" w:hAnsiTheme="minorHAnsi"/>
                <w:sz w:val="20"/>
              </w:rPr>
              <w:t>Indicate the percentage of non-AML</w:t>
            </w:r>
            <w:r w:rsidRPr="003B39FC">
              <w:rPr>
                <w:rFonts w:asciiTheme="minorHAnsi" w:eastAsia="Times New Roman" w:hAnsiTheme="minorHAnsi" w:cs="Calibri"/>
                <w:color w:val="000000"/>
                <w:kern w:val="0"/>
                <w:sz w:val="20"/>
                <w:lang w:val="en-IE" w:eastAsia="en-IE"/>
              </w:rPr>
              <w:t xml:space="preserve">/CFT compliance </w:t>
            </w:r>
            <w:r w:rsidRPr="003B39FC">
              <w:rPr>
                <w:rFonts w:asciiTheme="minorHAnsi" w:hAnsiTheme="minorHAnsi"/>
                <w:sz w:val="20"/>
              </w:rPr>
              <w:t>personnel who have received AML</w:t>
            </w:r>
            <w:r w:rsidR="00631B98">
              <w:rPr>
                <w:rFonts w:asciiTheme="minorHAnsi" w:hAnsiTheme="minorHAnsi"/>
                <w:sz w:val="20"/>
              </w:rPr>
              <w:t>/CFT</w:t>
            </w:r>
            <w:r w:rsidRPr="003B39FC">
              <w:rPr>
                <w:rFonts w:asciiTheme="minorHAnsi" w:hAnsiTheme="minorHAnsi"/>
                <w:sz w:val="20"/>
              </w:rPr>
              <w:t xml:space="preserve"> training during the reference year</w:t>
            </w:r>
            <w:r>
              <w:rPr>
                <w:rFonts w:asciiTheme="minorHAnsi" w:hAnsiTheme="minorHAnsi"/>
                <w:sz w:val="20"/>
              </w:rPr>
              <w:t>.</w:t>
            </w:r>
          </w:p>
          <w:p w14:paraId="68ED8E2A" w14:textId="77777777" w:rsidR="00185BE3" w:rsidRPr="004B0DBE" w:rsidRDefault="00185BE3" w:rsidP="00185BE3">
            <w:pPr>
              <w:spacing w:before="0" w:after="0" w:line="240" w:lineRule="auto"/>
              <w:jc w:val="both"/>
              <w:rPr>
                <w:rFonts w:asciiTheme="minorHAnsi" w:hAnsiTheme="minorHAnsi"/>
                <w:b/>
                <w:bCs/>
                <w:sz w:val="20"/>
                <w:u w:val="single"/>
              </w:rPr>
            </w:pPr>
          </w:p>
          <w:p w14:paraId="43F410BC" w14:textId="6A5BBEC0" w:rsidR="00913D54" w:rsidRDefault="00913D54" w:rsidP="00C942CA">
            <w:pPr>
              <w:pStyle w:val="InstructionsText2"/>
              <w:rPr>
                <w:rFonts w:asciiTheme="minorHAnsi" w:hAnsiTheme="minorHAnsi"/>
                <w:sz w:val="20"/>
                <w:szCs w:val="20"/>
                <w:lang w:val="en-US"/>
              </w:rPr>
            </w:pPr>
            <w:r w:rsidRPr="00913D54">
              <w:rPr>
                <w:rFonts w:asciiTheme="minorHAnsi" w:hAnsiTheme="minorHAnsi"/>
                <w:sz w:val="20"/>
                <w:szCs w:val="20"/>
                <w:lang w:val="en-US"/>
              </w:rPr>
              <w:t>AML</w:t>
            </w:r>
            <w:r w:rsidR="00513666">
              <w:rPr>
                <w:rFonts w:asciiTheme="minorHAnsi" w:hAnsiTheme="minorHAnsi"/>
                <w:sz w:val="20"/>
                <w:szCs w:val="20"/>
                <w:lang w:val="en-US"/>
              </w:rPr>
              <w:t>/CFT training</w:t>
            </w:r>
            <w:r w:rsidRPr="00913D54">
              <w:rPr>
                <w:rFonts w:asciiTheme="minorHAnsi" w:hAnsiTheme="minorHAnsi"/>
                <w:sz w:val="20"/>
                <w:szCs w:val="20"/>
                <w:lang w:val="en-US"/>
              </w:rPr>
              <w:t xml:space="preserve">: Structured education or instruction provided to employees to ensure they understand their legal obligations, institutional policies, and practical procedures for preventing and detecting money laundering and terrorist financing. Reference can be made to the training programmes as described in </w:t>
            </w:r>
            <w:r w:rsidR="003210DB">
              <w:rPr>
                <w:rFonts w:asciiTheme="minorHAnsi" w:hAnsiTheme="minorHAnsi"/>
                <w:sz w:val="20"/>
                <w:szCs w:val="20"/>
                <w:lang w:val="en-US"/>
              </w:rPr>
              <w:t>A</w:t>
            </w:r>
            <w:r w:rsidRPr="00913D54">
              <w:rPr>
                <w:rFonts w:asciiTheme="minorHAnsi" w:hAnsiTheme="minorHAnsi"/>
                <w:sz w:val="20"/>
                <w:szCs w:val="20"/>
                <w:lang w:val="en-US"/>
              </w:rPr>
              <w:t>rticle 12 AMLR</w:t>
            </w:r>
            <w:r w:rsidR="003210DB">
              <w:rPr>
                <w:rFonts w:asciiTheme="minorHAnsi" w:hAnsiTheme="minorHAnsi"/>
                <w:sz w:val="20"/>
                <w:szCs w:val="20"/>
                <w:lang w:val="en-US"/>
              </w:rPr>
              <w:t>.</w:t>
            </w:r>
          </w:p>
          <w:p w14:paraId="00FF6687" w14:textId="2DF441C6" w:rsidR="00C942CA" w:rsidRPr="00FD5BC8" w:rsidRDefault="00C942CA" w:rsidP="00FD5BC8">
            <w:pPr>
              <w:pStyle w:val="InstructionsText2"/>
              <w:rPr>
                <w:rFonts w:asciiTheme="minorHAnsi" w:hAnsiTheme="minorHAnsi"/>
                <w:sz w:val="20"/>
                <w:szCs w:val="20"/>
                <w:lang w:val="en-US"/>
              </w:rPr>
            </w:pPr>
            <w:r w:rsidRPr="00913D54">
              <w:rPr>
                <w:rFonts w:asciiTheme="minorHAnsi" w:hAnsiTheme="minorHAnsi"/>
                <w:sz w:val="20"/>
                <w:szCs w:val="20"/>
                <w:lang w:val="en-US"/>
              </w:rPr>
              <w:t>Non-AML/CFT specialist staff</w:t>
            </w:r>
            <w:r w:rsidR="00C1102D">
              <w:rPr>
                <w:rFonts w:asciiTheme="minorHAnsi" w:hAnsiTheme="minorHAnsi"/>
                <w:sz w:val="20"/>
                <w:szCs w:val="20"/>
                <w:lang w:val="en-US"/>
              </w:rPr>
              <w:t xml:space="preserve"> (e.g. customer facing staff)</w:t>
            </w:r>
            <w:r w:rsidRPr="00913D54">
              <w:rPr>
                <w:rFonts w:asciiTheme="minorHAnsi" w:hAnsiTheme="minorHAnsi"/>
                <w:sz w:val="20"/>
                <w:szCs w:val="20"/>
                <w:lang w:val="en-US"/>
              </w:rPr>
              <w:t>: Other relevant staff, with no dedicated AML/CFT functions, who are involved in the performing of AML/CFT duties or perform functions that are relevant from an AML/CFT perspective. This includes, but is not limited to, all staff who are not AML Specialists but who have knowledge of customer and/or transaction information and who should be able to contribute to the detection of facts relevant to Article 69 AMLR (such as front-office staff), internal auditors and senior management.</w:t>
            </w:r>
          </w:p>
        </w:tc>
      </w:tr>
      <w:tr w:rsidR="005E211E" w:rsidRPr="009B282E" w14:paraId="4869F9D8" w14:textId="77777777" w:rsidTr="004B0DBE">
        <w:tc>
          <w:tcPr>
            <w:tcW w:w="1673" w:type="dxa"/>
            <w:tcBorders>
              <w:top w:val="single" w:sz="4" w:space="0" w:color="auto"/>
              <w:left w:val="single" w:sz="4" w:space="0" w:color="auto"/>
              <w:bottom w:val="single" w:sz="4" w:space="0" w:color="auto"/>
              <w:right w:val="single" w:sz="4" w:space="0" w:color="auto"/>
            </w:tcBorders>
            <w:vAlign w:val="center"/>
          </w:tcPr>
          <w:p w14:paraId="14A78194" w14:textId="115CECB0" w:rsidR="00C942CA" w:rsidRPr="009275BC" w:rsidRDefault="000056A1"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C0050</w:t>
            </w:r>
          </w:p>
        </w:tc>
        <w:tc>
          <w:tcPr>
            <w:tcW w:w="7616" w:type="dxa"/>
            <w:tcBorders>
              <w:top w:val="nil"/>
              <w:left w:val="single" w:sz="4" w:space="0" w:color="000000" w:themeColor="text1"/>
              <w:bottom w:val="single" w:sz="4" w:space="0" w:color="000000" w:themeColor="text1"/>
              <w:right w:val="single" w:sz="4" w:space="0" w:color="000000" w:themeColor="text1"/>
            </w:tcBorders>
          </w:tcPr>
          <w:p w14:paraId="2ABF8F5F" w14:textId="77777777" w:rsidR="00491899" w:rsidRDefault="00491899" w:rsidP="00A63318">
            <w:pPr>
              <w:pStyle w:val="InstructionsText2"/>
              <w:rPr>
                <w:rFonts w:asciiTheme="minorHAnsi" w:hAnsiTheme="minorHAnsi"/>
                <w:sz w:val="20"/>
              </w:rPr>
            </w:pPr>
            <w:r w:rsidRPr="003B39FC">
              <w:rPr>
                <w:rFonts w:ascii="Aptos" w:hAnsi="Aptos"/>
                <w:b/>
                <w:sz w:val="20"/>
                <w:u w:val="single"/>
              </w:rPr>
              <w:t>AML Training - Agents and Distributors (%)</w:t>
            </w:r>
          </w:p>
          <w:p w14:paraId="561C3403" w14:textId="419A17D1" w:rsidR="00CD0B37" w:rsidRPr="003B39FC" w:rsidRDefault="00CD0B37" w:rsidP="00CD0B37">
            <w:pPr>
              <w:spacing w:before="0" w:after="0" w:line="240" w:lineRule="auto"/>
              <w:jc w:val="both"/>
              <w:rPr>
                <w:rFonts w:asciiTheme="minorHAnsi" w:hAnsiTheme="minorHAnsi"/>
                <w:sz w:val="20"/>
              </w:rPr>
            </w:pPr>
            <w:r w:rsidRPr="00CD0B37">
              <w:rPr>
                <w:rFonts w:asciiTheme="minorHAnsi" w:hAnsiTheme="minorHAnsi"/>
                <w:sz w:val="20"/>
              </w:rPr>
              <w:t>Indicate the p</w:t>
            </w:r>
            <w:r w:rsidRPr="003B39FC">
              <w:rPr>
                <w:rFonts w:asciiTheme="minorHAnsi" w:hAnsiTheme="minorHAnsi"/>
                <w:sz w:val="20"/>
              </w:rPr>
              <w:t xml:space="preserve">ercentage of </w:t>
            </w:r>
            <w:r w:rsidRPr="003B39FC">
              <w:rPr>
                <w:rFonts w:asciiTheme="minorHAnsi" w:eastAsia="Times New Roman" w:hAnsiTheme="minorHAnsi" w:cs="Calibri"/>
                <w:color w:val="000000"/>
                <w:kern w:val="0"/>
                <w:sz w:val="20"/>
                <w:lang w:eastAsia="en-IE"/>
              </w:rPr>
              <w:t>A</w:t>
            </w:r>
            <w:r w:rsidRPr="003B39FC">
              <w:rPr>
                <w:rFonts w:asciiTheme="minorHAnsi" w:eastAsia="Times New Roman" w:hAnsiTheme="minorHAnsi" w:cs="Calibri"/>
                <w:color w:val="000000"/>
                <w:kern w:val="0"/>
                <w:sz w:val="20"/>
                <w:lang w:val="en-IE" w:eastAsia="en-IE"/>
              </w:rPr>
              <w:t xml:space="preserve">gents and Distributors </w:t>
            </w:r>
            <w:r w:rsidRPr="003B39FC">
              <w:rPr>
                <w:rFonts w:asciiTheme="minorHAnsi" w:hAnsiTheme="minorHAnsi"/>
                <w:sz w:val="20"/>
              </w:rPr>
              <w:t>who have received AML</w:t>
            </w:r>
            <w:r w:rsidR="00631B98">
              <w:rPr>
                <w:rFonts w:asciiTheme="minorHAnsi" w:hAnsiTheme="minorHAnsi"/>
                <w:sz w:val="20"/>
              </w:rPr>
              <w:t>/CFT</w:t>
            </w:r>
            <w:r w:rsidRPr="003B39FC">
              <w:rPr>
                <w:rFonts w:asciiTheme="minorHAnsi" w:hAnsiTheme="minorHAnsi"/>
                <w:sz w:val="20"/>
              </w:rPr>
              <w:t xml:space="preserve"> training during the reference year.</w:t>
            </w:r>
          </w:p>
          <w:p w14:paraId="1513D25E" w14:textId="77777777" w:rsidR="00CD0B37" w:rsidRPr="004B0DBE" w:rsidRDefault="00CD0B37" w:rsidP="00CD0B37">
            <w:pPr>
              <w:spacing w:before="0" w:after="0" w:line="240" w:lineRule="auto"/>
              <w:jc w:val="both"/>
              <w:rPr>
                <w:rFonts w:asciiTheme="minorHAnsi" w:hAnsiTheme="minorHAnsi"/>
                <w:b/>
                <w:bCs/>
                <w:sz w:val="20"/>
                <w:u w:val="single"/>
              </w:rPr>
            </w:pPr>
          </w:p>
          <w:p w14:paraId="208E5A8C" w14:textId="2B1E0A7F" w:rsidR="00A63318" w:rsidRPr="00A63318" w:rsidRDefault="00A63318" w:rsidP="00A63318">
            <w:pPr>
              <w:pStyle w:val="InstructionsText2"/>
              <w:rPr>
                <w:rFonts w:asciiTheme="minorHAnsi" w:hAnsiTheme="minorHAnsi"/>
                <w:sz w:val="20"/>
              </w:rPr>
            </w:pPr>
            <w:r w:rsidRPr="00A63318">
              <w:rPr>
                <w:rFonts w:asciiTheme="minorHAnsi" w:hAnsiTheme="minorHAnsi"/>
                <w:sz w:val="20"/>
              </w:rPr>
              <w:t>AML</w:t>
            </w:r>
            <w:r w:rsidR="00513666">
              <w:rPr>
                <w:rFonts w:asciiTheme="minorHAnsi" w:hAnsiTheme="minorHAnsi"/>
                <w:sz w:val="20"/>
                <w:szCs w:val="20"/>
                <w:lang w:val="en-US"/>
              </w:rPr>
              <w:t>/CFT training</w:t>
            </w:r>
            <w:r w:rsidRPr="00A63318">
              <w:rPr>
                <w:rFonts w:asciiTheme="minorHAnsi" w:hAnsiTheme="minorHAnsi"/>
                <w:sz w:val="20"/>
              </w:rPr>
              <w:t xml:space="preserve">: Structured education or instruction provided to employees to ensure they understand their legal obligations, institutional policies, and practical procedures for preventing and detecting money laundering and terrorist financing. Reference can be made to the training programmes as described in </w:t>
            </w:r>
            <w:r w:rsidR="003210DB">
              <w:rPr>
                <w:rFonts w:asciiTheme="minorHAnsi" w:hAnsiTheme="minorHAnsi"/>
                <w:sz w:val="20"/>
              </w:rPr>
              <w:t>A</w:t>
            </w:r>
            <w:r w:rsidRPr="00A63318">
              <w:rPr>
                <w:rFonts w:asciiTheme="minorHAnsi" w:hAnsiTheme="minorHAnsi"/>
                <w:sz w:val="20"/>
              </w:rPr>
              <w:t>rticle 12 AMLR</w:t>
            </w:r>
            <w:r w:rsidR="003210DB">
              <w:rPr>
                <w:rFonts w:asciiTheme="minorHAnsi" w:hAnsiTheme="minorHAnsi"/>
                <w:sz w:val="20"/>
              </w:rPr>
              <w:t>.</w:t>
            </w:r>
          </w:p>
          <w:p w14:paraId="2933EA28" w14:textId="3065FE31" w:rsidR="00C942CA" w:rsidRPr="00A63318" w:rsidRDefault="00C942CA" w:rsidP="00C942CA">
            <w:pPr>
              <w:pStyle w:val="InstructionsText2"/>
              <w:rPr>
                <w:rFonts w:asciiTheme="minorHAnsi" w:hAnsiTheme="minorHAnsi"/>
                <w:sz w:val="20"/>
                <w:szCs w:val="20"/>
                <w:lang w:val="en-US"/>
              </w:rPr>
            </w:pPr>
            <w:r w:rsidRPr="00A63318">
              <w:rPr>
                <w:rFonts w:asciiTheme="minorHAnsi" w:hAnsiTheme="minorHAnsi"/>
                <w:sz w:val="20"/>
                <w:szCs w:val="20"/>
                <w:lang w:val="en-US"/>
              </w:rPr>
              <w:t>Agents are intermediaries that are under the full responsibility of a credit or financial institution.</w:t>
            </w:r>
          </w:p>
          <w:p w14:paraId="7922D59E" w14:textId="554C6EC3" w:rsidR="00C942CA" w:rsidRPr="00FD5BC8" w:rsidRDefault="00C942CA" w:rsidP="00FD5BC8">
            <w:pPr>
              <w:pStyle w:val="InstructionsText2"/>
              <w:rPr>
                <w:rFonts w:asciiTheme="minorHAnsi" w:hAnsiTheme="minorHAnsi"/>
                <w:sz w:val="20"/>
                <w:szCs w:val="20"/>
                <w:lang w:val="en-US"/>
              </w:rPr>
            </w:pPr>
            <w:r w:rsidRPr="00A63318">
              <w:rPr>
                <w:rFonts w:asciiTheme="minorHAnsi" w:hAnsiTheme="minorHAnsi"/>
                <w:sz w:val="20"/>
                <w:szCs w:val="20"/>
                <w:lang w:val="en-US"/>
              </w:rPr>
              <w:t>Distributors are legal or natural person</w:t>
            </w:r>
            <w:r w:rsidR="001F5D05">
              <w:rPr>
                <w:rFonts w:asciiTheme="minorHAnsi" w:hAnsiTheme="minorHAnsi"/>
                <w:sz w:val="20"/>
                <w:szCs w:val="20"/>
                <w:lang w:val="en-US"/>
              </w:rPr>
              <w:t>s</w:t>
            </w:r>
            <w:r w:rsidRPr="00A63318">
              <w:rPr>
                <w:rFonts w:asciiTheme="minorHAnsi" w:hAnsiTheme="minorHAnsi"/>
                <w:sz w:val="20"/>
                <w:szCs w:val="20"/>
                <w:lang w:val="en-US"/>
              </w:rPr>
              <w:t xml:space="preserve"> that can distribute and redeem electronic money pursuant to Article 3(4) of the E-Money Directive (Directive 2009/110/EC).</w:t>
            </w:r>
          </w:p>
        </w:tc>
      </w:tr>
      <w:tr w:rsidR="005E211E" w:rsidRPr="009B282E" w14:paraId="59E92C99" w14:textId="77777777" w:rsidTr="004B0DBE">
        <w:tc>
          <w:tcPr>
            <w:tcW w:w="1673" w:type="dxa"/>
            <w:tcBorders>
              <w:top w:val="single" w:sz="4" w:space="0" w:color="auto"/>
              <w:left w:val="single" w:sz="4" w:space="0" w:color="auto"/>
              <w:bottom w:val="single" w:sz="4" w:space="0" w:color="auto"/>
              <w:right w:val="single" w:sz="4" w:space="0" w:color="auto"/>
            </w:tcBorders>
            <w:vAlign w:val="center"/>
          </w:tcPr>
          <w:p w14:paraId="5039074B" w14:textId="35A247CC" w:rsidR="00C942CA" w:rsidRPr="009275BC" w:rsidRDefault="000056A1"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C0060</w:t>
            </w:r>
          </w:p>
        </w:tc>
        <w:tc>
          <w:tcPr>
            <w:tcW w:w="7616" w:type="dxa"/>
            <w:tcBorders>
              <w:top w:val="nil"/>
              <w:left w:val="single" w:sz="4" w:space="0" w:color="000000" w:themeColor="text1"/>
              <w:bottom w:val="single" w:sz="4" w:space="0" w:color="000000" w:themeColor="text1"/>
              <w:right w:val="single" w:sz="4" w:space="0" w:color="000000" w:themeColor="text1"/>
            </w:tcBorders>
          </w:tcPr>
          <w:p w14:paraId="26DF16FD" w14:textId="509814F3" w:rsidR="00491899" w:rsidRDefault="00491899" w:rsidP="00C942CA">
            <w:pPr>
              <w:spacing w:before="0" w:after="0" w:line="240" w:lineRule="auto"/>
              <w:jc w:val="both"/>
              <w:rPr>
                <w:rFonts w:asciiTheme="minorHAnsi" w:eastAsia="Times New Roman" w:hAnsiTheme="minorHAnsi" w:cs="Calibri"/>
                <w:b/>
                <w:bCs/>
                <w:sz w:val="20"/>
              </w:rPr>
            </w:pPr>
            <w:commentRangeStart w:id="282"/>
            <w:r w:rsidRPr="003B39FC">
              <w:rPr>
                <w:rFonts w:ascii="Aptos" w:eastAsia="Times New Roman" w:hAnsi="Aptos" w:cs="Calibri"/>
                <w:b/>
                <w:bCs/>
                <w:sz w:val="20"/>
                <w:u w:val="single"/>
              </w:rPr>
              <w:t xml:space="preserve">AML Training - Members </w:t>
            </w:r>
            <w:r w:rsidR="00936E51">
              <w:rPr>
                <w:rFonts w:ascii="Aptos" w:eastAsia="Times New Roman" w:hAnsi="Aptos" w:cs="Calibri"/>
                <w:b/>
                <w:bCs/>
                <w:sz w:val="20"/>
                <w:u w:val="single"/>
              </w:rPr>
              <w:t xml:space="preserve">of the management body </w:t>
            </w:r>
            <w:r w:rsidRPr="003B39FC">
              <w:rPr>
                <w:rFonts w:ascii="Aptos" w:eastAsia="Times New Roman" w:hAnsi="Aptos" w:cs="Calibri"/>
                <w:b/>
                <w:bCs/>
                <w:sz w:val="20"/>
                <w:u w:val="single"/>
              </w:rPr>
              <w:t>(%)</w:t>
            </w:r>
            <w:commentRangeEnd w:id="282"/>
            <w:r w:rsidR="00AE58E9">
              <w:rPr>
                <w:rStyle w:val="CommentReference"/>
                <w:rFonts w:asciiTheme="minorHAnsi" w:eastAsia="Times New Roman" w:hAnsiTheme="minorHAnsi" w:cs="Calibri"/>
                <w:b/>
                <w:bCs/>
                <w:sz w:val="20"/>
              </w:rPr>
              <w:commentReference w:id="282"/>
            </w:r>
          </w:p>
          <w:p w14:paraId="68CE76FE" w14:textId="11EC0742" w:rsidR="00CC0570" w:rsidRDefault="00CC0570" w:rsidP="00C942CA">
            <w:pPr>
              <w:spacing w:before="0" w:after="0" w:line="240" w:lineRule="auto"/>
              <w:jc w:val="both"/>
              <w:rPr>
                <w:rFonts w:asciiTheme="minorHAnsi" w:eastAsia="Times New Roman" w:hAnsiTheme="minorHAnsi" w:cs="Calibri"/>
                <w:b/>
                <w:bCs/>
                <w:sz w:val="20"/>
              </w:rPr>
            </w:pPr>
          </w:p>
          <w:p w14:paraId="2C139C44" w14:textId="6B0ECD78" w:rsidR="00A5766F" w:rsidRPr="00047410" w:rsidRDefault="00A5766F" w:rsidP="00A5766F">
            <w:pPr>
              <w:spacing w:before="0" w:after="0" w:line="240" w:lineRule="auto"/>
              <w:jc w:val="both"/>
              <w:rPr>
                <w:rFonts w:asciiTheme="minorHAnsi" w:hAnsiTheme="minorHAnsi"/>
                <w:sz w:val="20"/>
              </w:rPr>
            </w:pPr>
            <w:r w:rsidRPr="00456828">
              <w:rPr>
                <w:rFonts w:asciiTheme="minorHAnsi" w:eastAsia="Times New Roman" w:hAnsiTheme="minorHAnsi" w:cs="Calibri"/>
                <w:color w:val="000000"/>
                <w:kern w:val="0"/>
                <w:sz w:val="20"/>
                <w:lang w:val="en-GB" w:eastAsia="en-IE"/>
              </w:rPr>
              <w:t xml:space="preserve">Indicate the </w:t>
            </w:r>
            <w:r w:rsidRPr="003B39FC">
              <w:rPr>
                <w:rFonts w:asciiTheme="minorHAnsi" w:hAnsiTheme="minorHAnsi"/>
                <w:sz w:val="20"/>
              </w:rPr>
              <w:t>percentage o</w:t>
            </w:r>
            <w:r w:rsidR="00411772">
              <w:rPr>
                <w:rFonts w:asciiTheme="minorHAnsi" w:hAnsiTheme="minorHAnsi"/>
                <w:sz w:val="20"/>
              </w:rPr>
              <w:t>f the Management Body (both in its</w:t>
            </w:r>
            <w:r w:rsidR="00047410" w:rsidRPr="00047410">
              <w:t xml:space="preserve"> </w:t>
            </w:r>
            <w:r w:rsidR="00047410">
              <w:rPr>
                <w:rFonts w:asciiTheme="minorHAnsi" w:hAnsiTheme="minorHAnsi"/>
                <w:sz w:val="20"/>
              </w:rPr>
              <w:t>management</w:t>
            </w:r>
            <w:r w:rsidR="00047410" w:rsidRPr="00047410">
              <w:rPr>
                <w:rFonts w:asciiTheme="minorHAnsi" w:hAnsiTheme="minorHAnsi"/>
                <w:sz w:val="20"/>
              </w:rPr>
              <w:t xml:space="preserve"> function </w:t>
            </w:r>
            <w:r w:rsidR="00047410">
              <w:rPr>
                <w:rFonts w:asciiTheme="minorHAnsi" w:hAnsiTheme="minorHAnsi"/>
                <w:sz w:val="20"/>
              </w:rPr>
              <w:t>and</w:t>
            </w:r>
            <w:r w:rsidR="00047410" w:rsidRPr="00047410">
              <w:rPr>
                <w:rFonts w:asciiTheme="minorHAnsi" w:hAnsiTheme="minorHAnsi"/>
                <w:sz w:val="20"/>
              </w:rPr>
              <w:t xml:space="preserve"> its </w:t>
            </w:r>
            <w:r w:rsidR="00047410">
              <w:rPr>
                <w:rFonts w:asciiTheme="minorHAnsi" w:hAnsiTheme="minorHAnsi"/>
                <w:sz w:val="20"/>
              </w:rPr>
              <w:t>supervisory</w:t>
            </w:r>
            <w:r w:rsidR="00047410" w:rsidRPr="00047410">
              <w:rPr>
                <w:rFonts w:asciiTheme="minorHAnsi" w:hAnsiTheme="minorHAnsi"/>
                <w:sz w:val="20"/>
              </w:rPr>
              <w:t xml:space="preserve"> function</w:t>
            </w:r>
            <w:r w:rsidR="00047410">
              <w:rPr>
                <w:rFonts w:asciiTheme="minorHAnsi" w:hAnsiTheme="minorHAnsi"/>
                <w:sz w:val="20"/>
              </w:rPr>
              <w:t xml:space="preserve">) </w:t>
            </w:r>
            <w:r w:rsidRPr="003B39FC">
              <w:rPr>
                <w:rFonts w:asciiTheme="minorHAnsi" w:hAnsiTheme="minorHAnsi"/>
                <w:sz w:val="20"/>
              </w:rPr>
              <w:t>who have received AML</w:t>
            </w:r>
            <w:r w:rsidR="008966DC">
              <w:rPr>
                <w:rFonts w:asciiTheme="minorHAnsi" w:hAnsiTheme="minorHAnsi"/>
                <w:sz w:val="20"/>
              </w:rPr>
              <w:t>/CFT</w:t>
            </w:r>
            <w:r w:rsidRPr="003B39FC">
              <w:rPr>
                <w:rFonts w:asciiTheme="minorHAnsi" w:hAnsiTheme="minorHAnsi"/>
                <w:sz w:val="20"/>
              </w:rPr>
              <w:t xml:space="preserve"> training during the reference year.</w:t>
            </w:r>
          </w:p>
          <w:p w14:paraId="04DF13A9" w14:textId="77777777" w:rsidR="00A5766F" w:rsidRDefault="00A5766F" w:rsidP="00032E6A">
            <w:pPr>
              <w:spacing w:before="0" w:after="0" w:line="240" w:lineRule="auto"/>
              <w:jc w:val="both"/>
              <w:rPr>
                <w:rFonts w:asciiTheme="minorHAnsi" w:eastAsia="Times New Roman" w:hAnsiTheme="minorHAnsi" w:cs="Calibri"/>
                <w:color w:val="000000"/>
                <w:kern w:val="0"/>
                <w:sz w:val="20"/>
                <w:lang w:val="en-GB" w:eastAsia="en-IE"/>
              </w:rPr>
            </w:pPr>
          </w:p>
          <w:p w14:paraId="70323CAB" w14:textId="6B49BE7D" w:rsidR="00032E6A" w:rsidRPr="00032E6A" w:rsidRDefault="00032E6A" w:rsidP="00032E6A">
            <w:pPr>
              <w:spacing w:before="0" w:after="0" w:line="240" w:lineRule="auto"/>
              <w:jc w:val="both"/>
              <w:rPr>
                <w:rFonts w:asciiTheme="minorHAnsi" w:eastAsia="Times New Roman" w:hAnsiTheme="minorHAnsi" w:cs="Calibri"/>
                <w:color w:val="000000"/>
                <w:kern w:val="0"/>
                <w:sz w:val="20"/>
                <w:lang w:val="en-GB" w:eastAsia="en-IE"/>
              </w:rPr>
            </w:pPr>
            <w:r w:rsidRPr="00032E6A">
              <w:rPr>
                <w:rFonts w:asciiTheme="minorHAnsi" w:eastAsia="Times New Roman" w:hAnsiTheme="minorHAnsi" w:cs="Calibri"/>
                <w:color w:val="000000"/>
                <w:kern w:val="0"/>
                <w:sz w:val="20"/>
                <w:lang w:val="en-GB" w:eastAsia="en-IE"/>
              </w:rPr>
              <w:t>AML</w:t>
            </w:r>
            <w:r w:rsidR="00513666">
              <w:rPr>
                <w:rFonts w:asciiTheme="minorHAnsi" w:hAnsiTheme="minorHAnsi"/>
                <w:sz w:val="20"/>
              </w:rPr>
              <w:t>/CFT training</w:t>
            </w:r>
            <w:r w:rsidRPr="00032E6A">
              <w:rPr>
                <w:rFonts w:asciiTheme="minorHAnsi" w:eastAsia="Times New Roman" w:hAnsiTheme="minorHAnsi" w:cs="Calibri"/>
                <w:color w:val="000000"/>
                <w:kern w:val="0"/>
                <w:sz w:val="20"/>
                <w:lang w:val="en-GB" w:eastAsia="en-IE"/>
              </w:rPr>
              <w:t xml:space="preserve">: Structured education or instruction provided to employees to ensure they understand their legal obligations, institutional policies, and practical procedures for preventing and detecting money laundering and terrorist financing. Reference can be made to the training programmes as described in </w:t>
            </w:r>
            <w:r w:rsidR="00A96C1F">
              <w:rPr>
                <w:rFonts w:asciiTheme="minorHAnsi" w:eastAsia="Times New Roman" w:hAnsiTheme="minorHAnsi" w:cs="Calibri"/>
                <w:color w:val="000000"/>
                <w:kern w:val="0"/>
                <w:sz w:val="20"/>
                <w:lang w:val="en-GB" w:eastAsia="en-IE"/>
              </w:rPr>
              <w:t>A</w:t>
            </w:r>
            <w:r w:rsidRPr="00032E6A">
              <w:rPr>
                <w:rFonts w:asciiTheme="minorHAnsi" w:eastAsia="Times New Roman" w:hAnsiTheme="minorHAnsi" w:cs="Calibri"/>
                <w:color w:val="000000"/>
                <w:kern w:val="0"/>
                <w:sz w:val="20"/>
                <w:lang w:val="en-GB" w:eastAsia="en-IE"/>
              </w:rPr>
              <w:t>rticle 12 AMLR</w:t>
            </w:r>
            <w:r w:rsidR="008E33C9">
              <w:rPr>
                <w:rFonts w:asciiTheme="minorHAnsi" w:eastAsia="Times New Roman" w:hAnsiTheme="minorHAnsi" w:cs="Calibri"/>
                <w:color w:val="000000"/>
                <w:kern w:val="0"/>
                <w:sz w:val="20"/>
                <w:lang w:val="en-GB" w:eastAsia="en-IE"/>
              </w:rPr>
              <w:t>.</w:t>
            </w:r>
          </w:p>
          <w:p w14:paraId="639E70E3" w14:textId="77777777" w:rsidR="00032E6A" w:rsidRDefault="00032E6A" w:rsidP="00C942CA">
            <w:pPr>
              <w:spacing w:before="0" w:after="0" w:line="240" w:lineRule="auto"/>
              <w:jc w:val="both"/>
              <w:rPr>
                <w:rFonts w:asciiTheme="minorHAnsi" w:eastAsia="Times New Roman" w:hAnsiTheme="minorHAnsi" w:cs="Calibri"/>
                <w:color w:val="000000"/>
                <w:kern w:val="0"/>
                <w:sz w:val="20"/>
                <w:lang w:val="en-IE" w:eastAsia="en-IE"/>
              </w:rPr>
            </w:pPr>
          </w:p>
          <w:p w14:paraId="44766356" w14:textId="60217989" w:rsidR="00CC0570" w:rsidRPr="00827B61" w:rsidRDefault="00B052F6" w:rsidP="00C942CA">
            <w:pPr>
              <w:spacing w:before="0" w:after="0" w:line="240" w:lineRule="auto"/>
              <w:jc w:val="both"/>
              <w:rPr>
                <w:rFonts w:asciiTheme="minorHAnsi" w:eastAsia="Times New Roman" w:hAnsiTheme="minorHAnsi" w:cs="Calibri"/>
                <w:color w:val="000000"/>
                <w:kern w:val="0"/>
                <w:sz w:val="20"/>
                <w:lang w:val="en-IE" w:eastAsia="en-IE"/>
              </w:rPr>
            </w:pPr>
            <w:r>
              <w:rPr>
                <w:rFonts w:asciiTheme="minorHAnsi" w:eastAsia="Times New Roman" w:hAnsiTheme="minorHAnsi" w:cs="Calibri"/>
                <w:color w:val="000000"/>
                <w:kern w:val="0"/>
                <w:sz w:val="20"/>
                <w:lang w:val="en-IE" w:eastAsia="en-IE"/>
              </w:rPr>
              <w:t>For th</w:t>
            </w:r>
            <w:r w:rsidR="009D61DD">
              <w:rPr>
                <w:rFonts w:asciiTheme="minorHAnsi" w:eastAsia="Times New Roman" w:hAnsiTheme="minorHAnsi" w:cs="Calibri"/>
                <w:color w:val="000000"/>
                <w:kern w:val="0"/>
                <w:sz w:val="20"/>
                <w:lang w:val="en-IE" w:eastAsia="en-IE"/>
              </w:rPr>
              <w:t xml:space="preserve">e purpose of this exercise, </w:t>
            </w:r>
            <w:r w:rsidR="004C459F">
              <w:rPr>
                <w:rFonts w:asciiTheme="minorHAnsi" w:eastAsia="Times New Roman" w:hAnsiTheme="minorHAnsi" w:cs="Calibri"/>
                <w:color w:val="000000"/>
                <w:kern w:val="0"/>
                <w:sz w:val="20"/>
                <w:lang w:val="en-IE" w:eastAsia="en-IE"/>
              </w:rPr>
              <w:t>we refer here to t</w:t>
            </w:r>
            <w:r w:rsidR="00CC0570" w:rsidRPr="00CC0570">
              <w:rPr>
                <w:rFonts w:asciiTheme="minorHAnsi" w:eastAsia="Times New Roman" w:hAnsiTheme="minorHAnsi" w:cs="Calibri"/>
                <w:color w:val="000000"/>
                <w:kern w:val="0"/>
                <w:sz w:val="20"/>
                <w:lang w:val="en-IE" w:eastAsia="en-IE"/>
              </w:rPr>
              <w:t>he management body as defined in Article 2(1)(37) AMLR: ‘management body’ means an obliged entity’s body or bodies, which are appointed in accordance with national law, which are empowered to set the obliged entity’s strategy, objectives and overall direction, and which oversee and monitor management decision-making, and include the persons who effectively direct the business of the obliged entity; where no such body exists, the person who effectively directs the business of the obliged entity</w:t>
            </w:r>
            <w:r w:rsidR="008E33C9">
              <w:rPr>
                <w:rFonts w:asciiTheme="minorHAnsi" w:eastAsia="Times New Roman" w:hAnsiTheme="minorHAnsi" w:cs="Calibri"/>
                <w:color w:val="000000"/>
                <w:kern w:val="0"/>
                <w:sz w:val="20"/>
                <w:lang w:val="en-IE" w:eastAsia="en-IE"/>
              </w:rPr>
              <w:t>.</w:t>
            </w:r>
          </w:p>
          <w:p w14:paraId="36D9BB0A" w14:textId="77777777" w:rsidR="00C942CA" w:rsidRPr="00827B61" w:rsidRDefault="00C942CA" w:rsidP="00C942CA">
            <w:pPr>
              <w:spacing w:before="0" w:after="0" w:line="240" w:lineRule="auto"/>
              <w:jc w:val="both"/>
              <w:rPr>
                <w:rFonts w:asciiTheme="minorHAnsi" w:hAnsiTheme="minorHAnsi"/>
                <w:b/>
                <w:bCs/>
                <w:sz w:val="20"/>
                <w:u w:val="single"/>
                <w:lang w:val="en-IE"/>
              </w:rPr>
            </w:pPr>
          </w:p>
        </w:tc>
      </w:tr>
    </w:tbl>
    <w:p w14:paraId="33F01D1C" w14:textId="078B8EA6" w:rsidR="00F17C1D" w:rsidRPr="00827B61" w:rsidRDefault="001A11CF" w:rsidP="00AD73E1">
      <w:pPr>
        <w:pStyle w:val="Heading2"/>
        <w:rPr>
          <w:rFonts w:asciiTheme="minorHAnsi" w:hAnsiTheme="minorHAnsi"/>
          <w:lang w:val="en-IE"/>
        </w:rPr>
      </w:pPr>
      <w:bookmarkStart w:id="283" w:name="_Toc223086597"/>
      <w:bookmarkStart w:id="284" w:name="_Toc223086691"/>
      <w:bookmarkStart w:id="285" w:name="_Toc223086785"/>
      <w:bookmarkStart w:id="286" w:name="_Toc223086879"/>
      <w:bookmarkStart w:id="287" w:name="_Toc221356001"/>
      <w:bookmarkStart w:id="288" w:name="_Toc223104867"/>
      <w:bookmarkEnd w:id="281"/>
      <w:bookmarkEnd w:id="283"/>
      <w:bookmarkEnd w:id="284"/>
      <w:bookmarkEnd w:id="285"/>
      <w:bookmarkEnd w:id="286"/>
      <w:r w:rsidRPr="00827B61">
        <w:rPr>
          <w:rFonts w:asciiTheme="minorHAnsi" w:hAnsiTheme="minorHAnsi"/>
          <w:lang w:val="en-IE"/>
        </w:rPr>
        <w:t xml:space="preserve">AML.07.02 </w:t>
      </w:r>
      <w:r w:rsidR="00CC4763">
        <w:rPr>
          <w:rFonts w:asciiTheme="minorHAnsi" w:hAnsiTheme="minorHAnsi"/>
          <w:lang w:val="en-IE"/>
        </w:rPr>
        <w:t xml:space="preserve">Internal </w:t>
      </w:r>
      <w:r w:rsidR="005D66FF">
        <w:rPr>
          <w:rFonts w:asciiTheme="minorHAnsi" w:hAnsiTheme="minorHAnsi"/>
          <w:lang w:val="en-IE"/>
        </w:rPr>
        <w:t xml:space="preserve">compliance </w:t>
      </w:r>
      <w:r w:rsidR="00CC4763">
        <w:rPr>
          <w:rFonts w:asciiTheme="minorHAnsi" w:hAnsiTheme="minorHAnsi"/>
          <w:lang w:val="en-IE"/>
        </w:rPr>
        <w:t>reporting</w:t>
      </w:r>
      <w:r w:rsidR="00936A98">
        <w:rPr>
          <w:rFonts w:asciiTheme="minorHAnsi" w:hAnsiTheme="minorHAnsi"/>
          <w:lang w:val="en-IE"/>
        </w:rPr>
        <w:t xml:space="preserve"> - </w:t>
      </w:r>
      <w:r w:rsidR="006D7237" w:rsidRPr="00827B61">
        <w:rPr>
          <w:rFonts w:asciiTheme="minorHAnsi" w:hAnsiTheme="minorHAnsi"/>
          <w:lang w:val="en-IE"/>
        </w:rPr>
        <w:t>outsourcing</w:t>
      </w:r>
      <w:r w:rsidR="00936A98">
        <w:rPr>
          <w:rFonts w:asciiTheme="minorHAnsi" w:hAnsiTheme="minorHAnsi"/>
          <w:lang w:val="en-IE"/>
        </w:rPr>
        <w:t xml:space="preserve"> and</w:t>
      </w:r>
      <w:r w:rsidR="009B358D">
        <w:rPr>
          <w:rFonts w:asciiTheme="minorHAnsi" w:hAnsiTheme="minorHAnsi"/>
          <w:lang w:val="en-IE"/>
        </w:rPr>
        <w:t xml:space="preserve"> </w:t>
      </w:r>
      <w:r w:rsidR="005044A9">
        <w:rPr>
          <w:rFonts w:asciiTheme="minorHAnsi" w:hAnsiTheme="minorHAnsi"/>
          <w:lang w:val="en-IE"/>
        </w:rPr>
        <w:t>audit</w:t>
      </w:r>
      <w:bookmarkEnd w:id="287"/>
      <w:bookmarkEnd w:id="288"/>
    </w:p>
    <w:p w14:paraId="5D04786E" w14:textId="77777777" w:rsidR="008E1D72" w:rsidRPr="00A017EB" w:rsidRDefault="008E1D72" w:rsidP="008E1D72">
      <w:pPr>
        <w:rPr>
          <w:rFonts w:asciiTheme="minorHAnsi" w:hAnsiTheme="minorHAnsi"/>
          <w:b/>
          <w:bCs/>
          <w:iCs/>
        </w:rPr>
      </w:pPr>
      <w:r w:rsidRPr="00A017EB">
        <w:rPr>
          <w:rFonts w:asciiTheme="minorHAnsi" w:hAnsiTheme="minorHAnsi"/>
          <w:b/>
          <w:bCs/>
          <w:iCs/>
        </w:rPr>
        <w:t>Template Remarks</w:t>
      </w:r>
    </w:p>
    <w:p w14:paraId="3524F364" w14:textId="7B6FE79F" w:rsidR="001D44BB" w:rsidRDefault="001D44BB" w:rsidP="00135B9D">
      <w:pPr>
        <w:jc w:val="both"/>
        <w:rPr>
          <w:rFonts w:asciiTheme="minorHAnsi" w:hAnsiTheme="minorHAnsi"/>
          <w:lang w:val="en-IE"/>
        </w:rPr>
      </w:pPr>
      <w:r w:rsidRPr="001D44BB">
        <w:rPr>
          <w:rFonts w:asciiTheme="minorHAnsi" w:hAnsiTheme="minorHAnsi"/>
          <w:lang w:val="en-IE"/>
        </w:rPr>
        <w:t>This template (cluster of datapoints) is applicable for all sectors</w:t>
      </w:r>
      <w:r>
        <w:rPr>
          <w:rFonts w:asciiTheme="minorHAnsi" w:hAnsiTheme="minorHAnsi"/>
          <w:lang w:val="en-IE"/>
        </w:rPr>
        <w:t xml:space="preserve">. </w:t>
      </w:r>
    </w:p>
    <w:p w14:paraId="02D34CE5" w14:textId="7431CF73" w:rsidR="00D73F66" w:rsidRPr="00827B61" w:rsidRDefault="00D73F66" w:rsidP="00135B9D">
      <w:pPr>
        <w:jc w:val="both"/>
        <w:rPr>
          <w:rFonts w:asciiTheme="minorHAnsi" w:hAnsiTheme="minorHAnsi"/>
          <w:lang w:val="en-IE"/>
        </w:rPr>
      </w:pPr>
      <w:r w:rsidRPr="00827B61">
        <w:rPr>
          <w:rFonts w:asciiTheme="minorHAnsi" w:hAnsiTheme="minorHAnsi"/>
          <w:lang w:val="en-IE"/>
        </w:rPr>
        <w:t xml:space="preserve">Outsourcing: Reference can be made to </w:t>
      </w:r>
      <w:r w:rsidR="00A96C1F">
        <w:rPr>
          <w:rFonts w:asciiTheme="minorHAnsi" w:hAnsiTheme="minorHAnsi"/>
          <w:lang w:val="en-IE"/>
        </w:rPr>
        <w:t>A</w:t>
      </w:r>
      <w:r w:rsidRPr="00827B61">
        <w:rPr>
          <w:rFonts w:asciiTheme="minorHAnsi" w:hAnsiTheme="minorHAnsi"/>
          <w:lang w:val="en-IE"/>
        </w:rPr>
        <w:t>rticle 18 AMLR. Cases of services outsourced within the same group (intragroup outsourcing</w:t>
      </w:r>
      <w:r w:rsidR="00D17E73">
        <w:rPr>
          <w:rFonts w:asciiTheme="minorHAnsi" w:hAnsiTheme="minorHAnsi"/>
          <w:lang w:val="en-IE"/>
        </w:rPr>
        <w:t xml:space="preserve"> and shared services centers</w:t>
      </w:r>
      <w:r w:rsidRPr="00827B61">
        <w:rPr>
          <w:rFonts w:asciiTheme="minorHAnsi" w:hAnsiTheme="minorHAnsi"/>
          <w:lang w:val="en-IE"/>
        </w:rPr>
        <w:t>) must be accounted for.</w:t>
      </w:r>
      <w:r w:rsidR="00D3706A">
        <w:rPr>
          <w:rFonts w:asciiTheme="minorHAnsi" w:hAnsiTheme="minorHAnsi"/>
          <w:lang w:val="en-IE"/>
        </w:rPr>
        <w:t xml:space="preserve"> </w:t>
      </w:r>
      <w:r w:rsidR="00E40E00" w:rsidRPr="00E40E00">
        <w:rPr>
          <w:rFonts w:asciiTheme="minorHAnsi" w:hAnsiTheme="minorHAnsi"/>
          <w:lang w:val="en-IE"/>
        </w:rPr>
        <w:t xml:space="preserve">Processes or arrangements that contribute to the performance of a requirement under </w:t>
      </w:r>
      <w:r w:rsidR="00E40E00">
        <w:rPr>
          <w:rFonts w:asciiTheme="minorHAnsi" w:hAnsiTheme="minorHAnsi"/>
          <w:lang w:val="en-IE"/>
        </w:rPr>
        <w:t>AMLR</w:t>
      </w:r>
      <w:r w:rsidR="00E40E00" w:rsidRPr="00E40E00">
        <w:rPr>
          <w:rFonts w:asciiTheme="minorHAnsi" w:hAnsiTheme="minorHAnsi"/>
          <w:lang w:val="en-IE"/>
        </w:rPr>
        <w:t>, but where the performance of the requirement itself is not carried out by a service provider, such as the use or acquisition of third-party software or the access to databases or screening services by the obliged entity, are not considered to be outsourcing</w:t>
      </w:r>
      <w:r w:rsidR="00E40E00">
        <w:rPr>
          <w:rFonts w:asciiTheme="minorHAnsi" w:hAnsiTheme="minorHAnsi"/>
          <w:lang w:val="en-IE"/>
        </w:rPr>
        <w:t xml:space="preserve"> (cf. Recital 47 AMLR)</w:t>
      </w:r>
      <w:r w:rsidR="00E40E00" w:rsidRPr="00E40E00">
        <w:rPr>
          <w:rFonts w:asciiTheme="minorHAnsi" w:hAnsiTheme="minorHAnsi"/>
          <w:lang w:val="en-IE"/>
        </w:rPr>
        <w:t>.</w:t>
      </w:r>
    </w:p>
    <w:tbl>
      <w:tblPr>
        <w:tblW w:w="92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3"/>
        <w:gridCol w:w="7616"/>
      </w:tblGrid>
      <w:tr w:rsidR="005E211E" w:rsidRPr="009B282E" w14:paraId="2B3602FC" w14:textId="77777777">
        <w:tc>
          <w:tcPr>
            <w:tcW w:w="16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FD0E34" w14:textId="77777777" w:rsidR="00F17C1D" w:rsidRPr="009275BC" w:rsidRDefault="00F17C1D" w:rsidP="00F32516">
            <w:pPr>
              <w:pStyle w:val="InstructionsText"/>
              <w:rPr>
                <w:rStyle w:val="InstructionsTabelleText"/>
                <w:rFonts w:asciiTheme="minorHAnsi" w:hAnsiTheme="minorHAnsi"/>
                <w:bCs w:val="0"/>
                <w:lang w:eastAsia="en-US"/>
              </w:rPr>
            </w:pPr>
            <w:bookmarkStart w:id="289" w:name="_Hlk219470155"/>
            <w:r w:rsidRPr="009275BC">
              <w:rPr>
                <w:rStyle w:val="InstructionsTabelleText"/>
                <w:rFonts w:asciiTheme="minorHAnsi" w:hAnsiTheme="minorHAnsi"/>
              </w:rPr>
              <w:t>Column code</w:t>
            </w:r>
          </w:p>
        </w:tc>
        <w:tc>
          <w:tcPr>
            <w:tcW w:w="76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16B54C" w14:textId="77777777" w:rsidR="00F17C1D" w:rsidRPr="009275BC" w:rsidRDefault="00F17C1D" w:rsidP="00F32516">
            <w:pPr>
              <w:pStyle w:val="InstructionsText"/>
              <w:rPr>
                <w:rStyle w:val="InstructionsTabelleText"/>
                <w:rFonts w:asciiTheme="minorHAnsi" w:hAnsiTheme="minorHAnsi"/>
                <w:bCs w:val="0"/>
                <w:lang w:eastAsia="en-US"/>
              </w:rPr>
            </w:pPr>
            <w:r w:rsidRPr="009275BC">
              <w:rPr>
                <w:rStyle w:val="InstructionsTabelleText"/>
                <w:rFonts w:asciiTheme="minorHAnsi" w:hAnsiTheme="minorHAnsi"/>
              </w:rPr>
              <w:t>Legal references and instructions</w:t>
            </w:r>
          </w:p>
        </w:tc>
      </w:tr>
      <w:tr w:rsidR="00A10CBD" w:rsidRPr="009B282E" w14:paraId="40060D4F" w14:textId="77777777" w:rsidTr="00D72CA0">
        <w:tc>
          <w:tcPr>
            <w:tcW w:w="1673" w:type="dxa"/>
            <w:tcBorders>
              <w:top w:val="single" w:sz="4" w:space="0" w:color="auto"/>
              <w:left w:val="single" w:sz="4" w:space="0" w:color="auto"/>
              <w:bottom w:val="single" w:sz="4" w:space="0" w:color="auto"/>
              <w:right w:val="single" w:sz="4" w:space="0" w:color="auto"/>
            </w:tcBorders>
          </w:tcPr>
          <w:p w14:paraId="521D3B96" w14:textId="7392504A" w:rsidR="007B05F4" w:rsidRPr="009275BC" w:rsidRDefault="008A75E1" w:rsidP="00F32516">
            <w:pPr>
              <w:pStyle w:val="InstructionsText"/>
              <w:rPr>
                <w:rStyle w:val="FormatvorlageInstructionsTabelleText"/>
                <w:rFonts w:asciiTheme="minorHAnsi" w:hAnsiTheme="minorHAnsi"/>
              </w:rPr>
            </w:pPr>
            <w:r w:rsidRPr="00A70B3F">
              <w:t>C00</w:t>
            </w:r>
            <w:r w:rsidR="00AD73E1" w:rsidRPr="00A70B3F">
              <w:t>10</w:t>
            </w:r>
          </w:p>
        </w:tc>
        <w:tc>
          <w:tcPr>
            <w:tcW w:w="76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FF359C" w14:textId="4F6516B4" w:rsidR="002A2FD5" w:rsidRPr="0030113C" w:rsidRDefault="002A2FD5" w:rsidP="007B05F4">
            <w:pPr>
              <w:pStyle w:val="InstructionsText2"/>
              <w:rPr>
                <w:rFonts w:asciiTheme="minorHAnsi" w:hAnsiTheme="minorHAnsi"/>
                <w:b/>
                <w:sz w:val="20"/>
                <w:szCs w:val="20"/>
                <w:u w:val="single"/>
                <w:lang w:val="en-US"/>
              </w:rPr>
            </w:pPr>
            <w:r w:rsidRPr="0030113C">
              <w:rPr>
                <w:rFonts w:asciiTheme="minorHAnsi" w:hAnsiTheme="minorHAnsi"/>
                <w:b/>
                <w:sz w:val="20"/>
                <w:szCs w:val="20"/>
                <w:u w:val="single"/>
                <w:lang w:val="en-US"/>
              </w:rPr>
              <w:t>Frequency of AML</w:t>
            </w:r>
            <w:r w:rsidR="0030113C" w:rsidRPr="0030113C">
              <w:rPr>
                <w:rFonts w:asciiTheme="minorHAnsi" w:hAnsiTheme="minorHAnsi"/>
                <w:b/>
                <w:sz w:val="20"/>
                <w:szCs w:val="20"/>
                <w:u w:val="single"/>
                <w:lang w:val="en-US"/>
              </w:rPr>
              <w:t xml:space="preserve"> reporting to the management body</w:t>
            </w:r>
          </w:p>
          <w:p w14:paraId="5A9C68A1" w14:textId="3AFBEC79" w:rsidR="007B05F4" w:rsidRPr="002A2FD5" w:rsidRDefault="007B05F4" w:rsidP="007B05F4">
            <w:pPr>
              <w:pStyle w:val="InstructionsText2"/>
              <w:rPr>
                <w:rFonts w:asciiTheme="minorHAnsi" w:hAnsiTheme="minorHAnsi"/>
                <w:bCs/>
                <w:sz w:val="20"/>
                <w:szCs w:val="20"/>
                <w:lang w:val="en-US"/>
              </w:rPr>
            </w:pPr>
            <w:r w:rsidRPr="002A2FD5">
              <w:rPr>
                <w:rFonts w:asciiTheme="minorHAnsi" w:hAnsiTheme="minorHAnsi"/>
                <w:bCs/>
                <w:sz w:val="20"/>
                <w:szCs w:val="20"/>
                <w:lang w:val="en-US"/>
              </w:rPr>
              <w:t>Frequency of reporting by the AML compliance officer</w:t>
            </w:r>
            <w:r w:rsidR="00A7320B" w:rsidRPr="002A2FD5">
              <w:rPr>
                <w:rFonts w:asciiTheme="minorHAnsi" w:hAnsiTheme="minorHAnsi"/>
                <w:bCs/>
                <w:sz w:val="20"/>
                <w:szCs w:val="20"/>
                <w:lang w:val="en-US"/>
              </w:rPr>
              <w:t>/manager</w:t>
            </w:r>
            <w:r w:rsidRPr="002A2FD5">
              <w:rPr>
                <w:rFonts w:asciiTheme="minorHAnsi" w:hAnsiTheme="minorHAnsi"/>
                <w:bCs/>
                <w:sz w:val="20"/>
                <w:szCs w:val="20"/>
                <w:lang w:val="en-US"/>
              </w:rPr>
              <w:t xml:space="preserve"> to the management body</w:t>
            </w:r>
            <w:r w:rsidR="009F379E">
              <w:rPr>
                <w:rFonts w:asciiTheme="minorHAnsi" w:hAnsiTheme="minorHAnsi"/>
                <w:bCs/>
                <w:sz w:val="20"/>
                <w:szCs w:val="20"/>
                <w:lang w:val="en-US"/>
              </w:rPr>
              <w:t>.</w:t>
            </w:r>
            <w:r w:rsidRPr="002A2FD5">
              <w:rPr>
                <w:rFonts w:asciiTheme="minorHAnsi" w:hAnsiTheme="minorHAnsi"/>
                <w:bCs/>
                <w:sz w:val="20"/>
                <w:szCs w:val="20"/>
                <w:lang w:val="en-US"/>
              </w:rPr>
              <w:t xml:space="preserve"> </w:t>
            </w:r>
            <w:r w:rsidR="00163439" w:rsidRPr="00163439">
              <w:rPr>
                <w:rFonts w:asciiTheme="minorHAnsi" w:hAnsiTheme="minorHAnsi"/>
                <w:bCs/>
                <w:sz w:val="20"/>
                <w:szCs w:val="20"/>
                <w:lang w:val="en-US"/>
              </w:rPr>
              <w:t xml:space="preserve">If </w:t>
            </w:r>
            <w:r w:rsidR="00163439">
              <w:rPr>
                <w:rFonts w:asciiTheme="minorHAnsi" w:hAnsiTheme="minorHAnsi"/>
                <w:bCs/>
                <w:sz w:val="20"/>
                <w:szCs w:val="20"/>
                <w:lang w:val="en-US"/>
              </w:rPr>
              <w:t xml:space="preserve">there are </w:t>
            </w:r>
            <w:r w:rsidR="00163439" w:rsidRPr="00163439">
              <w:rPr>
                <w:rFonts w:asciiTheme="minorHAnsi" w:hAnsiTheme="minorHAnsi"/>
                <w:bCs/>
                <w:sz w:val="20"/>
                <w:szCs w:val="20"/>
                <w:lang w:val="en-US"/>
              </w:rPr>
              <w:t>several reporting frequencies, please select the most frequent reporting interval.</w:t>
            </w:r>
          </w:p>
          <w:p w14:paraId="3529D3D9" w14:textId="35F0750D" w:rsidR="00422F97" w:rsidRPr="00CC4763" w:rsidRDefault="00422F97" w:rsidP="007B05F4">
            <w:pPr>
              <w:pStyle w:val="InstructionsText2"/>
              <w:rPr>
                <w:rFonts w:asciiTheme="minorHAnsi" w:hAnsiTheme="minorHAnsi"/>
                <w:sz w:val="20"/>
                <w:szCs w:val="20"/>
                <w:lang w:val="en-US"/>
              </w:rPr>
            </w:pPr>
            <w:r w:rsidRPr="00CC4763">
              <w:rPr>
                <w:rFonts w:asciiTheme="minorHAnsi" w:hAnsiTheme="minorHAnsi"/>
                <w:sz w:val="20"/>
                <w:szCs w:val="20"/>
                <w:lang w:val="en-US"/>
              </w:rPr>
              <w:t xml:space="preserve">Reporting activities as referred to in </w:t>
            </w:r>
            <w:r w:rsidR="00B20594">
              <w:rPr>
                <w:rFonts w:asciiTheme="minorHAnsi" w:hAnsiTheme="minorHAnsi"/>
                <w:sz w:val="20"/>
                <w:szCs w:val="20"/>
                <w:lang w:val="en-US"/>
              </w:rPr>
              <w:t>A</w:t>
            </w:r>
            <w:r w:rsidRPr="00CC4763">
              <w:rPr>
                <w:rFonts w:asciiTheme="minorHAnsi" w:hAnsiTheme="minorHAnsi"/>
                <w:sz w:val="20"/>
                <w:szCs w:val="20"/>
                <w:lang w:val="en-US"/>
              </w:rPr>
              <w:t>rticle 11(6) AMLR</w:t>
            </w:r>
            <w:r w:rsidR="00381FD7">
              <w:rPr>
                <w:rFonts w:asciiTheme="minorHAnsi" w:hAnsiTheme="minorHAnsi"/>
                <w:sz w:val="20"/>
                <w:szCs w:val="20"/>
                <w:lang w:val="en-US"/>
              </w:rPr>
              <w:t>.</w:t>
            </w:r>
          </w:p>
          <w:p w14:paraId="07AABED6" w14:textId="7DCC3D1D" w:rsidR="00CC4763" w:rsidRDefault="000A05F9" w:rsidP="007B05F4">
            <w:pPr>
              <w:pStyle w:val="InstructionsText2"/>
              <w:rPr>
                <w:rFonts w:asciiTheme="minorHAnsi" w:hAnsiTheme="minorHAnsi"/>
                <w:sz w:val="20"/>
                <w:szCs w:val="20"/>
                <w:lang w:val="en-US"/>
              </w:rPr>
            </w:pPr>
            <w:r w:rsidRPr="00CC4763">
              <w:rPr>
                <w:rFonts w:asciiTheme="minorHAnsi" w:hAnsiTheme="minorHAnsi"/>
                <w:sz w:val="20"/>
                <w:szCs w:val="20"/>
                <w:lang w:val="en-US"/>
              </w:rPr>
              <w:t xml:space="preserve">The management body as defined in Article 2(1)(37) AMLR, </w:t>
            </w:r>
          </w:p>
          <w:p w14:paraId="4A33CB2B" w14:textId="640A0B81" w:rsidR="00D56D9A" w:rsidRPr="00BE1CAD" w:rsidRDefault="00775622" w:rsidP="007B05F4">
            <w:pPr>
              <w:pStyle w:val="InstructionsText2"/>
              <w:rPr>
                <w:rFonts w:asciiTheme="minorHAnsi" w:hAnsiTheme="minorHAnsi"/>
                <w:lang w:val="en-US"/>
              </w:rPr>
            </w:pPr>
            <w:r>
              <w:rPr>
                <w:rFonts w:asciiTheme="minorHAnsi" w:hAnsiTheme="minorHAnsi"/>
                <w:sz w:val="20"/>
                <w:szCs w:val="20"/>
                <w:lang w:val="en-US"/>
              </w:rPr>
              <w:t>T</w:t>
            </w:r>
            <w:r w:rsidR="000A05F9" w:rsidRPr="00CC4763">
              <w:rPr>
                <w:rFonts w:asciiTheme="minorHAnsi" w:hAnsiTheme="minorHAnsi"/>
                <w:sz w:val="20"/>
                <w:szCs w:val="20"/>
                <w:lang w:val="en-US"/>
              </w:rPr>
              <w:t>he compliance</w:t>
            </w:r>
            <w:r w:rsidR="002A2FD5">
              <w:rPr>
                <w:rFonts w:asciiTheme="minorHAnsi" w:hAnsiTheme="minorHAnsi"/>
                <w:sz w:val="20"/>
                <w:szCs w:val="20"/>
                <w:lang w:val="en-US"/>
              </w:rPr>
              <w:t xml:space="preserve"> manager and</w:t>
            </w:r>
            <w:r w:rsidR="000A05F9" w:rsidRPr="00CC4763">
              <w:rPr>
                <w:rFonts w:asciiTheme="minorHAnsi" w:hAnsiTheme="minorHAnsi"/>
                <w:sz w:val="20"/>
                <w:szCs w:val="20"/>
                <w:lang w:val="en-US"/>
              </w:rPr>
              <w:t xml:space="preserve"> </w:t>
            </w:r>
            <w:r>
              <w:rPr>
                <w:rFonts w:asciiTheme="minorHAnsi" w:hAnsiTheme="minorHAnsi"/>
                <w:sz w:val="20"/>
                <w:szCs w:val="20"/>
                <w:lang w:val="en-US"/>
              </w:rPr>
              <w:t xml:space="preserve">officer as </w:t>
            </w:r>
            <w:r w:rsidR="000A05F9" w:rsidRPr="00CC4763">
              <w:rPr>
                <w:rFonts w:asciiTheme="minorHAnsi" w:hAnsiTheme="minorHAnsi"/>
                <w:sz w:val="20"/>
                <w:szCs w:val="20"/>
                <w:lang w:val="en-US"/>
              </w:rPr>
              <w:t>referred to in Article 11</w:t>
            </w:r>
            <w:r w:rsidR="002A2FD5">
              <w:rPr>
                <w:rFonts w:asciiTheme="minorHAnsi" w:hAnsiTheme="minorHAnsi"/>
                <w:sz w:val="20"/>
                <w:szCs w:val="20"/>
                <w:lang w:val="en-US"/>
              </w:rPr>
              <w:t xml:space="preserve">(1) and </w:t>
            </w:r>
            <w:r w:rsidR="000A05F9" w:rsidRPr="00CC4763">
              <w:rPr>
                <w:rFonts w:asciiTheme="minorHAnsi" w:hAnsiTheme="minorHAnsi"/>
                <w:sz w:val="20"/>
                <w:szCs w:val="20"/>
                <w:lang w:val="en-US"/>
              </w:rPr>
              <w:t>(</w:t>
            </w:r>
            <w:r w:rsidR="006F7294">
              <w:rPr>
                <w:rFonts w:asciiTheme="minorHAnsi" w:hAnsiTheme="minorHAnsi"/>
                <w:sz w:val="20"/>
                <w:szCs w:val="20"/>
                <w:lang w:val="en-US"/>
              </w:rPr>
              <w:t>2</w:t>
            </w:r>
            <w:r w:rsidR="000A05F9" w:rsidRPr="00CC4763">
              <w:rPr>
                <w:rFonts w:asciiTheme="minorHAnsi" w:hAnsiTheme="minorHAnsi"/>
                <w:sz w:val="20"/>
                <w:szCs w:val="20"/>
                <w:lang w:val="en-US"/>
              </w:rPr>
              <w:t>) AMLR.</w:t>
            </w:r>
          </w:p>
        </w:tc>
      </w:tr>
      <w:tr w:rsidR="00A10CBD" w:rsidRPr="009B282E" w14:paraId="7D68E5CE" w14:textId="77777777" w:rsidTr="00D72CA0">
        <w:tc>
          <w:tcPr>
            <w:tcW w:w="1673" w:type="dxa"/>
            <w:tcBorders>
              <w:top w:val="single" w:sz="4" w:space="0" w:color="auto"/>
              <w:left w:val="single" w:sz="4" w:space="0" w:color="auto"/>
              <w:bottom w:val="single" w:sz="4" w:space="0" w:color="auto"/>
              <w:right w:val="single" w:sz="4" w:space="0" w:color="auto"/>
            </w:tcBorders>
          </w:tcPr>
          <w:p w14:paraId="375FE1C9" w14:textId="1155F04E" w:rsidR="008014F0" w:rsidRPr="000969A7" w:rsidRDefault="009142BF" w:rsidP="00F32516">
            <w:pPr>
              <w:pStyle w:val="InstructionsText"/>
              <w:rPr>
                <w:rStyle w:val="FormatvorlageInstructionsTabelleText"/>
                <w:rFonts w:asciiTheme="minorHAnsi" w:hAnsiTheme="minorHAnsi"/>
                <w:b/>
                <w:bCs/>
              </w:rPr>
            </w:pPr>
            <w:r w:rsidRPr="000969A7">
              <w:t>C0020</w:t>
            </w:r>
          </w:p>
        </w:tc>
        <w:tc>
          <w:tcPr>
            <w:tcW w:w="7616"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5BB63F3" w14:textId="77777777" w:rsidR="00491899" w:rsidRDefault="00491899" w:rsidP="00D72CA0">
            <w:pPr>
              <w:spacing w:before="0" w:after="0" w:line="240" w:lineRule="auto"/>
              <w:jc w:val="both"/>
              <w:rPr>
                <w:rFonts w:asciiTheme="minorHAnsi" w:eastAsia="Times New Roman" w:hAnsiTheme="minorHAnsi" w:cs="Calibri"/>
                <w:b/>
                <w:color w:val="000000"/>
                <w:kern w:val="0"/>
                <w:sz w:val="20"/>
                <w:u w:val="single"/>
                <w:lang w:val="en-IE" w:eastAsia="en-IE"/>
              </w:rPr>
            </w:pPr>
            <w:r w:rsidRPr="00B164E3">
              <w:rPr>
                <w:rFonts w:ascii="Aptos" w:eastAsia="Times New Roman" w:hAnsi="Aptos" w:cs="Calibri"/>
                <w:b/>
                <w:color w:val="000000"/>
                <w:kern w:val="0"/>
                <w:sz w:val="20"/>
                <w:u w:val="single"/>
                <w:lang w:val="en-IE" w:eastAsia="en-IE"/>
              </w:rPr>
              <w:t>Outsourcing - CDD</w:t>
            </w:r>
          </w:p>
          <w:p w14:paraId="3F72A54D" w14:textId="487398D8" w:rsidR="00D72CA0" w:rsidRPr="00BE1CAD" w:rsidRDefault="00D72CA0" w:rsidP="00D72CA0">
            <w:pPr>
              <w:spacing w:before="0" w:after="0" w:line="240" w:lineRule="auto"/>
              <w:jc w:val="both"/>
              <w:rPr>
                <w:rFonts w:asciiTheme="minorHAnsi" w:eastAsia="Times New Roman" w:hAnsiTheme="minorHAnsi" w:cs="Calibri"/>
                <w:b/>
                <w:color w:val="000000"/>
                <w:kern w:val="0"/>
                <w:sz w:val="20"/>
                <w:u w:val="single"/>
                <w:lang w:val="en-IE" w:eastAsia="en-IE"/>
              </w:rPr>
            </w:pPr>
          </w:p>
          <w:p w14:paraId="2C3C4D78" w14:textId="25FFEA36" w:rsidR="00D72CA0" w:rsidRPr="00D91B01" w:rsidRDefault="00D72CA0" w:rsidP="00D72CA0">
            <w:pPr>
              <w:spacing w:before="0" w:after="0" w:line="240" w:lineRule="auto"/>
              <w:jc w:val="both"/>
              <w:rPr>
                <w:rFonts w:asciiTheme="minorHAnsi" w:eastAsia="Times New Roman" w:hAnsiTheme="minorHAnsi"/>
                <w:color w:val="000000"/>
                <w:kern w:val="0"/>
                <w:sz w:val="20"/>
                <w:lang w:val="en-IE" w:eastAsia="en-IE"/>
              </w:rPr>
            </w:pPr>
            <w:r w:rsidRPr="00D91B01">
              <w:rPr>
                <w:rFonts w:asciiTheme="minorHAnsi" w:eastAsia="Times New Roman" w:hAnsiTheme="minorHAnsi"/>
                <w:color w:val="000000"/>
                <w:kern w:val="0"/>
                <w:sz w:val="20"/>
                <w:lang w:val="en-IE" w:eastAsia="en-IE"/>
              </w:rPr>
              <w:t xml:space="preserve">Indicate </w:t>
            </w:r>
            <w:r w:rsidR="6156E0EC" w:rsidRPr="08C01055">
              <w:rPr>
                <w:rFonts w:asciiTheme="minorHAnsi" w:eastAsia="Times New Roman" w:hAnsiTheme="minorHAnsi"/>
                <w:color w:val="000000"/>
                <w:kern w:val="0"/>
                <w:sz w:val="20"/>
                <w:lang w:val="en-IE" w:eastAsia="en-IE"/>
              </w:rPr>
              <w:t xml:space="preserve">whether </w:t>
            </w:r>
            <w:r w:rsidRPr="00D91B01">
              <w:rPr>
                <w:rFonts w:asciiTheme="minorHAnsi" w:eastAsia="Times New Roman" w:hAnsiTheme="minorHAnsi"/>
                <w:color w:val="000000"/>
                <w:kern w:val="0"/>
                <w:sz w:val="20"/>
                <w:lang w:val="en-IE" w:eastAsia="en-IE"/>
              </w:rPr>
              <w:t xml:space="preserve">Customer Due Diligence (CDD) </w:t>
            </w:r>
            <w:r w:rsidR="006317A7">
              <w:rPr>
                <w:rFonts w:asciiTheme="minorHAnsi" w:eastAsia="Times New Roman" w:hAnsiTheme="minorHAnsi"/>
                <w:color w:val="000000"/>
                <w:kern w:val="0"/>
                <w:sz w:val="20"/>
                <w:lang w:val="en-IE" w:eastAsia="en-IE"/>
              </w:rPr>
              <w:t>measures</w:t>
            </w:r>
            <w:r w:rsidR="002B48C9">
              <w:rPr>
                <w:rFonts w:asciiTheme="minorHAnsi" w:eastAsia="Times New Roman" w:hAnsiTheme="minorHAnsi"/>
                <w:color w:val="000000"/>
                <w:kern w:val="0"/>
                <w:sz w:val="20"/>
                <w:lang w:val="en-IE" w:eastAsia="en-IE"/>
              </w:rPr>
              <w:t>, as specified in Article 20 AMLR,</w:t>
            </w:r>
            <w:r w:rsidR="006317A7" w:rsidRPr="00D91B01">
              <w:rPr>
                <w:rFonts w:asciiTheme="minorHAnsi" w:eastAsia="Times New Roman" w:hAnsiTheme="minorHAnsi"/>
                <w:color w:val="000000"/>
                <w:kern w:val="0"/>
                <w:sz w:val="20"/>
                <w:lang w:val="en-IE" w:eastAsia="en-IE"/>
              </w:rPr>
              <w:t xml:space="preserve"> </w:t>
            </w:r>
            <w:r w:rsidRPr="00D91B01">
              <w:rPr>
                <w:rFonts w:asciiTheme="minorHAnsi" w:eastAsia="Times New Roman" w:hAnsiTheme="minorHAnsi"/>
                <w:color w:val="000000"/>
                <w:kern w:val="0"/>
                <w:sz w:val="20"/>
                <w:lang w:val="en-IE" w:eastAsia="en-IE"/>
              </w:rPr>
              <w:t xml:space="preserve">are outsourced </w:t>
            </w:r>
            <w:r w:rsidR="007564F2">
              <w:rPr>
                <w:rFonts w:asciiTheme="minorHAnsi" w:eastAsia="Times New Roman" w:hAnsiTheme="minorHAnsi"/>
                <w:color w:val="000000"/>
                <w:kern w:val="0"/>
                <w:sz w:val="20"/>
                <w:lang w:val="en-IE" w:eastAsia="en-IE"/>
              </w:rPr>
              <w:t>(</w:t>
            </w:r>
            <w:r w:rsidR="00045E19" w:rsidRPr="00AD53EC">
              <w:rPr>
                <w:rFonts w:asciiTheme="minorHAnsi" w:eastAsia="Times New Roman" w:hAnsiTheme="minorHAnsi"/>
                <w:color w:val="000000"/>
                <w:kern w:val="0"/>
                <w:sz w:val="20"/>
                <w:lang w:val="en-IE" w:eastAsia="en-IE"/>
              </w:rPr>
              <w:t>in total or in part</w:t>
            </w:r>
            <w:r w:rsidR="007564F2">
              <w:rPr>
                <w:rFonts w:asciiTheme="minorHAnsi" w:eastAsia="Times New Roman" w:hAnsiTheme="minorHAnsi"/>
                <w:color w:val="000000"/>
                <w:kern w:val="0"/>
                <w:sz w:val="20"/>
                <w:lang w:val="en-IE" w:eastAsia="en-IE"/>
              </w:rPr>
              <w:t>)</w:t>
            </w:r>
            <w:r w:rsidR="00373FD8">
              <w:rPr>
                <w:rFonts w:asciiTheme="minorHAnsi" w:eastAsia="Times New Roman" w:hAnsiTheme="minorHAnsi"/>
                <w:color w:val="000000"/>
                <w:kern w:val="0"/>
                <w:sz w:val="20"/>
                <w:lang w:val="en-IE" w:eastAsia="en-IE"/>
              </w:rPr>
              <w:t>,</w:t>
            </w:r>
            <w:r w:rsidR="007564F2">
              <w:rPr>
                <w:rFonts w:asciiTheme="minorHAnsi" w:eastAsia="Times New Roman" w:hAnsiTheme="minorHAnsi"/>
                <w:color w:val="000000"/>
                <w:kern w:val="0"/>
                <w:sz w:val="20"/>
                <w:lang w:val="en-IE" w:eastAsia="en-IE"/>
              </w:rPr>
              <w:t xml:space="preserve"> </w:t>
            </w:r>
            <w:r w:rsidR="00521B1A" w:rsidRPr="00D91B01">
              <w:rPr>
                <w:rFonts w:asciiTheme="minorHAnsi" w:eastAsia="Times New Roman" w:hAnsiTheme="minorHAnsi"/>
                <w:color w:val="000000"/>
                <w:kern w:val="0"/>
                <w:sz w:val="20"/>
                <w:lang w:val="en-IE" w:eastAsia="en-IE"/>
              </w:rPr>
              <w:t>or are not outsourced</w:t>
            </w:r>
            <w:r w:rsidR="00373FD8">
              <w:rPr>
                <w:rFonts w:asciiTheme="minorHAnsi" w:eastAsia="Times New Roman" w:hAnsiTheme="minorHAnsi"/>
                <w:color w:val="000000"/>
                <w:kern w:val="0"/>
                <w:sz w:val="20"/>
                <w:lang w:val="en-IE" w:eastAsia="en-IE"/>
              </w:rPr>
              <w:t>,</w:t>
            </w:r>
            <w:r w:rsidR="00D162A0">
              <w:rPr>
                <w:rFonts w:asciiTheme="minorHAnsi" w:eastAsia="Times New Roman" w:hAnsiTheme="minorHAnsi"/>
                <w:color w:val="000000"/>
                <w:kern w:val="0"/>
                <w:sz w:val="20"/>
                <w:lang w:val="en-IE" w:eastAsia="en-IE"/>
              </w:rPr>
              <w:t xml:space="preserve"> </w:t>
            </w:r>
            <w:r w:rsidRPr="00D91B01">
              <w:rPr>
                <w:rFonts w:asciiTheme="minorHAnsi" w:eastAsia="Times New Roman" w:hAnsiTheme="minorHAnsi"/>
                <w:color w:val="000000"/>
                <w:kern w:val="0"/>
                <w:sz w:val="20"/>
                <w:lang w:val="en-IE" w:eastAsia="en-IE"/>
              </w:rPr>
              <w:t xml:space="preserve">by the </w:t>
            </w:r>
            <w:r w:rsidR="00863B13">
              <w:rPr>
                <w:rFonts w:asciiTheme="minorHAnsi" w:eastAsia="Times New Roman" w:hAnsiTheme="minorHAnsi"/>
                <w:color w:val="000000"/>
                <w:kern w:val="0"/>
                <w:sz w:val="20"/>
                <w:lang w:val="en-IE" w:eastAsia="en-IE"/>
              </w:rPr>
              <w:t>reporting obliged entity</w:t>
            </w:r>
            <w:r w:rsidR="00570995">
              <w:rPr>
                <w:rFonts w:asciiTheme="minorHAnsi" w:eastAsia="Times New Roman" w:hAnsiTheme="minorHAnsi"/>
                <w:color w:val="000000"/>
                <w:kern w:val="0"/>
                <w:sz w:val="20"/>
                <w:lang w:val="en-IE" w:eastAsia="en-IE"/>
              </w:rPr>
              <w:t xml:space="preserve"> </w:t>
            </w:r>
            <w:r w:rsidR="00570995" w:rsidRPr="003B39FC">
              <w:rPr>
                <w:rFonts w:asciiTheme="minorHAnsi" w:hAnsiTheme="minorHAnsi"/>
                <w:sz w:val="20"/>
              </w:rPr>
              <w:t>during the reference year</w:t>
            </w:r>
            <w:r w:rsidRPr="00D91B01">
              <w:rPr>
                <w:rFonts w:asciiTheme="minorHAnsi" w:eastAsia="Times New Roman" w:hAnsiTheme="minorHAnsi"/>
                <w:color w:val="000000"/>
                <w:kern w:val="0"/>
                <w:sz w:val="20"/>
                <w:lang w:val="en-IE" w:eastAsia="en-IE"/>
              </w:rPr>
              <w:t xml:space="preserve">. </w:t>
            </w:r>
          </w:p>
          <w:p w14:paraId="7465B8A1" w14:textId="46B516C0" w:rsidR="00A03F47" w:rsidRPr="00B164E3" w:rsidRDefault="00A03F47" w:rsidP="006E4AC3">
            <w:pPr>
              <w:spacing w:before="0" w:after="0" w:line="240" w:lineRule="auto"/>
              <w:jc w:val="both"/>
              <w:rPr>
                <w:rFonts w:asciiTheme="minorHAnsi" w:eastAsia="Times New Roman" w:hAnsiTheme="minorHAnsi" w:cs="Calibri"/>
                <w:color w:val="000000"/>
                <w:kern w:val="0"/>
                <w:sz w:val="20"/>
                <w:lang w:val="en-IE" w:eastAsia="en-IE"/>
              </w:rPr>
            </w:pPr>
          </w:p>
        </w:tc>
      </w:tr>
      <w:tr w:rsidR="00A10CBD" w:rsidRPr="009B282E" w14:paraId="7DDD4E2A" w14:textId="77777777" w:rsidTr="00D72CA0">
        <w:tc>
          <w:tcPr>
            <w:tcW w:w="1673" w:type="dxa"/>
            <w:tcBorders>
              <w:top w:val="single" w:sz="4" w:space="0" w:color="auto"/>
              <w:left w:val="single" w:sz="4" w:space="0" w:color="auto"/>
              <w:bottom w:val="single" w:sz="4" w:space="0" w:color="auto"/>
              <w:right w:val="single" w:sz="4" w:space="0" w:color="auto"/>
            </w:tcBorders>
          </w:tcPr>
          <w:p w14:paraId="6F1D9BDA" w14:textId="3018A799" w:rsidR="007764C3" w:rsidRPr="009275BC" w:rsidRDefault="009142BF" w:rsidP="00F32516">
            <w:pPr>
              <w:pStyle w:val="InstructionsText"/>
              <w:rPr>
                <w:rStyle w:val="FormatvorlageInstructionsTabelleText"/>
                <w:rFonts w:asciiTheme="minorHAnsi" w:hAnsiTheme="minorHAnsi"/>
              </w:rPr>
            </w:pPr>
            <w:r w:rsidRPr="00A70B3F">
              <w:t>C0030</w:t>
            </w:r>
          </w:p>
        </w:tc>
        <w:tc>
          <w:tcPr>
            <w:tcW w:w="7616"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D25D294" w14:textId="77777777" w:rsidR="00491899" w:rsidRDefault="00491899" w:rsidP="00D72CA0">
            <w:pPr>
              <w:spacing w:before="0" w:after="0" w:line="240" w:lineRule="auto"/>
              <w:jc w:val="both"/>
              <w:rPr>
                <w:rFonts w:asciiTheme="minorHAnsi" w:eastAsia="Times New Roman" w:hAnsiTheme="minorHAnsi" w:cs="Calibri"/>
                <w:b/>
                <w:color w:val="000000"/>
                <w:kern w:val="0"/>
                <w:sz w:val="20"/>
                <w:u w:val="single"/>
                <w:lang w:val="en-GB" w:eastAsia="en-IE"/>
              </w:rPr>
            </w:pPr>
            <w:r w:rsidRPr="008F7E92">
              <w:rPr>
                <w:rFonts w:ascii="Aptos" w:eastAsia="Times New Roman" w:hAnsi="Aptos" w:cs="Calibri"/>
                <w:b/>
                <w:color w:val="000000"/>
                <w:kern w:val="0"/>
                <w:sz w:val="20"/>
                <w:u w:val="single"/>
                <w:lang w:val="en-GB" w:eastAsia="en-IE"/>
              </w:rPr>
              <w:t>Outsourcing - Training</w:t>
            </w:r>
          </w:p>
          <w:p w14:paraId="5DB99CBC" w14:textId="1C3FF850" w:rsidR="00D72CA0" w:rsidRPr="00BE1CAD" w:rsidRDefault="00D72CA0" w:rsidP="00D72CA0">
            <w:pPr>
              <w:spacing w:before="0" w:after="0" w:line="240" w:lineRule="auto"/>
              <w:jc w:val="both"/>
              <w:rPr>
                <w:rFonts w:asciiTheme="minorHAnsi" w:eastAsia="Times New Roman" w:hAnsiTheme="minorHAnsi" w:cs="Calibri"/>
                <w:b/>
                <w:color w:val="000000"/>
                <w:kern w:val="0"/>
                <w:sz w:val="20"/>
                <w:u w:val="single"/>
                <w:lang w:val="en-GB" w:eastAsia="en-IE"/>
              </w:rPr>
            </w:pPr>
          </w:p>
          <w:p w14:paraId="5DF0E711" w14:textId="5D5615A8" w:rsidR="007764C3" w:rsidRPr="00F27893" w:rsidRDefault="00D72CA0" w:rsidP="00F27893">
            <w:pPr>
              <w:rPr>
                <w:rFonts w:asciiTheme="minorHAnsi" w:eastAsia="Times New Roman" w:hAnsiTheme="minorHAnsi"/>
                <w:color w:val="000000"/>
                <w:kern w:val="0"/>
                <w:sz w:val="20"/>
                <w:lang w:val="en-IE" w:eastAsia="en-IE"/>
              </w:rPr>
            </w:pPr>
            <w:r w:rsidRPr="00D91B01">
              <w:rPr>
                <w:rFonts w:asciiTheme="minorHAnsi" w:eastAsia="Times New Roman" w:hAnsiTheme="minorHAnsi"/>
                <w:color w:val="000000"/>
                <w:kern w:val="0"/>
                <w:sz w:val="20"/>
                <w:lang w:val="en-IE" w:eastAsia="en-IE"/>
              </w:rPr>
              <w:t xml:space="preserve">Indicate </w:t>
            </w:r>
            <w:r w:rsidRPr="467A3946">
              <w:rPr>
                <w:rFonts w:asciiTheme="minorHAnsi" w:eastAsia="Times New Roman" w:hAnsiTheme="minorHAnsi"/>
                <w:color w:val="000000"/>
                <w:kern w:val="0"/>
                <w:sz w:val="20"/>
                <w:lang w:val="en-IE" w:eastAsia="en-IE"/>
              </w:rPr>
              <w:t>w</w:t>
            </w:r>
            <w:r w:rsidR="1C9A4DA8" w:rsidRPr="467A3946">
              <w:rPr>
                <w:rFonts w:asciiTheme="minorHAnsi" w:eastAsia="Times New Roman" w:hAnsiTheme="minorHAnsi"/>
                <w:color w:val="000000"/>
                <w:kern w:val="0"/>
                <w:sz w:val="20"/>
                <w:lang w:val="en-IE" w:eastAsia="en-IE"/>
              </w:rPr>
              <w:t>h</w:t>
            </w:r>
            <w:r w:rsidRPr="467A3946">
              <w:rPr>
                <w:rFonts w:asciiTheme="minorHAnsi" w:eastAsia="Times New Roman" w:hAnsiTheme="minorHAnsi"/>
                <w:color w:val="000000"/>
                <w:kern w:val="0"/>
                <w:sz w:val="20"/>
                <w:lang w:val="en-IE" w:eastAsia="en-IE"/>
              </w:rPr>
              <w:t>ether</w:t>
            </w:r>
            <w:r w:rsidRPr="00D91B01">
              <w:rPr>
                <w:rFonts w:asciiTheme="minorHAnsi" w:eastAsia="Times New Roman" w:hAnsiTheme="minorHAnsi"/>
                <w:color w:val="000000"/>
                <w:kern w:val="0"/>
                <w:sz w:val="20"/>
                <w:lang w:val="en-IE" w:eastAsia="en-IE"/>
              </w:rPr>
              <w:t xml:space="preserve"> </w:t>
            </w:r>
            <w:r w:rsidR="0014054E">
              <w:rPr>
                <w:rFonts w:asciiTheme="minorHAnsi" w:eastAsia="Times New Roman" w:hAnsiTheme="minorHAnsi"/>
                <w:color w:val="000000"/>
                <w:kern w:val="0"/>
                <w:sz w:val="20"/>
                <w:lang w:val="en-IE" w:eastAsia="en-IE"/>
              </w:rPr>
              <w:t xml:space="preserve">AML/CFT </w:t>
            </w:r>
            <w:r w:rsidRPr="00D91B01">
              <w:rPr>
                <w:rFonts w:asciiTheme="minorHAnsi" w:eastAsia="Times New Roman" w:hAnsiTheme="minorHAnsi"/>
                <w:color w:val="000000"/>
                <w:kern w:val="0"/>
                <w:sz w:val="20"/>
                <w:lang w:val="en-IE" w:eastAsia="en-IE"/>
              </w:rPr>
              <w:t>training tasks are outsourced by the legal entity (in total or in part</w:t>
            </w:r>
            <w:r w:rsidR="000B42F9" w:rsidRPr="00D91B01">
              <w:rPr>
                <w:rFonts w:asciiTheme="minorHAnsi" w:eastAsia="Times New Roman" w:hAnsiTheme="minorHAnsi"/>
                <w:color w:val="000000"/>
                <w:kern w:val="0"/>
                <w:sz w:val="20"/>
                <w:lang w:val="en-IE" w:eastAsia="en-IE"/>
              </w:rPr>
              <w:t>)</w:t>
            </w:r>
            <w:r w:rsidRPr="00D91B01">
              <w:rPr>
                <w:rFonts w:asciiTheme="minorHAnsi" w:eastAsia="Times New Roman" w:hAnsiTheme="minorHAnsi"/>
                <w:color w:val="000000"/>
                <w:kern w:val="0"/>
                <w:sz w:val="20"/>
                <w:lang w:val="en-IE" w:eastAsia="en-IE"/>
              </w:rPr>
              <w:t xml:space="preserve"> or are not outsourced</w:t>
            </w:r>
            <w:r w:rsidR="0023667A">
              <w:rPr>
                <w:rFonts w:asciiTheme="minorHAnsi" w:eastAsia="Times New Roman" w:hAnsiTheme="minorHAnsi"/>
                <w:color w:val="000000"/>
                <w:kern w:val="0"/>
                <w:sz w:val="20"/>
                <w:lang w:val="en-IE" w:eastAsia="en-IE"/>
              </w:rPr>
              <w:t xml:space="preserve"> </w:t>
            </w:r>
            <w:r w:rsidR="0023667A" w:rsidRPr="003B39FC">
              <w:rPr>
                <w:rFonts w:asciiTheme="minorHAnsi" w:hAnsiTheme="minorHAnsi"/>
                <w:sz w:val="20"/>
              </w:rPr>
              <w:t>during the reference year</w:t>
            </w:r>
            <w:r w:rsidRPr="00D91B01">
              <w:rPr>
                <w:rFonts w:asciiTheme="minorHAnsi" w:eastAsia="Times New Roman" w:hAnsiTheme="minorHAnsi"/>
                <w:color w:val="000000"/>
                <w:kern w:val="0"/>
                <w:sz w:val="20"/>
                <w:lang w:val="en-IE" w:eastAsia="en-IE"/>
              </w:rPr>
              <w:t>.</w:t>
            </w:r>
            <w:r>
              <w:t xml:space="preserve"> </w:t>
            </w:r>
            <w:r w:rsidRPr="00D91B01">
              <w:rPr>
                <w:rFonts w:asciiTheme="minorHAnsi" w:eastAsia="Times New Roman" w:hAnsiTheme="minorHAnsi"/>
                <w:color w:val="000000"/>
                <w:kern w:val="0"/>
                <w:sz w:val="20"/>
                <w:lang w:val="en-IE" w:eastAsia="en-IE"/>
              </w:rPr>
              <w:t xml:space="preserve">Reference can be made to the training programmes as described in </w:t>
            </w:r>
            <w:r w:rsidR="00A96C1F">
              <w:rPr>
                <w:rFonts w:asciiTheme="minorHAnsi" w:eastAsia="Times New Roman" w:hAnsiTheme="minorHAnsi"/>
                <w:color w:val="000000"/>
                <w:kern w:val="0"/>
                <w:sz w:val="20"/>
                <w:lang w:val="en-IE" w:eastAsia="en-IE"/>
              </w:rPr>
              <w:t>A</w:t>
            </w:r>
            <w:r w:rsidRPr="00D91B01">
              <w:rPr>
                <w:rFonts w:asciiTheme="minorHAnsi" w:eastAsia="Times New Roman" w:hAnsiTheme="minorHAnsi"/>
                <w:color w:val="000000"/>
                <w:kern w:val="0"/>
                <w:sz w:val="20"/>
                <w:lang w:val="en-IE" w:eastAsia="en-IE"/>
              </w:rPr>
              <w:t>rticle 12 AMLR</w:t>
            </w:r>
            <w:r w:rsidR="00874C6E">
              <w:rPr>
                <w:rFonts w:asciiTheme="minorHAnsi" w:eastAsia="Times New Roman" w:hAnsiTheme="minorHAnsi"/>
                <w:color w:val="000000"/>
                <w:kern w:val="0"/>
                <w:sz w:val="20"/>
                <w:lang w:val="en-IE" w:eastAsia="en-IE"/>
              </w:rPr>
              <w:t>.</w:t>
            </w:r>
          </w:p>
        </w:tc>
      </w:tr>
      <w:tr w:rsidR="00A10CBD" w:rsidRPr="009B282E" w14:paraId="0BCFCDD2" w14:textId="77777777" w:rsidTr="00D72CA0">
        <w:tc>
          <w:tcPr>
            <w:tcW w:w="1673" w:type="dxa"/>
            <w:tcBorders>
              <w:top w:val="single" w:sz="4" w:space="0" w:color="auto"/>
              <w:left w:val="single" w:sz="4" w:space="0" w:color="auto"/>
              <w:bottom w:val="single" w:sz="4" w:space="0" w:color="auto"/>
              <w:right w:val="single" w:sz="4" w:space="0" w:color="auto"/>
            </w:tcBorders>
          </w:tcPr>
          <w:p w14:paraId="0DA2CBC3" w14:textId="550A7964" w:rsidR="008014F0" w:rsidRPr="009275BC" w:rsidRDefault="009142BF" w:rsidP="00F32516">
            <w:pPr>
              <w:pStyle w:val="InstructionsText"/>
              <w:rPr>
                <w:rStyle w:val="FormatvorlageInstructionsTabelleText"/>
                <w:rFonts w:asciiTheme="minorHAnsi" w:hAnsiTheme="minorHAnsi"/>
              </w:rPr>
            </w:pPr>
            <w:r w:rsidRPr="00A70B3F">
              <w:t>C0040</w:t>
            </w:r>
          </w:p>
        </w:tc>
        <w:tc>
          <w:tcPr>
            <w:tcW w:w="7616"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5EEFA3A" w14:textId="16FDFF67" w:rsidR="00491899" w:rsidRDefault="00491899" w:rsidP="00D72CA0">
            <w:pPr>
              <w:spacing w:before="0" w:after="0" w:line="240" w:lineRule="auto"/>
              <w:jc w:val="both"/>
              <w:rPr>
                <w:rFonts w:asciiTheme="minorHAnsi" w:eastAsia="Times New Roman" w:hAnsiTheme="minorHAnsi" w:cs="Calibri"/>
                <w:b/>
                <w:color w:val="000000"/>
                <w:kern w:val="0"/>
                <w:sz w:val="20"/>
                <w:u w:val="single"/>
                <w:lang w:val="en-IE" w:eastAsia="en-IE"/>
              </w:rPr>
            </w:pPr>
            <w:r w:rsidRPr="0014477D">
              <w:rPr>
                <w:rFonts w:ascii="Aptos" w:eastAsia="Times New Roman" w:hAnsi="Aptos" w:cs="Calibri"/>
                <w:b/>
                <w:color w:val="000000"/>
                <w:kern w:val="0"/>
                <w:sz w:val="20"/>
                <w:u w:val="single"/>
                <w:lang w:val="en-IE" w:eastAsia="en-IE"/>
              </w:rPr>
              <w:t>Outsourcing - Transaction Monitoring</w:t>
            </w:r>
          </w:p>
          <w:p w14:paraId="4A11C436" w14:textId="1E4D48CF" w:rsidR="00D72CA0" w:rsidRPr="00BE1CAD" w:rsidRDefault="00D72CA0" w:rsidP="00D72CA0">
            <w:pPr>
              <w:spacing w:before="0" w:after="0" w:line="240" w:lineRule="auto"/>
              <w:jc w:val="both"/>
              <w:rPr>
                <w:rFonts w:asciiTheme="minorHAnsi" w:eastAsia="Times New Roman" w:hAnsiTheme="minorHAnsi" w:cs="Calibri"/>
                <w:b/>
                <w:color w:val="000000"/>
                <w:kern w:val="0"/>
                <w:sz w:val="20"/>
                <w:u w:val="single"/>
                <w:lang w:val="en-IE" w:eastAsia="en-IE"/>
              </w:rPr>
            </w:pPr>
          </w:p>
          <w:p w14:paraId="266B7149" w14:textId="22EB3B8B" w:rsidR="008210D3" w:rsidRDefault="00D72CA0" w:rsidP="00D72CA0">
            <w:pPr>
              <w:spacing w:before="0" w:after="0" w:line="240" w:lineRule="auto"/>
              <w:jc w:val="both"/>
              <w:rPr>
                <w:rFonts w:asciiTheme="minorHAnsi" w:eastAsia="Times New Roman" w:hAnsiTheme="minorHAnsi"/>
                <w:color w:val="000000"/>
                <w:kern w:val="0"/>
                <w:sz w:val="20"/>
                <w:lang w:val="en-IE" w:eastAsia="en-IE"/>
              </w:rPr>
            </w:pPr>
            <w:r w:rsidRPr="00B77CCF">
              <w:rPr>
                <w:rFonts w:asciiTheme="minorHAnsi" w:eastAsia="Times New Roman" w:hAnsiTheme="minorHAnsi"/>
                <w:color w:val="000000"/>
                <w:kern w:val="0"/>
                <w:sz w:val="20"/>
                <w:lang w:val="en-IE" w:eastAsia="en-IE"/>
              </w:rPr>
              <w:t>Indicate whether Transaction Monitoring tasks are outsourced by the legal entity (in total or in part), or are not outsourced</w:t>
            </w:r>
            <w:r w:rsidR="0023667A" w:rsidRPr="003B39FC">
              <w:rPr>
                <w:rFonts w:asciiTheme="minorHAnsi" w:hAnsiTheme="minorHAnsi"/>
                <w:sz w:val="20"/>
              </w:rPr>
              <w:t xml:space="preserve"> during the reference year</w:t>
            </w:r>
            <w:r w:rsidRPr="00B77CCF">
              <w:rPr>
                <w:rFonts w:asciiTheme="minorHAnsi" w:eastAsia="Times New Roman" w:hAnsiTheme="minorHAnsi"/>
                <w:color w:val="000000"/>
                <w:kern w:val="0"/>
                <w:sz w:val="20"/>
                <w:lang w:val="en-IE" w:eastAsia="en-IE"/>
              </w:rPr>
              <w:t xml:space="preserve">. </w:t>
            </w:r>
          </w:p>
          <w:p w14:paraId="79D2C801" w14:textId="77777777" w:rsidR="008210D3" w:rsidRDefault="008210D3" w:rsidP="00D72CA0">
            <w:pPr>
              <w:spacing w:before="0" w:after="0" w:line="240" w:lineRule="auto"/>
              <w:jc w:val="both"/>
              <w:rPr>
                <w:rFonts w:asciiTheme="minorHAnsi" w:eastAsia="Times New Roman" w:hAnsiTheme="minorHAnsi"/>
                <w:color w:val="000000"/>
                <w:kern w:val="0"/>
                <w:sz w:val="20"/>
                <w:lang w:val="en-IE" w:eastAsia="en-IE"/>
              </w:rPr>
            </w:pPr>
          </w:p>
          <w:p w14:paraId="676684F1" w14:textId="6712EA15" w:rsidR="00755B0B" w:rsidRPr="00B77CCF" w:rsidRDefault="00755B0B" w:rsidP="008210D3">
            <w:pPr>
              <w:spacing w:before="0" w:after="0" w:line="240" w:lineRule="auto"/>
              <w:jc w:val="both"/>
              <w:rPr>
                <w:rFonts w:asciiTheme="minorHAnsi" w:eastAsia="Times New Roman" w:hAnsiTheme="minorHAnsi"/>
                <w:color w:val="000000"/>
                <w:kern w:val="0"/>
                <w:sz w:val="20"/>
                <w:lang w:val="en-IE" w:eastAsia="en-IE"/>
              </w:rPr>
            </w:pPr>
            <w:r>
              <w:rPr>
                <w:rFonts w:asciiTheme="minorHAnsi" w:eastAsia="Times New Roman" w:hAnsiTheme="minorHAnsi"/>
                <w:color w:val="000000"/>
                <w:kern w:val="0"/>
                <w:sz w:val="20"/>
                <w:lang w:val="en-IE" w:eastAsia="en-IE"/>
              </w:rPr>
              <w:t xml:space="preserve">TFS and other types screenings that are not used for the purpose of </w:t>
            </w:r>
            <w:r w:rsidR="008210D3" w:rsidRPr="008210D3">
              <w:rPr>
                <w:rFonts w:asciiTheme="minorHAnsi" w:eastAsia="Times New Roman" w:hAnsiTheme="minorHAnsi"/>
                <w:color w:val="000000"/>
                <w:kern w:val="0"/>
                <w:sz w:val="20"/>
                <w:lang w:val="en-IE" w:eastAsia="en-IE"/>
              </w:rPr>
              <w:t>detection of unusual or suspicious transactions</w:t>
            </w:r>
            <w:r w:rsidR="008210D3">
              <w:rPr>
                <w:rFonts w:asciiTheme="minorHAnsi" w:eastAsia="Times New Roman" w:hAnsiTheme="minorHAnsi"/>
                <w:color w:val="000000"/>
                <w:kern w:val="0"/>
                <w:sz w:val="20"/>
                <w:lang w:val="en-IE" w:eastAsia="en-IE"/>
              </w:rPr>
              <w:t xml:space="preserve"> should not be considered as transaction monitoring.</w:t>
            </w:r>
          </w:p>
          <w:p w14:paraId="396FA9BF" w14:textId="77777777" w:rsidR="00EE26CC" w:rsidRPr="00BE1CAD" w:rsidRDefault="00EE26CC" w:rsidP="00B56D66">
            <w:pPr>
              <w:spacing w:before="0" w:after="0" w:line="240" w:lineRule="auto"/>
              <w:jc w:val="both"/>
              <w:rPr>
                <w:rFonts w:asciiTheme="minorHAnsi" w:eastAsia="Times New Roman" w:hAnsiTheme="minorHAnsi" w:cs="Calibri"/>
                <w:b/>
                <w:bCs/>
                <w:color w:val="000000"/>
                <w:kern w:val="0"/>
                <w:sz w:val="20"/>
                <w:u w:val="single"/>
                <w:lang w:val="en-GB" w:eastAsia="en-IE"/>
              </w:rPr>
            </w:pPr>
          </w:p>
        </w:tc>
      </w:tr>
      <w:tr w:rsidR="00A10CBD" w:rsidRPr="009B282E" w14:paraId="141102D9" w14:textId="77777777" w:rsidTr="00D72CA0">
        <w:tc>
          <w:tcPr>
            <w:tcW w:w="1673" w:type="dxa"/>
            <w:tcBorders>
              <w:top w:val="single" w:sz="4" w:space="0" w:color="auto"/>
              <w:left w:val="single" w:sz="4" w:space="0" w:color="auto"/>
              <w:bottom w:val="single" w:sz="4" w:space="0" w:color="auto"/>
              <w:right w:val="single" w:sz="4" w:space="0" w:color="auto"/>
            </w:tcBorders>
          </w:tcPr>
          <w:p w14:paraId="3CBC27E1" w14:textId="5D9EC100" w:rsidR="008014F0" w:rsidRPr="009275BC" w:rsidRDefault="009142BF" w:rsidP="00F32516">
            <w:pPr>
              <w:pStyle w:val="InstructionsText"/>
              <w:rPr>
                <w:rStyle w:val="FormatvorlageInstructionsTabelleText"/>
                <w:rFonts w:asciiTheme="minorHAnsi" w:hAnsiTheme="minorHAnsi"/>
              </w:rPr>
            </w:pPr>
            <w:r w:rsidRPr="00A70B3F">
              <w:t>C0050</w:t>
            </w:r>
          </w:p>
        </w:tc>
        <w:tc>
          <w:tcPr>
            <w:tcW w:w="7616"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B4E2043" w14:textId="2A4A13E6" w:rsidR="00491899" w:rsidRDefault="00491899" w:rsidP="00D72CA0">
            <w:pPr>
              <w:spacing w:before="0" w:after="0" w:line="240" w:lineRule="auto"/>
              <w:jc w:val="both"/>
              <w:rPr>
                <w:rFonts w:asciiTheme="minorHAnsi" w:eastAsia="Times New Roman" w:hAnsiTheme="minorHAnsi" w:cs="Calibri"/>
                <w:b/>
                <w:color w:val="000000"/>
                <w:kern w:val="0"/>
                <w:sz w:val="20"/>
                <w:u w:val="single"/>
                <w:lang w:val="en-IE" w:eastAsia="en-IE"/>
              </w:rPr>
            </w:pPr>
            <w:r w:rsidRPr="008F7E92">
              <w:rPr>
                <w:rFonts w:ascii="Aptos" w:eastAsia="Times New Roman" w:hAnsi="Aptos" w:cs="Calibri"/>
                <w:b/>
                <w:color w:val="000000"/>
                <w:kern w:val="0"/>
                <w:sz w:val="20"/>
                <w:u w:val="single"/>
                <w:lang w:val="en-IE" w:eastAsia="en-IE"/>
              </w:rPr>
              <w:t xml:space="preserve">Outsourcing - Suspicious Transaction </w:t>
            </w:r>
            <w:r w:rsidR="00BF7BA0">
              <w:rPr>
                <w:rFonts w:ascii="Aptos" w:eastAsia="Times New Roman" w:hAnsi="Aptos" w:cs="Calibri"/>
                <w:b/>
                <w:color w:val="000000"/>
                <w:kern w:val="0"/>
                <w:sz w:val="20"/>
                <w:u w:val="single"/>
                <w:lang w:val="en-IE" w:eastAsia="en-IE"/>
              </w:rPr>
              <w:t xml:space="preserve">or Activity </w:t>
            </w:r>
            <w:r w:rsidRPr="008F7E92">
              <w:rPr>
                <w:rFonts w:ascii="Aptos" w:eastAsia="Times New Roman" w:hAnsi="Aptos" w:cs="Calibri"/>
                <w:b/>
                <w:color w:val="000000"/>
                <w:kern w:val="0"/>
                <w:sz w:val="20"/>
                <w:u w:val="single"/>
                <w:lang w:val="en-IE" w:eastAsia="en-IE"/>
              </w:rPr>
              <w:t>Reports</w:t>
            </w:r>
          </w:p>
          <w:p w14:paraId="74ABA5F0" w14:textId="1D1E37C4" w:rsidR="00D72CA0" w:rsidRPr="00BE1CAD" w:rsidRDefault="00D72CA0" w:rsidP="00D72CA0">
            <w:pPr>
              <w:spacing w:before="0" w:after="0" w:line="240" w:lineRule="auto"/>
              <w:jc w:val="both"/>
              <w:rPr>
                <w:rFonts w:asciiTheme="minorHAnsi" w:eastAsia="Times New Roman" w:hAnsiTheme="minorHAnsi" w:cs="Calibri"/>
                <w:b/>
                <w:color w:val="000000"/>
                <w:kern w:val="0"/>
                <w:sz w:val="20"/>
                <w:u w:val="single"/>
                <w:lang w:val="en-IE" w:eastAsia="en-IE"/>
              </w:rPr>
            </w:pPr>
          </w:p>
          <w:p w14:paraId="69F6DF11" w14:textId="7F50C611" w:rsidR="00847BFC" w:rsidRDefault="00D72CA0" w:rsidP="00D72CA0">
            <w:pPr>
              <w:spacing w:before="0" w:after="0" w:line="240" w:lineRule="auto"/>
              <w:jc w:val="both"/>
              <w:rPr>
                <w:rFonts w:asciiTheme="minorHAnsi" w:eastAsia="Times New Roman" w:hAnsiTheme="minorHAnsi"/>
                <w:color w:val="000000"/>
                <w:kern w:val="0"/>
                <w:sz w:val="20"/>
                <w:lang w:val="en-IE" w:eastAsia="en-IE"/>
              </w:rPr>
            </w:pPr>
            <w:r w:rsidRPr="00B77CCF">
              <w:rPr>
                <w:rFonts w:asciiTheme="minorHAnsi" w:eastAsia="Times New Roman" w:hAnsiTheme="minorHAnsi"/>
                <w:color w:val="000000"/>
                <w:kern w:val="0"/>
                <w:sz w:val="20"/>
                <w:lang w:val="en-IE" w:eastAsia="en-IE"/>
              </w:rPr>
              <w:t xml:space="preserve">Indicate </w:t>
            </w:r>
            <w:r w:rsidR="686A3EAC" w:rsidRPr="08C01055">
              <w:rPr>
                <w:rFonts w:asciiTheme="minorHAnsi" w:eastAsia="Times New Roman" w:hAnsiTheme="minorHAnsi"/>
                <w:color w:val="000000"/>
                <w:kern w:val="0"/>
                <w:sz w:val="20"/>
                <w:lang w:val="en-IE" w:eastAsia="en-IE"/>
              </w:rPr>
              <w:t xml:space="preserve">whether </w:t>
            </w:r>
            <w:r w:rsidR="00B62975">
              <w:rPr>
                <w:rFonts w:asciiTheme="minorHAnsi" w:eastAsia="Times New Roman" w:hAnsiTheme="minorHAnsi"/>
                <w:color w:val="000000"/>
                <w:kern w:val="0"/>
                <w:sz w:val="20"/>
                <w:lang w:val="en-IE" w:eastAsia="en-IE"/>
              </w:rPr>
              <w:t xml:space="preserve">preparatory tasks to </w:t>
            </w:r>
            <w:r w:rsidRPr="00B77CCF">
              <w:rPr>
                <w:rFonts w:asciiTheme="minorHAnsi" w:eastAsia="Times New Roman" w:hAnsiTheme="minorHAnsi"/>
                <w:color w:val="000000"/>
                <w:kern w:val="0"/>
                <w:sz w:val="20"/>
                <w:lang w:val="en-IE" w:eastAsia="en-IE"/>
              </w:rPr>
              <w:t xml:space="preserve">Suspicious Transaction </w:t>
            </w:r>
            <w:r w:rsidR="00BF7BA0">
              <w:rPr>
                <w:rFonts w:asciiTheme="minorHAnsi" w:eastAsia="Times New Roman" w:hAnsiTheme="minorHAnsi"/>
                <w:color w:val="000000"/>
                <w:kern w:val="0"/>
                <w:sz w:val="20"/>
                <w:lang w:val="en-IE" w:eastAsia="en-IE"/>
              </w:rPr>
              <w:t>or Activity</w:t>
            </w:r>
            <w:r w:rsidRPr="00B77CCF">
              <w:rPr>
                <w:rFonts w:asciiTheme="minorHAnsi" w:eastAsia="Times New Roman" w:hAnsiTheme="minorHAnsi"/>
                <w:color w:val="000000"/>
                <w:kern w:val="0"/>
                <w:sz w:val="20"/>
                <w:lang w:val="en-IE" w:eastAsia="en-IE"/>
              </w:rPr>
              <w:t xml:space="preserve"> Reports are outsourced by the legal entity (in total or in part), or are not outsourced</w:t>
            </w:r>
            <w:r w:rsidR="0023667A" w:rsidRPr="003B39FC">
              <w:rPr>
                <w:rFonts w:asciiTheme="minorHAnsi" w:hAnsiTheme="minorHAnsi"/>
                <w:sz w:val="20"/>
              </w:rPr>
              <w:t xml:space="preserve"> during the reference year</w:t>
            </w:r>
            <w:r w:rsidRPr="00B77CCF">
              <w:rPr>
                <w:rFonts w:asciiTheme="minorHAnsi" w:eastAsia="Times New Roman" w:hAnsiTheme="minorHAnsi"/>
                <w:color w:val="000000"/>
                <w:kern w:val="0"/>
                <w:sz w:val="20"/>
                <w:lang w:val="en-IE" w:eastAsia="en-IE"/>
              </w:rPr>
              <w:t>.</w:t>
            </w:r>
          </w:p>
          <w:p w14:paraId="1952AF05" w14:textId="77777777" w:rsidR="00BD696A" w:rsidRPr="00BE1CAD" w:rsidRDefault="00BD696A" w:rsidP="00B56D66">
            <w:pPr>
              <w:spacing w:before="0" w:after="0" w:line="240" w:lineRule="auto"/>
              <w:jc w:val="both"/>
              <w:rPr>
                <w:rFonts w:asciiTheme="minorHAnsi" w:eastAsia="Times New Roman" w:hAnsiTheme="minorHAnsi" w:cs="Calibri"/>
                <w:b/>
                <w:bCs/>
                <w:color w:val="000000"/>
                <w:kern w:val="0"/>
                <w:sz w:val="20"/>
                <w:u w:val="single"/>
                <w:lang w:val="en-IE" w:eastAsia="en-IE"/>
              </w:rPr>
            </w:pPr>
          </w:p>
        </w:tc>
      </w:tr>
      <w:tr w:rsidR="00A10CBD" w:rsidRPr="009B282E" w14:paraId="66B7448C" w14:textId="77777777" w:rsidTr="00D72CA0">
        <w:tc>
          <w:tcPr>
            <w:tcW w:w="1673" w:type="dxa"/>
            <w:tcBorders>
              <w:top w:val="single" w:sz="4" w:space="0" w:color="auto"/>
              <w:left w:val="single" w:sz="4" w:space="0" w:color="auto"/>
              <w:bottom w:val="single" w:sz="4" w:space="0" w:color="auto"/>
              <w:right w:val="single" w:sz="4" w:space="0" w:color="auto"/>
            </w:tcBorders>
          </w:tcPr>
          <w:p w14:paraId="62AA888F" w14:textId="0BB1ED79" w:rsidR="008014F0" w:rsidRPr="009275BC" w:rsidRDefault="009142BF" w:rsidP="00F32516">
            <w:pPr>
              <w:pStyle w:val="InstructionsText"/>
              <w:rPr>
                <w:rStyle w:val="FormatvorlageInstructionsTabelleText"/>
                <w:rFonts w:asciiTheme="minorHAnsi" w:hAnsiTheme="minorHAnsi"/>
              </w:rPr>
            </w:pPr>
            <w:r w:rsidRPr="00A70B3F">
              <w:t>C0060</w:t>
            </w:r>
          </w:p>
        </w:tc>
        <w:tc>
          <w:tcPr>
            <w:tcW w:w="7616"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245A1C7" w14:textId="77777777" w:rsidR="00491899" w:rsidRDefault="00491899" w:rsidP="00D72CA0">
            <w:pPr>
              <w:spacing w:before="0" w:after="0" w:line="240" w:lineRule="auto"/>
              <w:jc w:val="both"/>
              <w:rPr>
                <w:rFonts w:asciiTheme="minorHAnsi" w:eastAsia="Times New Roman" w:hAnsiTheme="minorHAnsi" w:cs="Calibri"/>
                <w:color w:val="000000"/>
                <w:kern w:val="0"/>
                <w:sz w:val="20"/>
                <w:lang w:val="en-IE" w:eastAsia="en-IE"/>
              </w:rPr>
            </w:pPr>
            <w:r w:rsidRPr="0014477D">
              <w:rPr>
                <w:rFonts w:ascii="Aptos" w:eastAsia="Times New Roman" w:hAnsi="Aptos" w:cs="Calibri"/>
                <w:b/>
                <w:color w:val="000000"/>
                <w:kern w:val="0"/>
                <w:sz w:val="20"/>
                <w:u w:val="single"/>
                <w:lang w:val="en-IE" w:eastAsia="en-IE"/>
              </w:rPr>
              <w:t>Outsourcing - Sanctions Screening Tasks</w:t>
            </w:r>
          </w:p>
          <w:p w14:paraId="7C2D6172" w14:textId="2B21FF23" w:rsidR="00D72CA0" w:rsidRPr="00B77CCF" w:rsidRDefault="00D72CA0" w:rsidP="00D72CA0">
            <w:pPr>
              <w:spacing w:before="0" w:after="0" w:line="240" w:lineRule="auto"/>
              <w:jc w:val="both"/>
              <w:rPr>
                <w:rFonts w:asciiTheme="minorHAnsi" w:eastAsia="Times New Roman" w:hAnsiTheme="minorHAnsi" w:cs="Calibri"/>
                <w:color w:val="000000"/>
                <w:kern w:val="0"/>
                <w:sz w:val="20"/>
                <w:lang w:val="en-IE" w:eastAsia="en-IE"/>
              </w:rPr>
            </w:pPr>
          </w:p>
          <w:p w14:paraId="683B6023" w14:textId="17E8162B" w:rsidR="003C5E49" w:rsidRPr="00B77CCF" w:rsidRDefault="00D72CA0" w:rsidP="00D72CA0">
            <w:pPr>
              <w:spacing w:before="0" w:after="0" w:line="240" w:lineRule="auto"/>
              <w:jc w:val="both"/>
              <w:rPr>
                <w:rFonts w:asciiTheme="minorHAnsi" w:eastAsia="Times New Roman" w:hAnsiTheme="minorHAnsi"/>
                <w:color w:val="000000"/>
                <w:kern w:val="0"/>
                <w:sz w:val="20"/>
                <w:lang w:val="en-IE" w:eastAsia="en-IE"/>
              </w:rPr>
            </w:pPr>
            <w:r w:rsidRPr="00B77CCF">
              <w:rPr>
                <w:rFonts w:asciiTheme="minorHAnsi" w:eastAsia="Times New Roman" w:hAnsiTheme="minorHAnsi"/>
                <w:color w:val="000000"/>
                <w:kern w:val="0"/>
                <w:sz w:val="20"/>
                <w:lang w:val="en-IE" w:eastAsia="en-IE"/>
              </w:rPr>
              <w:t xml:space="preserve">Indicate </w:t>
            </w:r>
            <w:r w:rsidR="6DA9BEAE" w:rsidRPr="08C01055">
              <w:rPr>
                <w:rFonts w:asciiTheme="minorHAnsi" w:eastAsia="Times New Roman" w:hAnsiTheme="minorHAnsi"/>
                <w:color w:val="000000"/>
                <w:kern w:val="0"/>
                <w:sz w:val="20"/>
                <w:lang w:val="en-IE" w:eastAsia="en-IE"/>
              </w:rPr>
              <w:t>whether</w:t>
            </w:r>
            <w:r w:rsidRPr="00B77CCF">
              <w:rPr>
                <w:rFonts w:asciiTheme="minorHAnsi" w:eastAsia="Times New Roman" w:hAnsiTheme="minorHAnsi"/>
                <w:color w:val="000000"/>
                <w:kern w:val="0"/>
                <w:sz w:val="20"/>
                <w:lang w:val="en-IE" w:eastAsia="en-IE"/>
              </w:rPr>
              <w:t xml:space="preserve"> </w:t>
            </w:r>
            <w:r w:rsidR="00352AFC">
              <w:rPr>
                <w:rFonts w:asciiTheme="minorHAnsi" w:eastAsia="Times New Roman" w:hAnsiTheme="minorHAnsi"/>
                <w:color w:val="000000"/>
                <w:kern w:val="0"/>
                <w:sz w:val="20"/>
                <w:lang w:val="en-IE" w:eastAsia="en-IE"/>
              </w:rPr>
              <w:t xml:space="preserve">the </w:t>
            </w:r>
            <w:r w:rsidR="00352AFC" w:rsidRPr="00352AFC">
              <w:rPr>
                <w:rFonts w:asciiTheme="minorHAnsi" w:eastAsia="Times New Roman" w:hAnsiTheme="minorHAnsi"/>
                <w:color w:val="000000"/>
                <w:kern w:val="0"/>
                <w:sz w:val="20"/>
                <w:lang w:val="en-IE" w:eastAsia="en-IE"/>
              </w:rPr>
              <w:t xml:space="preserve">screening of customers </w:t>
            </w:r>
            <w:r w:rsidR="00140033">
              <w:rPr>
                <w:rFonts w:asciiTheme="minorHAnsi" w:eastAsia="Times New Roman" w:hAnsiTheme="minorHAnsi"/>
                <w:color w:val="000000"/>
                <w:kern w:val="0"/>
                <w:sz w:val="20"/>
                <w:lang w:val="en-IE" w:eastAsia="en-IE"/>
              </w:rPr>
              <w:t>and counterparties</w:t>
            </w:r>
            <w:r w:rsidR="00352AFC" w:rsidRPr="00352AFC">
              <w:rPr>
                <w:rFonts w:asciiTheme="minorHAnsi" w:eastAsia="Times New Roman" w:hAnsiTheme="minorHAnsi"/>
                <w:color w:val="000000"/>
                <w:kern w:val="0"/>
                <w:sz w:val="20"/>
                <w:lang w:val="en-IE" w:eastAsia="en-IE"/>
              </w:rPr>
              <w:t xml:space="preserve"> for the implementation of targeted financial sanctions</w:t>
            </w:r>
            <w:r w:rsidR="00352AFC">
              <w:rPr>
                <w:rFonts w:asciiTheme="minorHAnsi" w:eastAsia="Times New Roman" w:hAnsiTheme="minorHAnsi"/>
                <w:color w:val="000000"/>
                <w:kern w:val="0"/>
                <w:sz w:val="20"/>
                <w:lang w:val="en-IE" w:eastAsia="en-IE"/>
              </w:rPr>
              <w:t xml:space="preserve"> </w:t>
            </w:r>
            <w:r w:rsidRPr="00B77CCF">
              <w:rPr>
                <w:rFonts w:asciiTheme="minorHAnsi" w:eastAsia="Times New Roman" w:hAnsiTheme="minorHAnsi"/>
                <w:color w:val="000000"/>
                <w:kern w:val="0"/>
                <w:sz w:val="20"/>
                <w:lang w:val="en-IE" w:eastAsia="en-IE"/>
              </w:rPr>
              <w:t>are outsourced by the legal entity (in total or in part), or are not outsourced</w:t>
            </w:r>
            <w:r w:rsidR="0023667A" w:rsidRPr="003B39FC">
              <w:rPr>
                <w:rFonts w:asciiTheme="minorHAnsi" w:hAnsiTheme="minorHAnsi"/>
                <w:sz w:val="20"/>
              </w:rPr>
              <w:t xml:space="preserve"> during the reference year</w:t>
            </w:r>
            <w:r w:rsidRPr="00B77CCF">
              <w:rPr>
                <w:rFonts w:asciiTheme="minorHAnsi" w:eastAsia="Times New Roman" w:hAnsiTheme="minorHAnsi"/>
                <w:color w:val="000000"/>
                <w:kern w:val="0"/>
                <w:sz w:val="20"/>
                <w:lang w:val="en-IE" w:eastAsia="en-IE"/>
              </w:rPr>
              <w:t>.</w:t>
            </w:r>
          </w:p>
          <w:p w14:paraId="4345C584" w14:textId="4C06A237" w:rsidR="00531AA2" w:rsidRPr="00BE1CAD" w:rsidRDefault="00D72CA0" w:rsidP="00B56D66">
            <w:pPr>
              <w:spacing w:before="0" w:after="0" w:line="240" w:lineRule="auto"/>
              <w:jc w:val="both"/>
              <w:rPr>
                <w:rFonts w:asciiTheme="minorHAnsi" w:eastAsia="Times New Roman" w:hAnsiTheme="minorHAnsi" w:cs="Calibri"/>
                <w:color w:val="000000"/>
                <w:kern w:val="0"/>
                <w:sz w:val="20"/>
                <w:lang w:val="en-IE" w:eastAsia="en-IE"/>
              </w:rPr>
            </w:pPr>
            <w:r w:rsidRPr="00B77CCF">
              <w:rPr>
                <w:rFonts w:asciiTheme="minorHAnsi" w:eastAsia="Times New Roman" w:hAnsiTheme="minorHAnsi" w:cs="Calibri"/>
                <w:color w:val="000000"/>
                <w:kern w:val="0"/>
                <w:sz w:val="20"/>
                <w:lang w:val="en-IE" w:eastAsia="en-IE"/>
              </w:rPr>
              <w:t xml:space="preserve"> </w:t>
            </w:r>
          </w:p>
        </w:tc>
      </w:tr>
      <w:tr w:rsidR="00A10CBD" w:rsidRPr="009B282E" w14:paraId="570F87CF" w14:textId="77777777" w:rsidTr="00D72CA0">
        <w:tc>
          <w:tcPr>
            <w:tcW w:w="1673" w:type="dxa"/>
            <w:tcBorders>
              <w:top w:val="single" w:sz="4" w:space="0" w:color="auto"/>
              <w:left w:val="single" w:sz="4" w:space="0" w:color="auto"/>
              <w:bottom w:val="single" w:sz="4" w:space="0" w:color="auto"/>
              <w:right w:val="single" w:sz="4" w:space="0" w:color="auto"/>
            </w:tcBorders>
          </w:tcPr>
          <w:p w14:paraId="5A96644D" w14:textId="64F73CE0" w:rsidR="00C76E35" w:rsidRPr="009275BC" w:rsidRDefault="009142BF" w:rsidP="00F32516">
            <w:pPr>
              <w:pStyle w:val="InstructionsText"/>
              <w:rPr>
                <w:rStyle w:val="FormatvorlageInstructionsTabelleText"/>
                <w:rFonts w:asciiTheme="minorHAnsi" w:hAnsiTheme="minorHAnsi"/>
              </w:rPr>
            </w:pPr>
            <w:r w:rsidRPr="00A70B3F">
              <w:t>C0070</w:t>
            </w:r>
          </w:p>
        </w:tc>
        <w:tc>
          <w:tcPr>
            <w:tcW w:w="7616"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CC0F7A6" w14:textId="05E08C6F" w:rsidR="00491899" w:rsidRDefault="00491899" w:rsidP="00D72CA0">
            <w:pPr>
              <w:spacing w:before="0" w:after="0" w:line="240" w:lineRule="auto"/>
              <w:jc w:val="both"/>
              <w:rPr>
                <w:rFonts w:asciiTheme="minorHAnsi" w:eastAsia="Times New Roman" w:hAnsiTheme="minorHAnsi" w:cs="Calibri"/>
                <w:color w:val="000000"/>
                <w:kern w:val="0"/>
                <w:sz w:val="20"/>
                <w:lang w:val="en-IE" w:eastAsia="en-IE"/>
              </w:rPr>
            </w:pPr>
            <w:r w:rsidRPr="0014477D">
              <w:rPr>
                <w:rFonts w:ascii="Aptos" w:eastAsia="Times New Roman" w:hAnsi="Aptos" w:cs="Calibri"/>
                <w:b/>
                <w:color w:val="000000"/>
                <w:kern w:val="0"/>
                <w:sz w:val="20"/>
                <w:u w:val="single"/>
                <w:lang w:val="en-IE" w:eastAsia="en-IE"/>
              </w:rPr>
              <w:t xml:space="preserve">Outsourcing - PEP </w:t>
            </w:r>
            <w:r w:rsidR="00AA25CA">
              <w:rPr>
                <w:rFonts w:ascii="Aptos" w:eastAsia="Times New Roman" w:hAnsi="Aptos" w:cs="Calibri"/>
                <w:b/>
                <w:color w:val="000000"/>
                <w:kern w:val="0"/>
                <w:sz w:val="20"/>
                <w:u w:val="single"/>
                <w:lang w:val="en-IE" w:eastAsia="en-IE"/>
              </w:rPr>
              <w:t>status</w:t>
            </w:r>
          </w:p>
          <w:p w14:paraId="18FE193C" w14:textId="7A5728B1" w:rsidR="00D72CA0" w:rsidRPr="00B77CCF" w:rsidRDefault="00D72CA0" w:rsidP="00D72CA0">
            <w:pPr>
              <w:spacing w:before="0" w:after="0" w:line="240" w:lineRule="auto"/>
              <w:jc w:val="both"/>
              <w:rPr>
                <w:rFonts w:asciiTheme="minorHAnsi" w:eastAsia="Times New Roman" w:hAnsiTheme="minorHAnsi" w:cs="Calibri"/>
                <w:color w:val="000000"/>
                <w:kern w:val="0"/>
                <w:sz w:val="20"/>
                <w:lang w:val="en-IE" w:eastAsia="en-IE"/>
              </w:rPr>
            </w:pPr>
          </w:p>
          <w:p w14:paraId="19CFE82C" w14:textId="29D5B3DE" w:rsidR="006974B8" w:rsidRPr="00B77CCF" w:rsidRDefault="00D72CA0" w:rsidP="00D72CA0">
            <w:pPr>
              <w:spacing w:before="0" w:after="0" w:line="240" w:lineRule="auto"/>
              <w:jc w:val="both"/>
              <w:rPr>
                <w:rFonts w:asciiTheme="minorHAnsi" w:eastAsia="Times New Roman" w:hAnsiTheme="minorHAnsi"/>
                <w:color w:val="000000"/>
                <w:kern w:val="0"/>
                <w:sz w:val="20"/>
                <w:lang w:eastAsia="en-IE"/>
              </w:rPr>
            </w:pPr>
            <w:r w:rsidRPr="00B77CCF">
              <w:rPr>
                <w:rFonts w:asciiTheme="minorHAnsi" w:eastAsia="Times New Roman" w:hAnsiTheme="minorHAnsi"/>
                <w:color w:val="000000"/>
                <w:kern w:val="0"/>
                <w:sz w:val="20"/>
                <w:lang w:eastAsia="en-IE"/>
              </w:rPr>
              <w:t xml:space="preserve">Indicate </w:t>
            </w:r>
            <w:r w:rsidR="5494D8AC" w:rsidRPr="08C01055">
              <w:rPr>
                <w:rFonts w:asciiTheme="minorHAnsi" w:eastAsia="Times New Roman" w:hAnsiTheme="minorHAnsi"/>
                <w:color w:val="000000"/>
                <w:kern w:val="0"/>
                <w:sz w:val="20"/>
                <w:lang w:eastAsia="en-IE"/>
              </w:rPr>
              <w:t>whether</w:t>
            </w:r>
            <w:r w:rsidRPr="00B77CCF">
              <w:rPr>
                <w:rFonts w:asciiTheme="minorHAnsi" w:eastAsia="Times New Roman" w:hAnsiTheme="minorHAnsi"/>
                <w:color w:val="000000"/>
                <w:kern w:val="0"/>
                <w:sz w:val="20"/>
                <w:lang w:eastAsia="en-IE"/>
              </w:rPr>
              <w:t xml:space="preserve"> </w:t>
            </w:r>
            <w:r w:rsidR="00A14D3A">
              <w:rPr>
                <w:rFonts w:asciiTheme="minorHAnsi" w:eastAsia="Times New Roman" w:hAnsiTheme="minorHAnsi"/>
                <w:color w:val="000000"/>
                <w:kern w:val="0"/>
                <w:sz w:val="20"/>
                <w:lang w:eastAsia="en-IE"/>
              </w:rPr>
              <w:t xml:space="preserve">the </w:t>
            </w:r>
            <w:r w:rsidR="00346B4E">
              <w:rPr>
                <w:rFonts w:asciiTheme="minorHAnsi" w:eastAsia="Times New Roman" w:hAnsiTheme="minorHAnsi"/>
                <w:color w:val="000000"/>
                <w:kern w:val="0"/>
                <w:sz w:val="20"/>
                <w:lang w:eastAsia="en-IE"/>
              </w:rPr>
              <w:t xml:space="preserve">process of </w:t>
            </w:r>
            <w:r w:rsidR="00A14D3A">
              <w:rPr>
                <w:rFonts w:asciiTheme="minorHAnsi" w:eastAsia="Times New Roman" w:hAnsiTheme="minorHAnsi"/>
                <w:color w:val="000000"/>
                <w:kern w:val="0"/>
                <w:sz w:val="20"/>
                <w:lang w:eastAsia="en-IE"/>
              </w:rPr>
              <w:t>determination of the</w:t>
            </w:r>
            <w:r w:rsidRPr="00B77CCF">
              <w:rPr>
                <w:rFonts w:asciiTheme="minorHAnsi" w:eastAsia="Times New Roman" w:hAnsiTheme="minorHAnsi"/>
                <w:color w:val="000000"/>
                <w:kern w:val="0"/>
                <w:sz w:val="20"/>
                <w:lang w:eastAsia="en-IE"/>
              </w:rPr>
              <w:t xml:space="preserve"> Politically Exposed Person (PEP) </w:t>
            </w:r>
            <w:r w:rsidR="00A14D3A">
              <w:rPr>
                <w:rFonts w:asciiTheme="minorHAnsi" w:eastAsia="Times New Roman" w:hAnsiTheme="minorHAnsi"/>
                <w:color w:val="000000"/>
                <w:kern w:val="0"/>
                <w:sz w:val="20"/>
                <w:lang w:eastAsia="en-IE"/>
              </w:rPr>
              <w:t>status</w:t>
            </w:r>
            <w:r w:rsidR="00162DD2">
              <w:rPr>
                <w:rFonts w:asciiTheme="minorHAnsi" w:eastAsia="Times New Roman" w:hAnsiTheme="minorHAnsi"/>
                <w:color w:val="000000"/>
                <w:kern w:val="0"/>
                <w:sz w:val="20"/>
                <w:lang w:eastAsia="en-IE"/>
              </w:rPr>
              <w:t xml:space="preserve"> </w:t>
            </w:r>
            <w:r w:rsidR="009B3DC5">
              <w:rPr>
                <w:rFonts w:asciiTheme="minorHAnsi" w:eastAsia="Times New Roman" w:hAnsiTheme="minorHAnsi"/>
                <w:color w:val="000000"/>
                <w:kern w:val="0"/>
                <w:sz w:val="20"/>
                <w:lang w:eastAsia="en-IE"/>
              </w:rPr>
              <w:t>is</w:t>
            </w:r>
            <w:r w:rsidRPr="00B77CCF">
              <w:rPr>
                <w:rFonts w:asciiTheme="minorHAnsi" w:eastAsia="Times New Roman" w:hAnsiTheme="minorHAnsi"/>
                <w:color w:val="000000"/>
                <w:kern w:val="0"/>
                <w:sz w:val="20"/>
                <w:lang w:eastAsia="en-IE"/>
              </w:rPr>
              <w:t xml:space="preserve"> outsourced by the </w:t>
            </w:r>
            <w:r w:rsidR="00863B13">
              <w:rPr>
                <w:rFonts w:asciiTheme="minorHAnsi" w:eastAsia="Times New Roman" w:hAnsiTheme="minorHAnsi"/>
                <w:color w:val="000000"/>
                <w:kern w:val="0"/>
                <w:sz w:val="20"/>
                <w:lang w:eastAsia="en-IE"/>
              </w:rPr>
              <w:t>reporting obliged entity</w:t>
            </w:r>
            <w:r w:rsidRPr="00B77CCF">
              <w:rPr>
                <w:rFonts w:asciiTheme="minorHAnsi" w:eastAsia="Times New Roman" w:hAnsiTheme="minorHAnsi"/>
                <w:color w:val="000000"/>
                <w:kern w:val="0"/>
                <w:sz w:val="20"/>
                <w:lang w:eastAsia="en-IE"/>
              </w:rPr>
              <w:t xml:space="preserve"> (in total or in part), or are not outsourced</w:t>
            </w:r>
            <w:r w:rsidR="00FF65E0" w:rsidRPr="003B39FC">
              <w:rPr>
                <w:rFonts w:asciiTheme="minorHAnsi" w:hAnsiTheme="minorHAnsi"/>
                <w:sz w:val="20"/>
              </w:rPr>
              <w:t xml:space="preserve"> during the reference year</w:t>
            </w:r>
            <w:r w:rsidRPr="00B77CCF">
              <w:rPr>
                <w:rFonts w:asciiTheme="minorHAnsi" w:eastAsia="Times New Roman" w:hAnsiTheme="minorHAnsi"/>
                <w:color w:val="000000"/>
                <w:kern w:val="0"/>
                <w:sz w:val="20"/>
                <w:lang w:eastAsia="en-IE"/>
              </w:rPr>
              <w:t xml:space="preserve">. </w:t>
            </w:r>
          </w:p>
          <w:p w14:paraId="5692C154" w14:textId="36285423" w:rsidR="00A15168" w:rsidRPr="00B77CCF" w:rsidRDefault="00A15168" w:rsidP="00B56D66">
            <w:pPr>
              <w:spacing w:before="0" w:after="0" w:line="240" w:lineRule="auto"/>
              <w:jc w:val="both"/>
              <w:rPr>
                <w:rFonts w:asciiTheme="minorHAnsi" w:eastAsia="Times New Roman" w:hAnsiTheme="minorHAnsi" w:cs="Calibri"/>
                <w:color w:val="000000"/>
                <w:kern w:val="0"/>
                <w:sz w:val="20"/>
                <w:lang w:val="en-IE" w:eastAsia="en-IE"/>
              </w:rPr>
            </w:pPr>
          </w:p>
        </w:tc>
      </w:tr>
      <w:tr w:rsidR="00A10CBD" w:rsidRPr="009B282E" w14:paraId="4F688DB7" w14:textId="77777777" w:rsidTr="00D72CA0">
        <w:tc>
          <w:tcPr>
            <w:tcW w:w="1673" w:type="dxa"/>
            <w:tcBorders>
              <w:top w:val="single" w:sz="4" w:space="0" w:color="auto"/>
              <w:left w:val="single" w:sz="4" w:space="0" w:color="auto"/>
              <w:bottom w:val="single" w:sz="4" w:space="0" w:color="auto"/>
              <w:right w:val="single" w:sz="4" w:space="0" w:color="auto"/>
            </w:tcBorders>
          </w:tcPr>
          <w:p w14:paraId="62820ACF" w14:textId="741ADE29" w:rsidR="008014F0" w:rsidRPr="009275BC" w:rsidRDefault="009142BF" w:rsidP="00F32516">
            <w:pPr>
              <w:pStyle w:val="InstructionsText"/>
              <w:rPr>
                <w:rStyle w:val="FormatvorlageInstructionsTabelleText"/>
                <w:rFonts w:asciiTheme="minorHAnsi" w:hAnsiTheme="minorHAnsi"/>
              </w:rPr>
            </w:pPr>
            <w:r w:rsidRPr="00A70B3F">
              <w:t>C0080</w:t>
            </w:r>
          </w:p>
        </w:tc>
        <w:tc>
          <w:tcPr>
            <w:tcW w:w="7616"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E2366E9" w14:textId="77777777" w:rsidR="00491899" w:rsidRDefault="00491899" w:rsidP="00D72CA0">
            <w:pPr>
              <w:spacing w:before="0" w:after="0" w:line="240" w:lineRule="auto"/>
              <w:jc w:val="both"/>
              <w:rPr>
                <w:rFonts w:asciiTheme="minorHAnsi" w:eastAsia="Times New Roman" w:hAnsiTheme="minorHAnsi"/>
                <w:color w:val="000000"/>
                <w:kern w:val="0"/>
                <w:sz w:val="20"/>
                <w:lang w:val="en-IE" w:eastAsia="en-IE"/>
              </w:rPr>
            </w:pPr>
            <w:r w:rsidRPr="00C479F9">
              <w:rPr>
                <w:rFonts w:ascii="Aptos" w:eastAsia="Times New Roman" w:hAnsi="Aptos"/>
                <w:b/>
                <w:color w:val="000000"/>
                <w:kern w:val="0"/>
                <w:sz w:val="20"/>
                <w:u w:val="single"/>
                <w:lang w:val="en-IE" w:eastAsia="en-IE"/>
              </w:rPr>
              <w:t>Outsourcing - Compliance Monitoring Checks</w:t>
            </w:r>
          </w:p>
          <w:p w14:paraId="0815808E" w14:textId="5EA57FC4" w:rsidR="00D72CA0" w:rsidRPr="00B77CCF" w:rsidRDefault="00D72CA0" w:rsidP="00D72CA0">
            <w:pPr>
              <w:spacing w:before="0" w:after="0" w:line="240" w:lineRule="auto"/>
              <w:jc w:val="both"/>
              <w:rPr>
                <w:rFonts w:asciiTheme="minorHAnsi" w:eastAsia="Times New Roman" w:hAnsiTheme="minorHAnsi"/>
                <w:color w:val="000000"/>
                <w:kern w:val="0"/>
                <w:sz w:val="20"/>
                <w:lang w:val="en-IE" w:eastAsia="en-IE"/>
              </w:rPr>
            </w:pPr>
          </w:p>
          <w:p w14:paraId="3BF188D9" w14:textId="5DAAC9BA" w:rsidR="00D72CA0" w:rsidRPr="00B77CCF" w:rsidRDefault="00D72CA0" w:rsidP="00D72CA0">
            <w:pPr>
              <w:spacing w:before="0" w:after="0" w:line="240" w:lineRule="auto"/>
              <w:jc w:val="both"/>
              <w:rPr>
                <w:rFonts w:asciiTheme="minorHAnsi" w:eastAsia="Times New Roman" w:hAnsiTheme="minorHAnsi"/>
                <w:color w:val="000000" w:themeColor="text1"/>
                <w:sz w:val="20"/>
                <w:lang w:val="en-IE" w:eastAsia="en-IE"/>
              </w:rPr>
            </w:pPr>
            <w:r w:rsidRPr="00B77CCF">
              <w:rPr>
                <w:rFonts w:asciiTheme="minorHAnsi" w:eastAsia="Times New Roman" w:hAnsiTheme="minorHAnsi"/>
                <w:color w:val="000000"/>
                <w:kern w:val="0"/>
                <w:sz w:val="20"/>
                <w:lang w:val="en-IE" w:eastAsia="en-IE"/>
              </w:rPr>
              <w:t xml:space="preserve">Indicate </w:t>
            </w:r>
            <w:r w:rsidR="357D9295" w:rsidRPr="08C01055">
              <w:rPr>
                <w:rFonts w:asciiTheme="minorHAnsi" w:eastAsia="Times New Roman" w:hAnsiTheme="minorHAnsi"/>
                <w:color w:val="000000"/>
                <w:kern w:val="0"/>
                <w:sz w:val="20"/>
                <w:lang w:val="en-IE" w:eastAsia="en-IE"/>
              </w:rPr>
              <w:t>whether</w:t>
            </w:r>
            <w:r w:rsidRPr="00B77CCF">
              <w:rPr>
                <w:rFonts w:asciiTheme="minorHAnsi" w:eastAsia="Times New Roman" w:hAnsiTheme="minorHAnsi"/>
                <w:color w:val="000000"/>
                <w:kern w:val="0"/>
                <w:sz w:val="20"/>
                <w:lang w:val="en-IE" w:eastAsia="en-IE"/>
              </w:rPr>
              <w:t xml:space="preserve"> </w:t>
            </w:r>
            <w:r w:rsidR="30EEE6B5" w:rsidRPr="00CAE35C">
              <w:rPr>
                <w:rFonts w:asciiTheme="minorHAnsi" w:eastAsia="Times New Roman" w:hAnsiTheme="minorHAnsi"/>
                <w:color w:val="000000" w:themeColor="text1"/>
                <w:sz w:val="20"/>
                <w:lang w:val="en-IE" w:eastAsia="en-IE"/>
              </w:rPr>
              <w:t xml:space="preserve">compliance </w:t>
            </w:r>
            <w:r w:rsidR="50A3EC17" w:rsidRPr="0F5D92B2">
              <w:rPr>
                <w:rFonts w:asciiTheme="minorHAnsi" w:eastAsia="Times New Roman" w:hAnsiTheme="minorHAnsi"/>
                <w:color w:val="000000" w:themeColor="text1"/>
                <w:sz w:val="20"/>
                <w:lang w:val="en-IE" w:eastAsia="en-IE"/>
              </w:rPr>
              <w:t>monitoring</w:t>
            </w:r>
            <w:r w:rsidR="30EEE6B5" w:rsidRPr="00CAE35C">
              <w:rPr>
                <w:rFonts w:asciiTheme="minorHAnsi" w:eastAsia="Times New Roman" w:hAnsiTheme="minorHAnsi"/>
                <w:color w:val="000000" w:themeColor="text1"/>
                <w:sz w:val="20"/>
                <w:lang w:val="en-IE" w:eastAsia="en-IE"/>
              </w:rPr>
              <w:t xml:space="preserve"> checks </w:t>
            </w:r>
            <w:r w:rsidRPr="00CAE35C">
              <w:rPr>
                <w:rFonts w:asciiTheme="minorHAnsi" w:eastAsia="Times New Roman" w:hAnsiTheme="minorHAnsi"/>
                <w:color w:val="000000"/>
                <w:kern w:val="0"/>
                <w:sz w:val="20"/>
                <w:lang w:val="en-IE" w:eastAsia="en-IE"/>
              </w:rPr>
              <w:t>are</w:t>
            </w:r>
            <w:r w:rsidRPr="00B77CCF">
              <w:rPr>
                <w:rFonts w:asciiTheme="minorHAnsi" w:eastAsia="Times New Roman" w:hAnsiTheme="minorHAnsi"/>
                <w:color w:val="000000"/>
                <w:kern w:val="0"/>
                <w:sz w:val="20"/>
                <w:lang w:val="en-IE" w:eastAsia="en-IE"/>
              </w:rPr>
              <w:t xml:space="preserve"> outsourced by the </w:t>
            </w:r>
            <w:r w:rsidR="00863B13">
              <w:rPr>
                <w:rFonts w:asciiTheme="minorHAnsi" w:eastAsia="Times New Roman" w:hAnsiTheme="minorHAnsi"/>
                <w:color w:val="000000" w:themeColor="text1"/>
                <w:sz w:val="20"/>
                <w:lang w:val="en-IE" w:eastAsia="en-IE"/>
              </w:rPr>
              <w:t>reporting obliged entity</w:t>
            </w:r>
            <w:r w:rsidRPr="00B77CCF">
              <w:rPr>
                <w:rFonts w:asciiTheme="minorHAnsi" w:eastAsia="Times New Roman" w:hAnsiTheme="minorHAnsi"/>
                <w:color w:val="000000"/>
                <w:kern w:val="0"/>
                <w:sz w:val="20"/>
                <w:lang w:val="en-IE" w:eastAsia="en-IE"/>
              </w:rPr>
              <w:t xml:space="preserve"> (in total or in part), or are not outsourced</w:t>
            </w:r>
            <w:r w:rsidR="5AA381CA" w:rsidRPr="0346780C">
              <w:rPr>
                <w:rFonts w:asciiTheme="minorHAnsi" w:eastAsia="Times New Roman" w:hAnsiTheme="minorHAnsi"/>
                <w:color w:val="000000"/>
                <w:kern w:val="0"/>
                <w:sz w:val="20"/>
                <w:lang w:val="en-IE" w:eastAsia="en-IE"/>
              </w:rPr>
              <w:t xml:space="preserve">, </w:t>
            </w:r>
            <w:r w:rsidR="5AA381CA" w:rsidRPr="003350CC">
              <w:rPr>
                <w:rFonts w:ascii="Aptos" w:eastAsia="Aptos" w:hAnsi="Aptos" w:cs="Aptos"/>
                <w:color w:val="auto"/>
                <w:sz w:val="20"/>
                <w:lang w:val="en-IE"/>
              </w:rPr>
              <w:t xml:space="preserve">during the reference </w:t>
            </w:r>
            <w:r w:rsidR="4F03970A" w:rsidRPr="003350CC">
              <w:rPr>
                <w:rFonts w:asciiTheme="minorHAnsi" w:eastAsia="Times New Roman" w:hAnsiTheme="minorHAnsi"/>
                <w:color w:val="auto"/>
                <w:kern w:val="0"/>
                <w:sz w:val="20"/>
                <w:lang w:val="en-IE" w:eastAsia="en-IE"/>
              </w:rPr>
              <w:t>year</w:t>
            </w:r>
            <w:r w:rsidRPr="0346780C">
              <w:rPr>
                <w:rFonts w:asciiTheme="minorHAnsi" w:eastAsia="Times New Roman" w:hAnsiTheme="minorHAnsi"/>
                <w:color w:val="000000"/>
                <w:kern w:val="0"/>
                <w:sz w:val="20"/>
                <w:lang w:val="en-IE" w:eastAsia="en-IE"/>
              </w:rPr>
              <w:t>.</w:t>
            </w:r>
          </w:p>
          <w:p w14:paraId="3C1BCEB0" w14:textId="77777777" w:rsidR="00D72CA0" w:rsidRPr="00B77CCF" w:rsidRDefault="00D72CA0" w:rsidP="00D72CA0">
            <w:pPr>
              <w:spacing w:before="0" w:after="0" w:line="240" w:lineRule="auto"/>
              <w:jc w:val="both"/>
              <w:rPr>
                <w:rFonts w:asciiTheme="minorHAnsi" w:eastAsia="Times New Roman" w:hAnsiTheme="minorHAnsi"/>
                <w:b/>
                <w:color w:val="000000"/>
                <w:kern w:val="0"/>
                <w:sz w:val="20"/>
                <w:u w:val="single"/>
                <w:lang w:val="en-IE" w:eastAsia="en-IE"/>
              </w:rPr>
            </w:pPr>
          </w:p>
          <w:p w14:paraId="2B256796" w14:textId="4F4F360B" w:rsidR="006974B8" w:rsidRPr="00B77CCF" w:rsidRDefault="00D72CA0" w:rsidP="00D72CA0">
            <w:pPr>
              <w:spacing w:before="0" w:after="0" w:line="240" w:lineRule="auto"/>
              <w:jc w:val="both"/>
              <w:rPr>
                <w:rFonts w:asciiTheme="minorHAnsi" w:eastAsia="Times New Roman" w:hAnsiTheme="minorHAnsi"/>
                <w:color w:val="000000"/>
                <w:kern w:val="0"/>
                <w:sz w:val="20"/>
                <w:lang w:val="en-IE" w:eastAsia="en-IE"/>
              </w:rPr>
            </w:pPr>
            <w:r w:rsidRPr="00B77CCF">
              <w:rPr>
                <w:rFonts w:asciiTheme="minorHAnsi" w:eastAsia="Times New Roman" w:hAnsiTheme="minorHAnsi"/>
                <w:color w:val="000000"/>
                <w:kern w:val="0"/>
                <w:sz w:val="20"/>
                <w:lang w:val="en-IE" w:eastAsia="en-IE"/>
              </w:rPr>
              <w:t>Compliance Monitoring Checks: Refers to the internal controls and internal audit function that a firm should put in place to monitor and manage compliance with its internal policies and procedures (AMLR, Article 9(2)(a)(vii) and Article 9(2)(b)).</w:t>
            </w:r>
            <w:r w:rsidR="00162DD2">
              <w:rPr>
                <w:rFonts w:asciiTheme="minorHAnsi" w:eastAsia="Times New Roman" w:hAnsiTheme="minorHAnsi"/>
                <w:color w:val="000000"/>
                <w:kern w:val="0"/>
                <w:sz w:val="20"/>
                <w:lang w:val="en-IE" w:eastAsia="en-IE"/>
              </w:rPr>
              <w:t xml:space="preserve"> </w:t>
            </w:r>
          </w:p>
          <w:p w14:paraId="31E593EC" w14:textId="77777777" w:rsidR="00A15168" w:rsidRPr="00B77CCF" w:rsidRDefault="00A15168" w:rsidP="00B56D66">
            <w:pPr>
              <w:spacing w:before="0" w:after="0" w:line="240" w:lineRule="auto"/>
              <w:jc w:val="both"/>
              <w:rPr>
                <w:rFonts w:asciiTheme="minorHAnsi" w:eastAsia="Times New Roman" w:hAnsiTheme="minorHAnsi" w:cs="Calibri"/>
                <w:b/>
                <w:bCs/>
                <w:color w:val="000000"/>
                <w:kern w:val="0"/>
                <w:sz w:val="20"/>
                <w:u w:val="single"/>
                <w:lang w:val="en-IE" w:eastAsia="en-IE"/>
              </w:rPr>
            </w:pPr>
          </w:p>
        </w:tc>
      </w:tr>
      <w:tr w:rsidR="00A10CBD" w:rsidRPr="009B282E" w14:paraId="07E9F3C7" w14:textId="77777777" w:rsidTr="00D72CA0">
        <w:tc>
          <w:tcPr>
            <w:tcW w:w="1673" w:type="dxa"/>
            <w:tcBorders>
              <w:top w:val="single" w:sz="4" w:space="0" w:color="auto"/>
              <w:left w:val="single" w:sz="4" w:space="0" w:color="auto"/>
              <w:bottom w:val="single" w:sz="4" w:space="0" w:color="auto"/>
              <w:right w:val="single" w:sz="4" w:space="0" w:color="auto"/>
            </w:tcBorders>
          </w:tcPr>
          <w:p w14:paraId="3171C44A" w14:textId="69BACD3D" w:rsidR="003F3500" w:rsidRPr="006963A7" w:rsidRDefault="009142BF" w:rsidP="00F32516">
            <w:pPr>
              <w:pStyle w:val="InstructionsText"/>
              <w:rPr>
                <w:rStyle w:val="FormatvorlageInstructionsTabelleText"/>
                <w:rFonts w:asciiTheme="minorHAnsi" w:hAnsiTheme="minorHAnsi"/>
              </w:rPr>
            </w:pPr>
            <w:r w:rsidRPr="006963A7">
              <w:t>C0090</w:t>
            </w:r>
          </w:p>
        </w:tc>
        <w:tc>
          <w:tcPr>
            <w:tcW w:w="7616"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4A2F88E" w14:textId="77777777" w:rsidR="00491899" w:rsidRDefault="00491899" w:rsidP="00D72CA0">
            <w:pPr>
              <w:spacing w:before="0" w:after="0" w:line="240" w:lineRule="auto"/>
              <w:jc w:val="both"/>
              <w:rPr>
                <w:rFonts w:asciiTheme="minorHAnsi" w:eastAsia="Times New Roman" w:hAnsiTheme="minorHAnsi" w:cs="Calibri"/>
                <w:b/>
                <w:bCs/>
                <w:color w:val="000000"/>
                <w:kern w:val="0"/>
                <w:sz w:val="20"/>
                <w:u w:val="single"/>
                <w:lang w:val="en-IE" w:eastAsia="en-IE"/>
              </w:rPr>
            </w:pPr>
            <w:r w:rsidRPr="00C479F9">
              <w:rPr>
                <w:rFonts w:ascii="Aptos" w:eastAsia="Times New Roman" w:hAnsi="Aptos" w:cs="Calibri"/>
                <w:b/>
                <w:bCs/>
                <w:color w:val="000000"/>
                <w:kern w:val="0"/>
                <w:sz w:val="20"/>
                <w:u w:val="single"/>
                <w:lang w:val="en-IE" w:eastAsia="en-IE"/>
              </w:rPr>
              <w:t>Outsourcing - Third Country (Non-group)</w:t>
            </w:r>
          </w:p>
          <w:p w14:paraId="609F293A" w14:textId="353A9CED" w:rsidR="00D72CA0" w:rsidRPr="006963A7" w:rsidRDefault="00D72CA0" w:rsidP="00D72CA0">
            <w:pPr>
              <w:spacing w:before="0" w:after="0" w:line="240" w:lineRule="auto"/>
              <w:jc w:val="both"/>
              <w:rPr>
                <w:rFonts w:asciiTheme="minorHAnsi" w:eastAsia="Times New Roman" w:hAnsiTheme="minorHAnsi" w:cs="Calibri"/>
                <w:b/>
                <w:bCs/>
                <w:color w:val="000000"/>
                <w:kern w:val="0"/>
                <w:sz w:val="20"/>
                <w:u w:val="single"/>
                <w:lang w:val="en-IE" w:eastAsia="en-IE"/>
              </w:rPr>
            </w:pPr>
          </w:p>
          <w:p w14:paraId="6DCD2E16" w14:textId="50772410" w:rsidR="000036F6" w:rsidRDefault="00760E53" w:rsidP="00D72CA0">
            <w:pPr>
              <w:spacing w:before="0" w:after="0" w:line="240" w:lineRule="auto"/>
              <w:jc w:val="both"/>
              <w:rPr>
                <w:rFonts w:asciiTheme="minorHAnsi" w:eastAsia="Times New Roman" w:hAnsiTheme="minorHAnsi" w:cs="Calibri"/>
                <w:color w:val="000000"/>
                <w:kern w:val="0"/>
                <w:sz w:val="20"/>
                <w:lang w:eastAsia="en-IE"/>
              </w:rPr>
            </w:pPr>
            <w:r>
              <w:rPr>
                <w:rFonts w:asciiTheme="minorHAnsi" w:eastAsia="Times New Roman" w:hAnsiTheme="minorHAnsi" w:cs="Calibri"/>
                <w:color w:val="000000"/>
                <w:kern w:val="0"/>
                <w:sz w:val="20"/>
                <w:lang w:eastAsia="en-IE"/>
              </w:rPr>
              <w:t xml:space="preserve">Indicate whether </w:t>
            </w:r>
            <w:r w:rsidR="00D72CA0" w:rsidRPr="006963A7">
              <w:rPr>
                <w:rFonts w:asciiTheme="minorHAnsi" w:eastAsia="Times New Roman" w:hAnsiTheme="minorHAnsi" w:cs="Calibri"/>
                <w:color w:val="000000"/>
                <w:kern w:val="0"/>
                <w:sz w:val="20"/>
                <w:lang w:eastAsia="en-IE"/>
              </w:rPr>
              <w:t xml:space="preserve">AML/CFT tasks </w:t>
            </w:r>
            <w:r w:rsidR="007538BF">
              <w:rPr>
                <w:rFonts w:asciiTheme="minorHAnsi" w:eastAsia="Times New Roman" w:hAnsiTheme="minorHAnsi" w:cs="Calibri"/>
                <w:color w:val="000000"/>
                <w:kern w:val="0"/>
                <w:sz w:val="20"/>
                <w:lang w:eastAsia="en-IE"/>
              </w:rPr>
              <w:t>reported under C0020 to C0080</w:t>
            </w:r>
            <w:r w:rsidR="00D72CA0" w:rsidRPr="006963A7">
              <w:rPr>
                <w:rFonts w:asciiTheme="minorHAnsi" w:eastAsia="Times New Roman" w:hAnsiTheme="minorHAnsi" w:cs="Calibri"/>
                <w:color w:val="000000"/>
                <w:kern w:val="0"/>
                <w:sz w:val="20"/>
                <w:lang w:eastAsia="en-IE"/>
              </w:rPr>
              <w:t xml:space="preserve"> </w:t>
            </w:r>
            <w:r w:rsidR="005D31C3">
              <w:rPr>
                <w:rFonts w:asciiTheme="minorHAnsi" w:eastAsia="Times New Roman" w:hAnsiTheme="minorHAnsi" w:cs="Calibri"/>
                <w:color w:val="000000"/>
                <w:kern w:val="0"/>
                <w:sz w:val="20"/>
                <w:lang w:eastAsia="en-IE"/>
              </w:rPr>
              <w:t>are</w:t>
            </w:r>
            <w:r w:rsidR="00D72CA0" w:rsidRPr="006963A7">
              <w:rPr>
                <w:rFonts w:asciiTheme="minorHAnsi" w:eastAsia="Times New Roman" w:hAnsiTheme="minorHAnsi" w:cs="Calibri"/>
                <w:color w:val="000000"/>
                <w:kern w:val="0"/>
                <w:sz w:val="20"/>
                <w:lang w:eastAsia="en-IE"/>
              </w:rPr>
              <w:t xml:space="preserve"> </w:t>
            </w:r>
            <w:r w:rsidR="00A70070">
              <w:rPr>
                <w:rFonts w:asciiTheme="minorHAnsi" w:eastAsia="Times New Roman" w:hAnsiTheme="minorHAnsi" w:cs="Calibri"/>
                <w:color w:val="000000"/>
                <w:kern w:val="0"/>
                <w:sz w:val="20"/>
                <w:lang w:eastAsia="en-IE"/>
              </w:rPr>
              <w:t xml:space="preserve">ultimately </w:t>
            </w:r>
            <w:r w:rsidR="00D72CA0" w:rsidRPr="006963A7">
              <w:rPr>
                <w:rFonts w:asciiTheme="minorHAnsi" w:eastAsia="Times New Roman" w:hAnsiTheme="minorHAnsi" w:cs="Calibri"/>
                <w:color w:val="000000"/>
                <w:kern w:val="0"/>
                <w:sz w:val="20"/>
                <w:lang w:eastAsia="en-IE"/>
              </w:rPr>
              <w:t xml:space="preserve">outsourced to an external service provider that is not part of the </w:t>
            </w:r>
            <w:r w:rsidR="00863B13">
              <w:rPr>
                <w:rFonts w:asciiTheme="minorHAnsi" w:eastAsia="Times New Roman" w:hAnsiTheme="minorHAnsi" w:cs="Calibri"/>
                <w:color w:val="000000"/>
                <w:kern w:val="0"/>
                <w:sz w:val="20"/>
                <w:lang w:eastAsia="en-IE"/>
              </w:rPr>
              <w:t xml:space="preserve">reporting obliged </w:t>
            </w:r>
            <w:r w:rsidR="00D72CA0" w:rsidRPr="006963A7">
              <w:rPr>
                <w:rFonts w:asciiTheme="minorHAnsi" w:eastAsia="Times New Roman" w:hAnsiTheme="minorHAnsi" w:cs="Calibri"/>
                <w:color w:val="000000"/>
                <w:kern w:val="0"/>
                <w:sz w:val="20"/>
                <w:lang w:eastAsia="en-IE"/>
              </w:rPr>
              <w:t>entity's group and located in a country outside the EEA</w:t>
            </w:r>
            <w:r w:rsidR="009A2EC0" w:rsidRPr="003B39FC">
              <w:rPr>
                <w:rFonts w:asciiTheme="minorHAnsi" w:hAnsiTheme="minorHAnsi"/>
                <w:sz w:val="20"/>
              </w:rPr>
              <w:t xml:space="preserve"> during the reference year</w:t>
            </w:r>
            <w:r w:rsidR="00D72CA0" w:rsidRPr="006963A7">
              <w:rPr>
                <w:rFonts w:asciiTheme="minorHAnsi" w:eastAsia="Times New Roman" w:hAnsiTheme="minorHAnsi" w:cs="Calibri"/>
                <w:color w:val="000000"/>
                <w:kern w:val="0"/>
                <w:sz w:val="20"/>
                <w:lang w:eastAsia="en-IE"/>
              </w:rPr>
              <w:t xml:space="preserve">. </w:t>
            </w:r>
          </w:p>
          <w:p w14:paraId="74840613" w14:textId="33B2CDA0" w:rsidR="003F3500" w:rsidRPr="006963A7" w:rsidRDefault="003F3500" w:rsidP="00B56D66">
            <w:pPr>
              <w:spacing w:before="0" w:after="0" w:line="240" w:lineRule="auto"/>
              <w:jc w:val="both"/>
              <w:rPr>
                <w:rFonts w:asciiTheme="minorHAnsi" w:eastAsia="Times New Roman" w:hAnsiTheme="minorHAnsi" w:cs="Calibri"/>
                <w:b/>
                <w:bCs/>
                <w:color w:val="000000"/>
                <w:kern w:val="0"/>
                <w:sz w:val="20"/>
                <w:u w:val="single"/>
                <w:lang w:val="en-IE" w:eastAsia="en-IE"/>
              </w:rPr>
            </w:pPr>
          </w:p>
        </w:tc>
      </w:tr>
      <w:tr w:rsidR="00A10CBD" w:rsidRPr="009B282E" w14:paraId="28050E9F" w14:textId="77777777" w:rsidTr="00D72CA0">
        <w:tc>
          <w:tcPr>
            <w:tcW w:w="1673" w:type="dxa"/>
            <w:tcBorders>
              <w:top w:val="single" w:sz="4" w:space="0" w:color="auto"/>
              <w:left w:val="single" w:sz="4" w:space="0" w:color="auto"/>
              <w:bottom w:val="single" w:sz="4" w:space="0" w:color="auto"/>
              <w:right w:val="single" w:sz="4" w:space="0" w:color="auto"/>
            </w:tcBorders>
          </w:tcPr>
          <w:p w14:paraId="64043AC4" w14:textId="1BA16909" w:rsidR="007B05F4" w:rsidRPr="009275BC" w:rsidRDefault="00AD6FF1" w:rsidP="00F32516">
            <w:pPr>
              <w:pStyle w:val="InstructionsText"/>
              <w:rPr>
                <w:rStyle w:val="FormatvorlageInstructionsTabelleText"/>
                <w:rFonts w:asciiTheme="minorHAnsi" w:hAnsiTheme="minorHAnsi"/>
              </w:rPr>
            </w:pPr>
            <w:r w:rsidRPr="00A70B3F">
              <w:t>C0100</w:t>
            </w:r>
          </w:p>
        </w:tc>
        <w:tc>
          <w:tcPr>
            <w:tcW w:w="7616"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80BC5E7" w14:textId="77777777" w:rsidR="00491899" w:rsidRDefault="00491899" w:rsidP="00D72CA0">
            <w:pPr>
              <w:spacing w:before="0" w:after="0" w:line="240" w:lineRule="auto"/>
              <w:jc w:val="both"/>
              <w:rPr>
                <w:rFonts w:asciiTheme="minorHAnsi" w:eastAsia="Times New Roman" w:hAnsiTheme="minorHAnsi" w:cs="Calibri"/>
                <w:color w:val="000000"/>
                <w:kern w:val="0"/>
                <w:sz w:val="20"/>
                <w:lang w:eastAsia="en-IE"/>
              </w:rPr>
            </w:pPr>
            <w:r w:rsidRPr="00632B1C">
              <w:rPr>
                <w:rFonts w:ascii="Aptos" w:eastAsia="Times New Roman" w:hAnsi="Aptos" w:cs="Calibri"/>
                <w:b/>
                <w:color w:val="000000"/>
                <w:kern w:val="0"/>
                <w:sz w:val="20"/>
                <w:u w:val="single"/>
                <w:lang w:eastAsia="en-IE"/>
              </w:rPr>
              <w:t>Outsourcing - Third Country (Intra-group)</w:t>
            </w:r>
          </w:p>
          <w:p w14:paraId="2A92E670" w14:textId="56ABCE07" w:rsidR="00D72CA0" w:rsidRDefault="00D72CA0" w:rsidP="00D72CA0">
            <w:pPr>
              <w:spacing w:before="0" w:after="0" w:line="240" w:lineRule="auto"/>
              <w:jc w:val="both"/>
              <w:rPr>
                <w:rFonts w:asciiTheme="minorHAnsi" w:eastAsia="Times New Roman" w:hAnsiTheme="minorHAnsi" w:cs="Calibri"/>
                <w:color w:val="000000"/>
                <w:kern w:val="0"/>
                <w:sz w:val="20"/>
                <w:lang w:eastAsia="en-IE"/>
              </w:rPr>
            </w:pPr>
          </w:p>
          <w:p w14:paraId="1F86A678" w14:textId="1B98D7AB" w:rsidR="009C61FB" w:rsidRDefault="00760E53" w:rsidP="00D72CA0">
            <w:pPr>
              <w:spacing w:before="0" w:after="0" w:line="240" w:lineRule="auto"/>
              <w:jc w:val="both"/>
              <w:rPr>
                <w:rFonts w:asciiTheme="minorHAnsi" w:eastAsia="Times New Roman" w:hAnsiTheme="minorHAnsi" w:cs="Calibri"/>
                <w:color w:val="000000"/>
                <w:kern w:val="0"/>
                <w:sz w:val="20"/>
                <w:lang w:eastAsia="en-IE"/>
              </w:rPr>
            </w:pPr>
            <w:r>
              <w:rPr>
                <w:rFonts w:asciiTheme="minorHAnsi" w:eastAsia="Times New Roman" w:hAnsiTheme="minorHAnsi" w:cs="Calibri"/>
                <w:color w:val="000000"/>
                <w:kern w:val="0"/>
                <w:sz w:val="20"/>
                <w:lang w:eastAsia="en-IE"/>
              </w:rPr>
              <w:t xml:space="preserve">Indicate whether </w:t>
            </w:r>
            <w:r w:rsidR="00D72CA0" w:rsidRPr="00B70C90">
              <w:rPr>
                <w:rFonts w:asciiTheme="minorHAnsi" w:eastAsia="Times New Roman" w:hAnsiTheme="minorHAnsi" w:cs="Calibri"/>
                <w:color w:val="000000"/>
                <w:kern w:val="0"/>
                <w:sz w:val="20"/>
                <w:lang w:eastAsia="en-IE"/>
              </w:rPr>
              <w:t xml:space="preserve">AML/CFT tasks </w:t>
            </w:r>
            <w:r w:rsidR="007538BF">
              <w:rPr>
                <w:rFonts w:asciiTheme="minorHAnsi" w:eastAsia="Times New Roman" w:hAnsiTheme="minorHAnsi" w:cs="Calibri"/>
                <w:color w:val="000000"/>
                <w:kern w:val="0"/>
                <w:sz w:val="20"/>
                <w:lang w:eastAsia="en-IE"/>
              </w:rPr>
              <w:t>reported under C0020 to C0080</w:t>
            </w:r>
            <w:r w:rsidR="007538BF" w:rsidRPr="006963A7">
              <w:rPr>
                <w:rFonts w:asciiTheme="minorHAnsi" w:eastAsia="Times New Roman" w:hAnsiTheme="minorHAnsi" w:cs="Calibri"/>
                <w:color w:val="000000"/>
                <w:kern w:val="0"/>
                <w:sz w:val="20"/>
                <w:lang w:eastAsia="en-IE"/>
              </w:rPr>
              <w:t xml:space="preserve"> </w:t>
            </w:r>
            <w:r>
              <w:rPr>
                <w:rFonts w:asciiTheme="minorHAnsi" w:eastAsia="Times New Roman" w:hAnsiTheme="minorHAnsi" w:cs="Calibri"/>
                <w:color w:val="000000"/>
                <w:kern w:val="0"/>
                <w:sz w:val="20"/>
                <w:lang w:eastAsia="en-IE"/>
              </w:rPr>
              <w:t xml:space="preserve">are </w:t>
            </w:r>
            <w:r w:rsidR="00D72CA0" w:rsidRPr="00B70C90">
              <w:rPr>
                <w:rFonts w:asciiTheme="minorHAnsi" w:eastAsia="Times New Roman" w:hAnsiTheme="minorHAnsi" w:cs="Calibri"/>
                <w:color w:val="000000"/>
                <w:kern w:val="0"/>
                <w:sz w:val="20"/>
                <w:lang w:eastAsia="en-IE"/>
              </w:rPr>
              <w:t xml:space="preserve">outsourced to an external service provider that is part of the </w:t>
            </w:r>
            <w:r w:rsidR="00863B13">
              <w:rPr>
                <w:rFonts w:asciiTheme="minorHAnsi" w:eastAsia="Times New Roman" w:hAnsiTheme="minorHAnsi" w:cs="Calibri"/>
                <w:color w:val="000000"/>
                <w:kern w:val="0"/>
                <w:sz w:val="20"/>
                <w:lang w:eastAsia="en-IE"/>
              </w:rPr>
              <w:t xml:space="preserve">reporting obliged </w:t>
            </w:r>
            <w:r w:rsidR="00D72CA0" w:rsidRPr="00B70C90">
              <w:rPr>
                <w:rFonts w:asciiTheme="minorHAnsi" w:eastAsia="Times New Roman" w:hAnsiTheme="minorHAnsi" w:cs="Calibri"/>
                <w:color w:val="000000"/>
                <w:kern w:val="0"/>
                <w:sz w:val="20"/>
                <w:lang w:eastAsia="en-IE"/>
              </w:rPr>
              <w:t>entity's group and located in a country outside the EEA</w:t>
            </w:r>
            <w:r w:rsidR="009A2EC0" w:rsidRPr="003B39FC">
              <w:rPr>
                <w:rFonts w:asciiTheme="minorHAnsi" w:hAnsiTheme="minorHAnsi"/>
                <w:sz w:val="20"/>
              </w:rPr>
              <w:t xml:space="preserve"> during the reference year</w:t>
            </w:r>
            <w:r w:rsidR="00D72CA0" w:rsidRPr="00B70C90">
              <w:rPr>
                <w:rFonts w:asciiTheme="minorHAnsi" w:eastAsia="Times New Roman" w:hAnsiTheme="minorHAnsi" w:cs="Calibri"/>
                <w:color w:val="000000"/>
                <w:kern w:val="0"/>
                <w:sz w:val="20"/>
                <w:lang w:eastAsia="en-IE"/>
              </w:rPr>
              <w:t xml:space="preserve">. </w:t>
            </w:r>
          </w:p>
          <w:p w14:paraId="5E6A1DC6" w14:textId="51966A53" w:rsidR="009D264A" w:rsidRPr="00B77CCF" w:rsidRDefault="009D264A" w:rsidP="0082217E">
            <w:pPr>
              <w:spacing w:before="0" w:after="0" w:line="240" w:lineRule="auto"/>
              <w:jc w:val="both"/>
              <w:rPr>
                <w:rFonts w:asciiTheme="minorHAnsi" w:hAnsiTheme="minorHAnsi"/>
                <w:sz w:val="20"/>
              </w:rPr>
            </w:pPr>
          </w:p>
        </w:tc>
      </w:tr>
      <w:tr w:rsidR="00BE1CAD" w:rsidRPr="009B282E" w14:paraId="7396CD0A" w14:textId="77777777" w:rsidTr="00D72CA0">
        <w:tc>
          <w:tcPr>
            <w:tcW w:w="1673" w:type="dxa"/>
            <w:tcBorders>
              <w:top w:val="single" w:sz="4" w:space="0" w:color="auto"/>
              <w:left w:val="single" w:sz="4" w:space="0" w:color="auto"/>
              <w:bottom w:val="single" w:sz="4" w:space="0" w:color="auto"/>
              <w:right w:val="single" w:sz="4" w:space="0" w:color="auto"/>
            </w:tcBorders>
          </w:tcPr>
          <w:p w14:paraId="650EAD7F" w14:textId="3CEF68A6" w:rsidR="007B05F4" w:rsidRPr="009275BC" w:rsidRDefault="00AD6FF1" w:rsidP="00F32516">
            <w:pPr>
              <w:pStyle w:val="InstructionsText"/>
              <w:rPr>
                <w:rStyle w:val="FormatvorlageInstructionsTabelleText"/>
                <w:rFonts w:asciiTheme="minorHAnsi" w:hAnsiTheme="minorHAnsi"/>
              </w:rPr>
            </w:pPr>
            <w:r w:rsidRPr="00A70B3F">
              <w:t>C0110</w:t>
            </w:r>
          </w:p>
        </w:tc>
        <w:tc>
          <w:tcPr>
            <w:tcW w:w="7616" w:type="dxa"/>
            <w:tcBorders>
              <w:top w:val="nil"/>
              <w:left w:val="single" w:sz="4" w:space="0" w:color="000000" w:themeColor="text1"/>
              <w:bottom w:val="single" w:sz="4" w:space="0" w:color="000000" w:themeColor="text1"/>
              <w:right w:val="single" w:sz="4" w:space="0" w:color="000000" w:themeColor="text1"/>
            </w:tcBorders>
          </w:tcPr>
          <w:p w14:paraId="15E88500" w14:textId="7A1A86C4" w:rsidR="00491899" w:rsidRDefault="00491899" w:rsidP="00D72CA0">
            <w:pPr>
              <w:spacing w:before="0" w:after="0" w:line="240" w:lineRule="auto"/>
              <w:jc w:val="both"/>
              <w:rPr>
                <w:rFonts w:asciiTheme="minorHAnsi" w:eastAsia="Times New Roman" w:hAnsiTheme="minorHAnsi"/>
                <w:color w:val="000000"/>
                <w:kern w:val="0"/>
                <w:sz w:val="20"/>
                <w:lang w:val="en-IE" w:eastAsia="en-IE"/>
              </w:rPr>
            </w:pPr>
            <w:r w:rsidRPr="005B32B5">
              <w:rPr>
                <w:rFonts w:ascii="Aptos" w:eastAsia="Times New Roman" w:hAnsi="Aptos"/>
                <w:b/>
                <w:color w:val="000000"/>
                <w:kern w:val="0"/>
                <w:sz w:val="20"/>
                <w:u w:val="single"/>
                <w:lang w:val="en-IE" w:eastAsia="en-IE"/>
              </w:rPr>
              <w:t>Last Audit - BWRA</w:t>
            </w:r>
          </w:p>
          <w:p w14:paraId="693B59CA" w14:textId="77777777" w:rsidR="007E2CCE" w:rsidRDefault="007E2CCE" w:rsidP="00D72CA0">
            <w:pPr>
              <w:spacing w:before="0" w:after="0" w:line="240" w:lineRule="auto"/>
              <w:jc w:val="both"/>
              <w:rPr>
                <w:rFonts w:asciiTheme="minorHAnsi" w:eastAsia="Times New Roman" w:hAnsiTheme="minorHAnsi"/>
                <w:color w:val="000000"/>
                <w:kern w:val="0"/>
                <w:sz w:val="20"/>
                <w:lang w:val="en-IE" w:eastAsia="en-IE"/>
              </w:rPr>
            </w:pPr>
          </w:p>
          <w:p w14:paraId="2CE58749" w14:textId="40AFB5E0" w:rsidR="00D72CA0" w:rsidRPr="00BA5B39" w:rsidRDefault="00D72CA0" w:rsidP="49249E92">
            <w:pPr>
              <w:spacing w:before="0" w:after="0" w:line="240" w:lineRule="auto"/>
              <w:jc w:val="both"/>
              <w:rPr>
                <w:rFonts w:ascii="Aptos" w:eastAsia="Aptos" w:hAnsi="Aptos" w:cs="Aptos"/>
                <w:color w:val="000000" w:themeColor="text1"/>
                <w:sz w:val="20"/>
                <w:lang w:val="en-IE"/>
              </w:rPr>
            </w:pPr>
            <w:r w:rsidRPr="00BA5B39">
              <w:rPr>
                <w:rFonts w:asciiTheme="minorHAnsi" w:eastAsia="Times New Roman" w:hAnsiTheme="minorHAnsi"/>
                <w:color w:val="000000"/>
                <w:kern w:val="0"/>
                <w:sz w:val="20"/>
                <w:lang w:val="en-IE" w:eastAsia="en-IE"/>
              </w:rPr>
              <w:t xml:space="preserve">Date </w:t>
            </w:r>
            <w:r w:rsidR="004B0A23">
              <w:rPr>
                <w:rFonts w:asciiTheme="minorHAnsi" w:eastAsia="Times New Roman" w:hAnsiTheme="minorHAnsi"/>
                <w:color w:val="000000"/>
                <w:kern w:val="0"/>
                <w:sz w:val="20"/>
                <w:lang w:val="en-IE" w:eastAsia="en-IE"/>
              </w:rPr>
              <w:t>of the last</w:t>
            </w:r>
            <w:r w:rsidR="004B0233">
              <w:rPr>
                <w:rFonts w:asciiTheme="minorHAnsi" w:eastAsia="Times New Roman" w:hAnsiTheme="minorHAnsi"/>
                <w:color w:val="000000"/>
                <w:kern w:val="0"/>
                <w:sz w:val="20"/>
                <w:lang w:val="en-IE" w:eastAsia="en-IE"/>
              </w:rPr>
              <w:t>est</w:t>
            </w:r>
            <w:r w:rsidR="004B0A23">
              <w:rPr>
                <w:rFonts w:asciiTheme="minorHAnsi" w:eastAsia="Times New Roman" w:hAnsiTheme="minorHAnsi"/>
                <w:color w:val="000000"/>
                <w:kern w:val="0"/>
                <w:sz w:val="20"/>
                <w:lang w:val="en-IE" w:eastAsia="en-IE"/>
              </w:rPr>
              <w:t xml:space="preserve"> internal audit report </w:t>
            </w:r>
            <w:r w:rsidR="00A2497C">
              <w:rPr>
                <w:rFonts w:asciiTheme="minorHAnsi" w:eastAsia="Times New Roman" w:hAnsiTheme="minorHAnsi"/>
                <w:color w:val="000000"/>
                <w:kern w:val="0"/>
                <w:sz w:val="20"/>
                <w:lang w:val="en-IE" w:eastAsia="en-IE"/>
              </w:rPr>
              <w:t xml:space="preserve">assessing </w:t>
            </w:r>
            <w:r w:rsidRPr="00BA5B39">
              <w:rPr>
                <w:rFonts w:asciiTheme="minorHAnsi" w:eastAsia="Times New Roman" w:hAnsiTheme="minorHAnsi"/>
                <w:color w:val="000000"/>
                <w:kern w:val="0"/>
                <w:sz w:val="20"/>
                <w:lang w:val="en-IE" w:eastAsia="en-IE"/>
              </w:rPr>
              <w:t xml:space="preserve">the </w:t>
            </w:r>
            <w:r w:rsidRPr="00B77CCF">
              <w:rPr>
                <w:rFonts w:asciiTheme="minorHAnsi" w:eastAsia="Times New Roman" w:hAnsiTheme="minorHAnsi"/>
                <w:color w:val="000000"/>
                <w:kern w:val="0"/>
                <w:sz w:val="20"/>
                <w:lang w:val="en-IE" w:eastAsia="en-IE"/>
              </w:rPr>
              <w:t xml:space="preserve">Business Wide Risk Assessment as referred to in </w:t>
            </w:r>
            <w:r w:rsidR="00D656A7">
              <w:rPr>
                <w:rFonts w:asciiTheme="minorHAnsi" w:eastAsia="Times New Roman" w:hAnsiTheme="minorHAnsi"/>
                <w:color w:val="000000"/>
                <w:kern w:val="0"/>
                <w:sz w:val="20"/>
                <w:lang w:val="en-IE" w:eastAsia="en-IE"/>
              </w:rPr>
              <w:t>A</w:t>
            </w:r>
            <w:r w:rsidRPr="00B77CCF">
              <w:rPr>
                <w:rFonts w:asciiTheme="minorHAnsi" w:eastAsia="Times New Roman" w:hAnsiTheme="minorHAnsi"/>
                <w:color w:val="000000"/>
                <w:kern w:val="0"/>
                <w:sz w:val="20"/>
                <w:lang w:val="en-IE" w:eastAsia="en-IE"/>
              </w:rPr>
              <w:t>rticle 10 AMLR</w:t>
            </w:r>
            <w:r w:rsidR="00A2497C">
              <w:rPr>
                <w:rFonts w:asciiTheme="minorHAnsi" w:eastAsia="Times New Roman" w:hAnsiTheme="minorHAnsi"/>
                <w:color w:val="000000"/>
                <w:kern w:val="0"/>
                <w:sz w:val="20"/>
                <w:lang w:val="en-IE" w:eastAsia="en-IE"/>
              </w:rPr>
              <w:t xml:space="preserve"> </w:t>
            </w:r>
            <w:r w:rsidR="402E68FF" w:rsidRPr="7E1DA77F">
              <w:rPr>
                <w:rFonts w:asciiTheme="minorHAnsi" w:eastAsia="Times New Roman" w:hAnsiTheme="minorHAnsi"/>
                <w:color w:val="000000" w:themeColor="text1"/>
                <w:sz w:val="20"/>
                <w:lang w:val="en-IE" w:eastAsia="en-IE"/>
              </w:rPr>
              <w:t>– including</w:t>
            </w:r>
            <w:r w:rsidR="00162DD2">
              <w:rPr>
                <w:rFonts w:asciiTheme="minorHAnsi" w:eastAsia="Times New Roman" w:hAnsiTheme="minorHAnsi"/>
                <w:color w:val="000000" w:themeColor="text1"/>
                <w:sz w:val="20"/>
                <w:lang w:val="en-IE" w:eastAsia="en-IE"/>
              </w:rPr>
              <w:t xml:space="preserve"> </w:t>
            </w:r>
            <w:r w:rsidR="402E68FF" w:rsidRPr="42EBAE7A">
              <w:rPr>
                <w:rFonts w:asciiTheme="minorHAnsi" w:eastAsia="Times New Roman" w:hAnsiTheme="minorHAnsi"/>
                <w:color w:val="000000" w:themeColor="text1"/>
                <w:sz w:val="20"/>
                <w:lang w:val="en-IE" w:eastAsia="en-IE"/>
              </w:rPr>
              <w:t xml:space="preserve">tests carried out by an </w:t>
            </w:r>
            <w:r w:rsidR="00825D17">
              <w:rPr>
                <w:rFonts w:asciiTheme="minorHAnsi" w:eastAsia="Times New Roman" w:hAnsiTheme="minorHAnsi"/>
                <w:color w:val="000000" w:themeColor="text1"/>
                <w:sz w:val="20"/>
                <w:lang w:val="en-IE" w:eastAsia="en-IE"/>
              </w:rPr>
              <w:t>external</w:t>
            </w:r>
            <w:r w:rsidR="00825D17" w:rsidRPr="42EBAE7A">
              <w:rPr>
                <w:rFonts w:asciiTheme="minorHAnsi" w:eastAsia="Times New Roman" w:hAnsiTheme="minorHAnsi"/>
                <w:color w:val="000000" w:themeColor="text1"/>
                <w:sz w:val="20"/>
                <w:lang w:val="en-IE" w:eastAsia="en-IE"/>
              </w:rPr>
              <w:t xml:space="preserve"> </w:t>
            </w:r>
            <w:r w:rsidR="402E68FF" w:rsidRPr="42EBAE7A">
              <w:rPr>
                <w:rFonts w:asciiTheme="minorHAnsi" w:eastAsia="Times New Roman" w:hAnsiTheme="minorHAnsi"/>
                <w:color w:val="000000" w:themeColor="text1"/>
                <w:sz w:val="20"/>
                <w:lang w:val="en-IE" w:eastAsia="en-IE"/>
              </w:rPr>
              <w:t xml:space="preserve">expert </w:t>
            </w:r>
            <w:r w:rsidR="57EFD930" w:rsidRPr="1471CA86">
              <w:rPr>
                <w:rFonts w:asciiTheme="minorHAnsi" w:eastAsia="Times New Roman" w:hAnsiTheme="minorHAnsi"/>
                <w:color w:val="000000" w:themeColor="text1"/>
                <w:sz w:val="20"/>
                <w:lang w:val="en-IE" w:eastAsia="en-IE"/>
              </w:rPr>
              <w:t>as referred to in Article 9</w:t>
            </w:r>
            <w:r w:rsidR="57EFD930" w:rsidRPr="4C1FC6CC">
              <w:rPr>
                <w:rFonts w:asciiTheme="minorHAnsi" w:eastAsia="Times New Roman" w:hAnsiTheme="minorHAnsi"/>
                <w:color w:val="000000" w:themeColor="text1"/>
                <w:sz w:val="20"/>
                <w:lang w:val="en-IE" w:eastAsia="en-IE"/>
              </w:rPr>
              <w:t xml:space="preserve">(2)(b) </w:t>
            </w:r>
            <w:r w:rsidR="00D656A7">
              <w:rPr>
                <w:rFonts w:asciiTheme="minorHAnsi" w:eastAsia="Times New Roman" w:hAnsiTheme="minorHAnsi"/>
                <w:color w:val="000000" w:themeColor="text1"/>
                <w:sz w:val="20"/>
                <w:lang w:val="en-IE" w:eastAsia="en-IE"/>
              </w:rPr>
              <w:t xml:space="preserve">AMLR </w:t>
            </w:r>
            <w:r w:rsidR="402E68FF" w:rsidRPr="59450CBB">
              <w:rPr>
                <w:rFonts w:asciiTheme="minorHAnsi" w:eastAsia="Times New Roman" w:hAnsiTheme="minorHAnsi"/>
                <w:color w:val="000000" w:themeColor="text1"/>
                <w:sz w:val="20"/>
                <w:lang w:val="en-IE" w:eastAsia="en-IE"/>
              </w:rPr>
              <w:t>i</w:t>
            </w:r>
            <w:r w:rsidR="231EE8B4" w:rsidRPr="59450CBB">
              <w:rPr>
                <w:rFonts w:asciiTheme="minorHAnsi" w:eastAsia="Times New Roman" w:hAnsiTheme="minorHAnsi"/>
                <w:color w:val="000000" w:themeColor="text1"/>
                <w:sz w:val="20"/>
                <w:lang w:val="en-IE" w:eastAsia="en-IE"/>
              </w:rPr>
              <w:t xml:space="preserve">n the absence </w:t>
            </w:r>
            <w:r w:rsidR="231EE8B4" w:rsidRPr="5F65C223">
              <w:rPr>
                <w:rFonts w:asciiTheme="minorHAnsi" w:eastAsia="Times New Roman" w:hAnsiTheme="minorHAnsi"/>
                <w:color w:val="000000" w:themeColor="text1"/>
                <w:sz w:val="20"/>
                <w:lang w:val="en-IE" w:eastAsia="en-IE"/>
              </w:rPr>
              <w:t>of an independent</w:t>
            </w:r>
            <w:r w:rsidR="402E68FF" w:rsidRPr="7E1DA77F">
              <w:rPr>
                <w:rFonts w:asciiTheme="minorHAnsi" w:eastAsia="Times New Roman" w:hAnsiTheme="minorHAnsi"/>
                <w:color w:val="000000" w:themeColor="text1"/>
                <w:sz w:val="20"/>
                <w:lang w:val="en-IE" w:eastAsia="en-IE"/>
              </w:rPr>
              <w:t xml:space="preserve"> audit</w:t>
            </w:r>
            <w:r w:rsidR="231EE8B4" w:rsidRPr="5F65C223">
              <w:rPr>
                <w:rFonts w:asciiTheme="minorHAnsi" w:eastAsia="Times New Roman" w:hAnsiTheme="minorHAnsi"/>
                <w:color w:val="000000" w:themeColor="text1"/>
                <w:sz w:val="20"/>
                <w:lang w:val="en-IE" w:eastAsia="en-IE"/>
              </w:rPr>
              <w:t xml:space="preserve"> function</w:t>
            </w:r>
            <w:r w:rsidRPr="5F65C223">
              <w:rPr>
                <w:rFonts w:asciiTheme="minorHAnsi" w:eastAsia="Times New Roman" w:hAnsiTheme="minorHAnsi"/>
                <w:color w:val="000000"/>
                <w:kern w:val="0"/>
                <w:sz w:val="20"/>
                <w:lang w:val="en-IE" w:eastAsia="en-IE"/>
              </w:rPr>
              <w:t>.</w:t>
            </w:r>
            <w:r w:rsidR="0FA2D20D" w:rsidRPr="5F65C223">
              <w:rPr>
                <w:rFonts w:asciiTheme="minorHAnsi" w:eastAsia="Times New Roman" w:hAnsiTheme="minorHAnsi"/>
                <w:color w:val="000000" w:themeColor="text1"/>
                <w:sz w:val="20"/>
                <w:lang w:val="en-IE" w:eastAsia="en-IE"/>
              </w:rPr>
              <w:t xml:space="preserve"> </w:t>
            </w:r>
          </w:p>
          <w:p w14:paraId="1B868D14" w14:textId="77777777" w:rsidR="00611D7A" w:rsidRDefault="00611D7A" w:rsidP="16302BE3">
            <w:pPr>
              <w:spacing w:before="0" w:after="0" w:line="240" w:lineRule="auto"/>
              <w:jc w:val="both"/>
              <w:rPr>
                <w:rFonts w:ascii="Aptos" w:eastAsia="Aptos" w:hAnsi="Aptos" w:cs="Aptos"/>
                <w:color w:val="000000" w:themeColor="text1"/>
                <w:sz w:val="20"/>
                <w:lang w:val="en-IE"/>
              </w:rPr>
            </w:pPr>
          </w:p>
          <w:p w14:paraId="1A2BF31C" w14:textId="2FE119DC" w:rsidR="009D264A" w:rsidRDefault="007B29AC" w:rsidP="0082217E">
            <w:pPr>
              <w:spacing w:before="0" w:after="0" w:line="240" w:lineRule="auto"/>
              <w:jc w:val="both"/>
              <w:rPr>
                <w:rFonts w:ascii="Aptos" w:eastAsia="Aptos" w:hAnsi="Aptos" w:cs="Aptos"/>
                <w:color w:val="000000" w:themeColor="text1"/>
                <w:sz w:val="20"/>
                <w:lang w:val="en-IE"/>
              </w:rPr>
            </w:pPr>
            <w:r>
              <w:rPr>
                <w:rFonts w:asciiTheme="minorHAnsi" w:eastAsia="Times New Roman" w:hAnsiTheme="minorHAnsi"/>
                <w:color w:val="000000"/>
                <w:kern w:val="0"/>
                <w:sz w:val="20"/>
                <w:lang w:eastAsia="en-IE"/>
              </w:rPr>
              <w:t>Indicate</w:t>
            </w:r>
            <w:r w:rsidRPr="00872119">
              <w:rPr>
                <w:rFonts w:asciiTheme="minorHAnsi" w:eastAsia="Times New Roman" w:hAnsiTheme="minorHAnsi"/>
                <w:color w:val="000000"/>
                <w:kern w:val="0"/>
                <w:sz w:val="20"/>
                <w:lang w:eastAsia="en-IE"/>
              </w:rPr>
              <w:t xml:space="preserve"> </w:t>
            </w:r>
            <w:r w:rsidR="0FA2D20D" w:rsidRPr="16302BE3">
              <w:rPr>
                <w:rFonts w:ascii="Aptos" w:eastAsia="Aptos" w:hAnsi="Aptos" w:cs="Aptos"/>
                <w:color w:val="000000" w:themeColor="text1"/>
                <w:sz w:val="20"/>
                <w:lang w:val="en-IE"/>
              </w:rPr>
              <w:t>the audit report signing date if available or end of the audit period (repo</w:t>
            </w:r>
            <w:r w:rsidR="004D4A11">
              <w:rPr>
                <w:rFonts w:ascii="Aptos" w:eastAsia="Aptos" w:hAnsi="Aptos" w:cs="Aptos"/>
                <w:color w:val="000000" w:themeColor="text1"/>
                <w:sz w:val="20"/>
                <w:lang w:val="en-IE"/>
              </w:rPr>
              <w:t>r</w:t>
            </w:r>
            <w:r w:rsidR="0FA2D20D" w:rsidRPr="16302BE3">
              <w:rPr>
                <w:rFonts w:ascii="Aptos" w:eastAsia="Aptos" w:hAnsi="Aptos" w:cs="Aptos"/>
                <w:color w:val="000000" w:themeColor="text1"/>
                <w:sz w:val="20"/>
                <w:lang w:val="en-IE"/>
              </w:rPr>
              <w:t>t its start in case of an ongoing audit).</w:t>
            </w:r>
          </w:p>
          <w:p w14:paraId="7F22C2C4" w14:textId="75DA73C4" w:rsidR="009D264A" w:rsidRPr="00B77CCF" w:rsidRDefault="009D264A" w:rsidP="0082217E">
            <w:pPr>
              <w:spacing w:before="0" w:after="0" w:line="240" w:lineRule="auto"/>
              <w:jc w:val="both"/>
              <w:rPr>
                <w:rStyle w:val="InstructionsTabelleberschrift"/>
                <w:rFonts w:asciiTheme="minorHAnsi" w:hAnsiTheme="minorHAnsi"/>
              </w:rPr>
            </w:pPr>
          </w:p>
        </w:tc>
      </w:tr>
      <w:tr w:rsidR="00BE1CAD" w:rsidRPr="009B282E" w14:paraId="7ED38A9E" w14:textId="77777777" w:rsidTr="00D72CA0">
        <w:tc>
          <w:tcPr>
            <w:tcW w:w="1673" w:type="dxa"/>
            <w:tcBorders>
              <w:top w:val="single" w:sz="4" w:space="0" w:color="auto"/>
              <w:left w:val="single" w:sz="4" w:space="0" w:color="auto"/>
              <w:bottom w:val="single" w:sz="4" w:space="0" w:color="auto"/>
              <w:right w:val="single" w:sz="4" w:space="0" w:color="auto"/>
            </w:tcBorders>
          </w:tcPr>
          <w:p w14:paraId="0E2CA220" w14:textId="3EF8D013" w:rsidR="003E691C" w:rsidRPr="009275BC" w:rsidRDefault="00AD6FF1" w:rsidP="00F32516">
            <w:pPr>
              <w:pStyle w:val="InstructionsText"/>
              <w:rPr>
                <w:rStyle w:val="FormatvorlageInstructionsTabelleText"/>
                <w:rFonts w:asciiTheme="minorHAnsi" w:hAnsiTheme="minorHAnsi"/>
              </w:rPr>
            </w:pPr>
            <w:r w:rsidRPr="00A70B3F">
              <w:t>C0120</w:t>
            </w:r>
          </w:p>
        </w:tc>
        <w:tc>
          <w:tcPr>
            <w:tcW w:w="7616" w:type="dxa"/>
            <w:tcBorders>
              <w:top w:val="nil"/>
              <w:left w:val="single" w:sz="4" w:space="0" w:color="000000" w:themeColor="text1"/>
              <w:bottom w:val="single" w:sz="4" w:space="0" w:color="000000" w:themeColor="text1"/>
              <w:right w:val="single" w:sz="4" w:space="0" w:color="000000" w:themeColor="text1"/>
            </w:tcBorders>
          </w:tcPr>
          <w:p w14:paraId="6E5C7C75" w14:textId="6BAC6E85" w:rsidR="00491899" w:rsidRDefault="00491899" w:rsidP="00D72CA0">
            <w:pPr>
              <w:spacing w:before="0" w:after="0" w:line="240" w:lineRule="auto"/>
              <w:jc w:val="both"/>
              <w:rPr>
                <w:rFonts w:asciiTheme="minorHAnsi" w:eastAsia="Times New Roman" w:hAnsiTheme="minorHAnsi" w:cs="Calibri"/>
                <w:b/>
                <w:color w:val="000000"/>
                <w:kern w:val="0"/>
                <w:sz w:val="20"/>
                <w:u w:val="single"/>
                <w:lang w:val="en-IE" w:eastAsia="en-IE"/>
              </w:rPr>
            </w:pPr>
            <w:r w:rsidRPr="008C4D25">
              <w:rPr>
                <w:rFonts w:ascii="Aptos" w:eastAsia="Times New Roman" w:hAnsi="Aptos" w:cs="Calibri"/>
                <w:b/>
                <w:color w:val="000000"/>
                <w:kern w:val="0"/>
                <w:sz w:val="20"/>
                <w:u w:val="single"/>
                <w:lang w:val="en-IE" w:eastAsia="en-IE"/>
              </w:rPr>
              <w:t>Last Audit - Customers</w:t>
            </w:r>
            <w:r>
              <w:rPr>
                <w:rFonts w:ascii="Aptos" w:eastAsia="Times New Roman" w:hAnsi="Aptos" w:cs="Calibri"/>
                <w:b/>
                <w:color w:val="000000"/>
                <w:kern w:val="0"/>
                <w:sz w:val="20"/>
                <w:u w:val="single"/>
                <w:lang w:val="en-IE" w:eastAsia="en-IE"/>
              </w:rPr>
              <w:t xml:space="preserve"> </w:t>
            </w:r>
            <w:r w:rsidRPr="00A766CC">
              <w:rPr>
                <w:rFonts w:ascii="Aptos" w:eastAsia="Times New Roman" w:hAnsi="Aptos" w:cs="Calibri"/>
                <w:b/>
                <w:color w:val="000000"/>
                <w:kern w:val="0"/>
                <w:sz w:val="20"/>
                <w:u w:val="single"/>
                <w:lang w:val="en-IE" w:eastAsia="en-IE"/>
              </w:rPr>
              <w:t>ML/TF Risk Profile</w:t>
            </w:r>
          </w:p>
          <w:p w14:paraId="49FE565E" w14:textId="1443212D" w:rsidR="00D72CA0" w:rsidRPr="00B77CCF" w:rsidRDefault="00D72CA0" w:rsidP="00D72CA0">
            <w:pPr>
              <w:spacing w:before="0" w:after="0" w:line="240" w:lineRule="auto"/>
              <w:jc w:val="both"/>
              <w:rPr>
                <w:rFonts w:asciiTheme="minorHAnsi" w:eastAsia="Times New Roman" w:hAnsiTheme="minorHAnsi" w:cs="Calibri"/>
                <w:b/>
                <w:color w:val="000000"/>
                <w:kern w:val="0"/>
                <w:sz w:val="20"/>
                <w:u w:val="single"/>
                <w:lang w:val="en-IE" w:eastAsia="en-IE"/>
              </w:rPr>
            </w:pPr>
          </w:p>
          <w:p w14:paraId="3D4439D4" w14:textId="0D6A4F00" w:rsidR="00D72CA0" w:rsidRPr="00B77CCF" w:rsidRDefault="00DE1BB8" w:rsidP="00D72CA0">
            <w:pPr>
              <w:spacing w:before="0" w:after="0" w:line="240" w:lineRule="auto"/>
              <w:jc w:val="both"/>
              <w:rPr>
                <w:rFonts w:asciiTheme="minorHAnsi" w:eastAsia="Times New Roman" w:hAnsiTheme="minorHAnsi"/>
                <w:color w:val="000000"/>
                <w:kern w:val="0"/>
                <w:sz w:val="20"/>
                <w:lang w:val="en-IE" w:eastAsia="en-IE"/>
              </w:rPr>
            </w:pPr>
            <w:r w:rsidRPr="00BA5B39">
              <w:rPr>
                <w:rFonts w:asciiTheme="minorHAnsi" w:eastAsia="Times New Roman" w:hAnsiTheme="minorHAnsi"/>
                <w:color w:val="000000"/>
                <w:kern w:val="0"/>
                <w:sz w:val="20"/>
                <w:lang w:val="en-IE" w:eastAsia="en-IE"/>
              </w:rPr>
              <w:t xml:space="preserve">Date </w:t>
            </w:r>
            <w:r>
              <w:rPr>
                <w:rFonts w:asciiTheme="minorHAnsi" w:eastAsia="Times New Roman" w:hAnsiTheme="minorHAnsi"/>
                <w:color w:val="000000"/>
                <w:kern w:val="0"/>
                <w:sz w:val="20"/>
                <w:lang w:val="en-IE" w:eastAsia="en-IE"/>
              </w:rPr>
              <w:t xml:space="preserve">of the lastest internal audit report assessing </w:t>
            </w:r>
            <w:r w:rsidR="00D72CA0" w:rsidRPr="00B77CCF">
              <w:rPr>
                <w:rFonts w:asciiTheme="minorHAnsi" w:eastAsia="Times New Roman" w:hAnsiTheme="minorHAnsi"/>
                <w:color w:val="000000"/>
                <w:kern w:val="0"/>
                <w:sz w:val="20"/>
                <w:lang w:val="en-IE" w:eastAsia="en-IE"/>
              </w:rPr>
              <w:t xml:space="preserve">the </w:t>
            </w:r>
            <w:r w:rsidR="000E5A45">
              <w:rPr>
                <w:rFonts w:asciiTheme="minorHAnsi" w:eastAsia="Times New Roman" w:hAnsiTheme="minorHAnsi"/>
                <w:color w:val="000000"/>
                <w:kern w:val="0"/>
                <w:sz w:val="20"/>
                <w:lang w:val="en-IE" w:eastAsia="en-IE"/>
              </w:rPr>
              <w:t xml:space="preserve">policies and </w:t>
            </w:r>
            <w:r w:rsidR="00500700">
              <w:rPr>
                <w:rFonts w:asciiTheme="minorHAnsi" w:eastAsia="Times New Roman" w:hAnsiTheme="minorHAnsi"/>
                <w:color w:val="000000"/>
                <w:kern w:val="0"/>
                <w:sz w:val="20"/>
                <w:lang w:val="en-IE" w:eastAsia="en-IE"/>
              </w:rPr>
              <w:t xml:space="preserve">procedures for the </w:t>
            </w:r>
            <w:r w:rsidR="00D72CA0" w:rsidRPr="00B77CCF">
              <w:rPr>
                <w:rFonts w:asciiTheme="minorHAnsi" w:eastAsia="Times New Roman" w:hAnsiTheme="minorHAnsi"/>
                <w:color w:val="000000"/>
                <w:kern w:val="0"/>
                <w:sz w:val="20"/>
                <w:lang w:val="en-IE" w:eastAsia="en-IE"/>
              </w:rPr>
              <w:t xml:space="preserve">determination of ML/TF risk profile of customers in a business relationship </w:t>
            </w:r>
            <w:r w:rsidR="003A604F" w:rsidRPr="7E1DA77F">
              <w:rPr>
                <w:rFonts w:asciiTheme="minorHAnsi" w:eastAsia="Times New Roman" w:hAnsiTheme="minorHAnsi"/>
                <w:color w:val="000000" w:themeColor="text1"/>
                <w:sz w:val="20"/>
                <w:lang w:val="en-IE" w:eastAsia="en-IE"/>
              </w:rPr>
              <w:t xml:space="preserve">– including </w:t>
            </w:r>
            <w:r w:rsidR="003A604F" w:rsidRPr="42EBAE7A">
              <w:rPr>
                <w:rFonts w:asciiTheme="minorHAnsi" w:eastAsia="Times New Roman" w:hAnsiTheme="minorHAnsi"/>
                <w:color w:val="000000" w:themeColor="text1"/>
                <w:sz w:val="20"/>
                <w:lang w:val="en-IE" w:eastAsia="en-IE"/>
              </w:rPr>
              <w:t xml:space="preserve">tests carried out by an </w:t>
            </w:r>
            <w:r w:rsidR="003A604F">
              <w:rPr>
                <w:rFonts w:asciiTheme="minorHAnsi" w:eastAsia="Times New Roman" w:hAnsiTheme="minorHAnsi"/>
                <w:color w:val="000000" w:themeColor="text1"/>
                <w:sz w:val="20"/>
                <w:lang w:val="en-IE" w:eastAsia="en-IE"/>
              </w:rPr>
              <w:t>external</w:t>
            </w:r>
            <w:r w:rsidR="003A604F" w:rsidRPr="42EBAE7A">
              <w:rPr>
                <w:rFonts w:asciiTheme="minorHAnsi" w:eastAsia="Times New Roman" w:hAnsiTheme="minorHAnsi"/>
                <w:color w:val="000000" w:themeColor="text1"/>
                <w:sz w:val="20"/>
                <w:lang w:val="en-IE" w:eastAsia="en-IE"/>
              </w:rPr>
              <w:t xml:space="preserve"> expert </w:t>
            </w:r>
            <w:r w:rsidR="003A604F" w:rsidRPr="1471CA86">
              <w:rPr>
                <w:rFonts w:asciiTheme="minorHAnsi" w:eastAsia="Times New Roman" w:hAnsiTheme="minorHAnsi"/>
                <w:color w:val="000000" w:themeColor="text1"/>
                <w:sz w:val="20"/>
                <w:lang w:val="en-IE" w:eastAsia="en-IE"/>
              </w:rPr>
              <w:t>as referred to in Article 9</w:t>
            </w:r>
            <w:r w:rsidR="003A604F" w:rsidRPr="4C1FC6CC">
              <w:rPr>
                <w:rFonts w:asciiTheme="minorHAnsi" w:eastAsia="Times New Roman" w:hAnsiTheme="minorHAnsi"/>
                <w:color w:val="000000" w:themeColor="text1"/>
                <w:sz w:val="20"/>
                <w:lang w:val="en-IE" w:eastAsia="en-IE"/>
              </w:rPr>
              <w:t>(2)(b)</w:t>
            </w:r>
            <w:r w:rsidR="003A604F">
              <w:rPr>
                <w:rFonts w:asciiTheme="minorHAnsi" w:eastAsia="Times New Roman" w:hAnsiTheme="minorHAnsi"/>
                <w:color w:val="000000" w:themeColor="text1"/>
                <w:sz w:val="20"/>
                <w:lang w:val="en-IE" w:eastAsia="en-IE"/>
              </w:rPr>
              <w:t xml:space="preserve"> AMLR </w:t>
            </w:r>
            <w:r w:rsidR="003A604F" w:rsidRPr="59450CBB">
              <w:rPr>
                <w:rFonts w:asciiTheme="minorHAnsi" w:eastAsia="Times New Roman" w:hAnsiTheme="minorHAnsi"/>
                <w:color w:val="000000" w:themeColor="text1"/>
                <w:sz w:val="20"/>
                <w:lang w:val="en-IE" w:eastAsia="en-IE"/>
              </w:rPr>
              <w:t xml:space="preserve">in the absence </w:t>
            </w:r>
            <w:r w:rsidR="003A604F" w:rsidRPr="5F65C223">
              <w:rPr>
                <w:rFonts w:asciiTheme="minorHAnsi" w:eastAsia="Times New Roman" w:hAnsiTheme="minorHAnsi"/>
                <w:color w:val="000000" w:themeColor="text1"/>
                <w:sz w:val="20"/>
                <w:lang w:val="en-IE" w:eastAsia="en-IE"/>
              </w:rPr>
              <w:t>of an independent</w:t>
            </w:r>
            <w:r w:rsidR="003A604F" w:rsidRPr="7E1DA77F">
              <w:rPr>
                <w:rFonts w:asciiTheme="minorHAnsi" w:eastAsia="Times New Roman" w:hAnsiTheme="minorHAnsi"/>
                <w:color w:val="000000" w:themeColor="text1"/>
                <w:sz w:val="20"/>
                <w:lang w:val="en-IE" w:eastAsia="en-IE"/>
              </w:rPr>
              <w:t xml:space="preserve"> audit</w:t>
            </w:r>
            <w:r w:rsidR="003A604F" w:rsidRPr="5F65C223">
              <w:rPr>
                <w:rFonts w:asciiTheme="minorHAnsi" w:eastAsia="Times New Roman" w:hAnsiTheme="minorHAnsi"/>
                <w:color w:val="000000" w:themeColor="text1"/>
                <w:sz w:val="20"/>
                <w:lang w:val="en-IE" w:eastAsia="en-IE"/>
              </w:rPr>
              <w:t xml:space="preserve"> function</w:t>
            </w:r>
            <w:r w:rsidR="003A604F" w:rsidRPr="5F65C223">
              <w:rPr>
                <w:rFonts w:asciiTheme="minorHAnsi" w:eastAsia="Times New Roman" w:hAnsiTheme="minorHAnsi"/>
                <w:color w:val="000000"/>
                <w:kern w:val="0"/>
                <w:sz w:val="20"/>
                <w:lang w:val="en-IE" w:eastAsia="en-IE"/>
              </w:rPr>
              <w:t>.</w:t>
            </w:r>
          </w:p>
          <w:p w14:paraId="6C9B7B47" w14:textId="77777777" w:rsidR="00611D7A" w:rsidRDefault="00611D7A" w:rsidP="00D72CA0">
            <w:pPr>
              <w:spacing w:before="0" w:after="0" w:line="240" w:lineRule="auto"/>
              <w:jc w:val="both"/>
              <w:rPr>
                <w:rFonts w:asciiTheme="minorHAnsi" w:eastAsia="Times New Roman" w:hAnsiTheme="minorHAnsi"/>
                <w:color w:val="000000"/>
                <w:kern w:val="0"/>
                <w:sz w:val="20"/>
                <w:lang w:val="en-IE" w:eastAsia="en-IE"/>
              </w:rPr>
            </w:pPr>
          </w:p>
          <w:p w14:paraId="6AFE0FE6" w14:textId="47CE3FD8" w:rsidR="00872119" w:rsidRPr="00B77CCF" w:rsidRDefault="007B29AC" w:rsidP="00D72CA0">
            <w:pPr>
              <w:spacing w:before="0" w:after="0" w:line="240" w:lineRule="auto"/>
              <w:jc w:val="both"/>
              <w:rPr>
                <w:rFonts w:asciiTheme="minorHAnsi" w:eastAsia="Times New Roman" w:hAnsiTheme="minorHAnsi"/>
                <w:color w:val="000000"/>
                <w:kern w:val="0"/>
                <w:sz w:val="20"/>
                <w:lang w:val="en-IE" w:eastAsia="en-IE"/>
              </w:rPr>
            </w:pPr>
            <w:r>
              <w:rPr>
                <w:rFonts w:asciiTheme="minorHAnsi" w:eastAsia="Times New Roman" w:hAnsiTheme="minorHAnsi"/>
                <w:color w:val="000000"/>
                <w:kern w:val="0"/>
                <w:sz w:val="20"/>
                <w:lang w:eastAsia="en-IE"/>
              </w:rPr>
              <w:t>Indicate</w:t>
            </w:r>
            <w:r w:rsidR="00872119" w:rsidRPr="00872119">
              <w:rPr>
                <w:rFonts w:asciiTheme="minorHAnsi" w:eastAsia="Times New Roman" w:hAnsiTheme="minorHAnsi"/>
                <w:color w:val="000000"/>
                <w:kern w:val="0"/>
                <w:sz w:val="20"/>
                <w:lang w:eastAsia="en-IE"/>
              </w:rPr>
              <w:t xml:space="preserve"> the audit report signing date if available or end of the audit period (report its start in case of an ongoing audit).</w:t>
            </w:r>
          </w:p>
          <w:p w14:paraId="61546C81" w14:textId="77777777" w:rsidR="003E691C" w:rsidRPr="00B77CCF" w:rsidRDefault="003E691C" w:rsidP="007B05F4">
            <w:pPr>
              <w:spacing w:before="0" w:after="0" w:line="240" w:lineRule="auto"/>
              <w:jc w:val="both"/>
              <w:rPr>
                <w:rFonts w:asciiTheme="minorHAnsi" w:eastAsia="Times New Roman" w:hAnsiTheme="minorHAnsi" w:cs="Calibri"/>
                <w:b/>
                <w:bCs/>
                <w:color w:val="000000"/>
                <w:kern w:val="0"/>
                <w:sz w:val="20"/>
                <w:u w:val="single"/>
                <w:lang w:val="en-IE" w:eastAsia="en-IE"/>
              </w:rPr>
            </w:pPr>
          </w:p>
        </w:tc>
      </w:tr>
      <w:tr w:rsidR="00BE1CAD" w:rsidRPr="009B282E" w14:paraId="5C7F208F" w14:textId="77777777" w:rsidTr="00D72CA0">
        <w:tc>
          <w:tcPr>
            <w:tcW w:w="1673" w:type="dxa"/>
            <w:tcBorders>
              <w:top w:val="single" w:sz="4" w:space="0" w:color="auto"/>
              <w:left w:val="single" w:sz="4" w:space="0" w:color="auto"/>
              <w:bottom w:val="single" w:sz="4" w:space="0" w:color="auto"/>
              <w:right w:val="single" w:sz="4" w:space="0" w:color="auto"/>
            </w:tcBorders>
          </w:tcPr>
          <w:p w14:paraId="089919FA" w14:textId="15993731" w:rsidR="003E691C" w:rsidRPr="009275BC" w:rsidRDefault="00AD6FF1" w:rsidP="00F32516">
            <w:pPr>
              <w:pStyle w:val="InstructionsText"/>
              <w:rPr>
                <w:rStyle w:val="FormatvorlageInstructionsTabelleText"/>
                <w:rFonts w:asciiTheme="minorHAnsi" w:hAnsiTheme="minorHAnsi"/>
              </w:rPr>
            </w:pPr>
            <w:r w:rsidRPr="00A70B3F">
              <w:t>C0130</w:t>
            </w:r>
          </w:p>
        </w:tc>
        <w:tc>
          <w:tcPr>
            <w:tcW w:w="7616" w:type="dxa"/>
            <w:tcBorders>
              <w:top w:val="nil"/>
              <w:left w:val="single" w:sz="4" w:space="0" w:color="000000" w:themeColor="text1"/>
              <w:bottom w:val="single" w:sz="4" w:space="0" w:color="000000" w:themeColor="text1"/>
              <w:right w:val="single" w:sz="4" w:space="0" w:color="000000" w:themeColor="text1"/>
            </w:tcBorders>
          </w:tcPr>
          <w:p w14:paraId="6EB59FA4" w14:textId="58CB4D65" w:rsidR="00491899" w:rsidRDefault="00491899" w:rsidP="00D72CA0">
            <w:pPr>
              <w:spacing w:before="0" w:after="0" w:line="240" w:lineRule="auto"/>
              <w:jc w:val="both"/>
              <w:rPr>
                <w:rFonts w:asciiTheme="minorHAnsi" w:eastAsia="Times New Roman" w:hAnsiTheme="minorHAnsi" w:cs="Calibri"/>
                <w:b/>
                <w:color w:val="000000"/>
                <w:kern w:val="0"/>
                <w:sz w:val="20"/>
                <w:u w:val="single"/>
                <w:lang w:val="en-IE" w:eastAsia="en-IE"/>
              </w:rPr>
            </w:pPr>
            <w:r w:rsidRPr="008C4D25">
              <w:rPr>
                <w:rFonts w:ascii="Aptos" w:eastAsia="Times New Roman" w:hAnsi="Aptos" w:cs="Calibri"/>
                <w:b/>
                <w:color w:val="000000"/>
                <w:kern w:val="0"/>
                <w:sz w:val="20"/>
                <w:u w:val="single"/>
                <w:lang w:val="en-IE" w:eastAsia="en-IE"/>
              </w:rPr>
              <w:t xml:space="preserve">Last Audit </w:t>
            </w:r>
            <w:r w:rsidR="007E2CCE">
              <w:rPr>
                <w:rFonts w:ascii="Aptos" w:eastAsia="Times New Roman" w:hAnsi="Aptos" w:cs="Calibri"/>
                <w:b/>
                <w:color w:val="000000"/>
                <w:kern w:val="0"/>
                <w:sz w:val="20"/>
                <w:u w:val="single"/>
                <w:lang w:val="en-IE" w:eastAsia="en-IE"/>
              </w:rPr>
              <w:t>–</w:t>
            </w:r>
            <w:r w:rsidRPr="008C4D25">
              <w:rPr>
                <w:rFonts w:ascii="Aptos" w:eastAsia="Times New Roman" w:hAnsi="Aptos" w:cs="Calibri"/>
                <w:b/>
                <w:color w:val="000000"/>
                <w:kern w:val="0"/>
                <w:sz w:val="20"/>
                <w:u w:val="single"/>
                <w:lang w:val="en-IE" w:eastAsia="en-IE"/>
              </w:rPr>
              <w:t xml:space="preserve"> </w:t>
            </w:r>
            <w:r w:rsidR="00C1136A">
              <w:rPr>
                <w:rFonts w:ascii="Aptos" w:eastAsia="Times New Roman" w:hAnsi="Aptos" w:cs="Calibri"/>
                <w:b/>
                <w:color w:val="000000"/>
                <w:kern w:val="0"/>
                <w:sz w:val="20"/>
                <w:u w:val="single"/>
                <w:lang w:val="en-IE" w:eastAsia="en-IE"/>
              </w:rPr>
              <w:t>A</w:t>
            </w:r>
            <w:r w:rsidR="007E2CCE">
              <w:rPr>
                <w:rFonts w:ascii="Aptos" w:eastAsia="Times New Roman" w:hAnsi="Aptos" w:cs="Calibri"/>
                <w:b/>
                <w:color w:val="000000"/>
                <w:kern w:val="0"/>
                <w:sz w:val="20"/>
                <w:u w:val="single"/>
                <w:lang w:val="en-IE" w:eastAsia="en-IE"/>
              </w:rPr>
              <w:t xml:space="preserve">ssessment </w:t>
            </w:r>
            <w:r w:rsidRPr="007E2CCE">
              <w:rPr>
                <w:rFonts w:ascii="Aptos" w:eastAsia="Times New Roman" w:hAnsi="Aptos" w:cs="Calibri"/>
                <w:b/>
                <w:color w:val="000000"/>
                <w:kern w:val="0"/>
                <w:sz w:val="20"/>
                <w:u w:val="single"/>
                <w:lang w:val="en-IE" w:eastAsia="en-IE"/>
              </w:rPr>
              <w:t>AML/CFT Training</w:t>
            </w:r>
            <w:r w:rsidR="00A847B7">
              <w:rPr>
                <w:rFonts w:ascii="Aptos" w:eastAsia="Times New Roman" w:hAnsi="Aptos" w:cs="Calibri"/>
                <w:b/>
                <w:color w:val="000000"/>
                <w:kern w:val="0"/>
                <w:sz w:val="20"/>
                <w:u w:val="single"/>
                <w:lang w:val="en-IE" w:eastAsia="en-IE"/>
              </w:rPr>
              <w:t xml:space="preserve"> measures</w:t>
            </w:r>
          </w:p>
          <w:p w14:paraId="0764FE90" w14:textId="6D1F8EC9" w:rsidR="00D72CA0" w:rsidRPr="00B77CCF" w:rsidRDefault="00D72CA0" w:rsidP="00D72CA0">
            <w:pPr>
              <w:spacing w:before="0" w:after="0" w:line="240" w:lineRule="auto"/>
              <w:jc w:val="both"/>
              <w:rPr>
                <w:rFonts w:asciiTheme="minorHAnsi" w:eastAsia="Times New Roman" w:hAnsiTheme="minorHAnsi" w:cs="Calibri"/>
                <w:b/>
                <w:color w:val="000000"/>
                <w:kern w:val="0"/>
                <w:sz w:val="20"/>
                <w:u w:val="single"/>
                <w:lang w:val="en-IE" w:eastAsia="en-IE"/>
              </w:rPr>
            </w:pPr>
          </w:p>
          <w:p w14:paraId="48869761" w14:textId="588D48C2" w:rsidR="00D72CA0" w:rsidRPr="00B77CCF" w:rsidRDefault="002A799A" w:rsidP="00D72CA0">
            <w:pPr>
              <w:spacing w:before="0" w:after="0" w:line="240" w:lineRule="auto"/>
              <w:jc w:val="both"/>
              <w:rPr>
                <w:rFonts w:asciiTheme="minorHAnsi" w:eastAsia="Times New Roman" w:hAnsiTheme="minorHAnsi"/>
                <w:color w:val="000000"/>
                <w:kern w:val="0"/>
                <w:sz w:val="20"/>
                <w:lang w:val="en-IE" w:eastAsia="en-IE"/>
              </w:rPr>
            </w:pPr>
            <w:r w:rsidRPr="00BA5B39">
              <w:rPr>
                <w:rFonts w:asciiTheme="minorHAnsi" w:eastAsia="Times New Roman" w:hAnsiTheme="minorHAnsi"/>
                <w:color w:val="000000"/>
                <w:kern w:val="0"/>
                <w:sz w:val="20"/>
                <w:lang w:val="en-IE" w:eastAsia="en-IE"/>
              </w:rPr>
              <w:t xml:space="preserve">Date </w:t>
            </w:r>
            <w:r>
              <w:rPr>
                <w:rFonts w:asciiTheme="minorHAnsi" w:eastAsia="Times New Roman" w:hAnsiTheme="minorHAnsi"/>
                <w:color w:val="000000"/>
                <w:kern w:val="0"/>
                <w:sz w:val="20"/>
                <w:lang w:val="en-IE" w:eastAsia="en-IE"/>
              </w:rPr>
              <w:t xml:space="preserve">of the lastest internal audit report assessing </w:t>
            </w:r>
            <w:r w:rsidR="00D72CA0" w:rsidRPr="00B77CCF">
              <w:rPr>
                <w:rFonts w:asciiTheme="minorHAnsi" w:eastAsia="Times New Roman" w:hAnsiTheme="minorHAnsi"/>
                <w:color w:val="000000"/>
                <w:kern w:val="0"/>
                <w:sz w:val="20"/>
                <w:lang w:val="en-IE" w:eastAsia="en-IE"/>
              </w:rPr>
              <w:t>the AML/CFT</w:t>
            </w:r>
            <w:r w:rsidR="00D72CA0" w:rsidRPr="00B77CCF">
              <w:rPr>
                <w:rFonts w:ascii="Cambria Math" w:eastAsia="Times New Roman" w:hAnsi="Cambria Math" w:cs="Cambria Math"/>
                <w:color w:val="000000"/>
                <w:kern w:val="0"/>
                <w:sz w:val="20"/>
                <w:lang w:val="en-IE" w:eastAsia="en-IE"/>
              </w:rPr>
              <w:t>‑</w:t>
            </w:r>
            <w:r w:rsidR="00D72CA0" w:rsidRPr="00B77CCF">
              <w:rPr>
                <w:rFonts w:asciiTheme="minorHAnsi" w:eastAsia="Times New Roman" w:hAnsiTheme="minorHAnsi"/>
                <w:color w:val="000000"/>
                <w:kern w:val="0"/>
                <w:sz w:val="20"/>
                <w:lang w:val="en-IE" w:eastAsia="en-IE"/>
              </w:rPr>
              <w:t>related awareness</w:t>
            </w:r>
            <w:r w:rsidR="00D72CA0" w:rsidRPr="00B77CCF">
              <w:rPr>
                <w:rFonts w:ascii="Cambria Math" w:eastAsia="Times New Roman" w:hAnsi="Cambria Math" w:cs="Cambria Math"/>
                <w:color w:val="000000"/>
                <w:kern w:val="0"/>
                <w:sz w:val="20"/>
                <w:lang w:val="en-IE" w:eastAsia="en-IE"/>
              </w:rPr>
              <w:t>‑</w:t>
            </w:r>
            <w:r w:rsidR="00D72CA0" w:rsidRPr="00B77CCF">
              <w:rPr>
                <w:rFonts w:asciiTheme="minorHAnsi" w:eastAsia="Times New Roman" w:hAnsiTheme="minorHAnsi"/>
                <w:color w:val="000000"/>
                <w:kern w:val="0"/>
                <w:sz w:val="20"/>
                <w:lang w:val="en-IE" w:eastAsia="en-IE"/>
              </w:rPr>
              <w:t xml:space="preserve">raising and staff training measures </w:t>
            </w:r>
            <w:r w:rsidR="003A604F" w:rsidRPr="7E1DA77F">
              <w:rPr>
                <w:rFonts w:asciiTheme="minorHAnsi" w:eastAsia="Times New Roman" w:hAnsiTheme="minorHAnsi"/>
                <w:color w:val="000000" w:themeColor="text1"/>
                <w:sz w:val="20"/>
                <w:lang w:val="en-IE" w:eastAsia="en-IE"/>
              </w:rPr>
              <w:t xml:space="preserve">– including </w:t>
            </w:r>
            <w:r w:rsidR="003A604F" w:rsidRPr="42EBAE7A">
              <w:rPr>
                <w:rFonts w:asciiTheme="minorHAnsi" w:eastAsia="Times New Roman" w:hAnsiTheme="minorHAnsi"/>
                <w:color w:val="000000" w:themeColor="text1"/>
                <w:sz w:val="20"/>
                <w:lang w:val="en-IE" w:eastAsia="en-IE"/>
              </w:rPr>
              <w:t xml:space="preserve">tests carried out by an </w:t>
            </w:r>
            <w:r w:rsidR="003A604F">
              <w:rPr>
                <w:rFonts w:asciiTheme="minorHAnsi" w:eastAsia="Times New Roman" w:hAnsiTheme="minorHAnsi"/>
                <w:color w:val="000000" w:themeColor="text1"/>
                <w:sz w:val="20"/>
                <w:lang w:val="en-IE" w:eastAsia="en-IE"/>
              </w:rPr>
              <w:t>external</w:t>
            </w:r>
            <w:r w:rsidR="003A604F" w:rsidRPr="42EBAE7A">
              <w:rPr>
                <w:rFonts w:asciiTheme="minorHAnsi" w:eastAsia="Times New Roman" w:hAnsiTheme="minorHAnsi"/>
                <w:color w:val="000000" w:themeColor="text1"/>
                <w:sz w:val="20"/>
                <w:lang w:val="en-IE" w:eastAsia="en-IE"/>
              </w:rPr>
              <w:t xml:space="preserve"> expert </w:t>
            </w:r>
            <w:r w:rsidR="003A604F" w:rsidRPr="1471CA86">
              <w:rPr>
                <w:rFonts w:asciiTheme="minorHAnsi" w:eastAsia="Times New Roman" w:hAnsiTheme="minorHAnsi"/>
                <w:color w:val="000000" w:themeColor="text1"/>
                <w:sz w:val="20"/>
                <w:lang w:val="en-IE" w:eastAsia="en-IE"/>
              </w:rPr>
              <w:t>as referred to in Article 9</w:t>
            </w:r>
            <w:r w:rsidR="003A604F" w:rsidRPr="4C1FC6CC">
              <w:rPr>
                <w:rFonts w:asciiTheme="minorHAnsi" w:eastAsia="Times New Roman" w:hAnsiTheme="minorHAnsi"/>
                <w:color w:val="000000" w:themeColor="text1"/>
                <w:sz w:val="20"/>
                <w:lang w:val="en-IE" w:eastAsia="en-IE"/>
              </w:rPr>
              <w:t>(2)(b)</w:t>
            </w:r>
            <w:r w:rsidR="003A604F">
              <w:rPr>
                <w:rFonts w:asciiTheme="minorHAnsi" w:eastAsia="Times New Roman" w:hAnsiTheme="minorHAnsi"/>
                <w:color w:val="000000" w:themeColor="text1"/>
                <w:sz w:val="20"/>
                <w:lang w:val="en-IE" w:eastAsia="en-IE"/>
              </w:rPr>
              <w:t xml:space="preserve"> AMLR </w:t>
            </w:r>
            <w:r w:rsidR="003A604F" w:rsidRPr="59450CBB">
              <w:rPr>
                <w:rFonts w:asciiTheme="minorHAnsi" w:eastAsia="Times New Roman" w:hAnsiTheme="minorHAnsi"/>
                <w:color w:val="000000" w:themeColor="text1"/>
                <w:sz w:val="20"/>
                <w:lang w:val="en-IE" w:eastAsia="en-IE"/>
              </w:rPr>
              <w:t xml:space="preserve">in the absence </w:t>
            </w:r>
            <w:r w:rsidR="003A604F" w:rsidRPr="5F65C223">
              <w:rPr>
                <w:rFonts w:asciiTheme="minorHAnsi" w:eastAsia="Times New Roman" w:hAnsiTheme="minorHAnsi"/>
                <w:color w:val="000000" w:themeColor="text1"/>
                <w:sz w:val="20"/>
                <w:lang w:val="en-IE" w:eastAsia="en-IE"/>
              </w:rPr>
              <w:t>of an independent</w:t>
            </w:r>
            <w:r w:rsidR="003A604F" w:rsidRPr="7E1DA77F">
              <w:rPr>
                <w:rFonts w:asciiTheme="minorHAnsi" w:eastAsia="Times New Roman" w:hAnsiTheme="minorHAnsi"/>
                <w:color w:val="000000" w:themeColor="text1"/>
                <w:sz w:val="20"/>
                <w:lang w:val="en-IE" w:eastAsia="en-IE"/>
              </w:rPr>
              <w:t xml:space="preserve"> audit</w:t>
            </w:r>
            <w:r w:rsidR="003A604F" w:rsidRPr="5F65C223">
              <w:rPr>
                <w:rFonts w:asciiTheme="minorHAnsi" w:eastAsia="Times New Roman" w:hAnsiTheme="minorHAnsi"/>
                <w:color w:val="000000" w:themeColor="text1"/>
                <w:sz w:val="20"/>
                <w:lang w:val="en-IE" w:eastAsia="en-IE"/>
              </w:rPr>
              <w:t xml:space="preserve"> function</w:t>
            </w:r>
            <w:r w:rsidR="003A604F" w:rsidRPr="5F65C223">
              <w:rPr>
                <w:rFonts w:asciiTheme="minorHAnsi" w:eastAsia="Times New Roman" w:hAnsiTheme="minorHAnsi"/>
                <w:color w:val="000000"/>
                <w:kern w:val="0"/>
                <w:sz w:val="20"/>
                <w:lang w:val="en-IE" w:eastAsia="en-IE"/>
              </w:rPr>
              <w:t>.</w:t>
            </w:r>
          </w:p>
          <w:p w14:paraId="5D3063E7" w14:textId="77777777" w:rsidR="00611D7A" w:rsidRDefault="00611D7A" w:rsidP="00D72CA0">
            <w:pPr>
              <w:spacing w:before="0" w:after="0" w:line="240" w:lineRule="auto"/>
              <w:jc w:val="both"/>
              <w:rPr>
                <w:rFonts w:asciiTheme="minorHAnsi" w:eastAsia="Times New Roman" w:hAnsiTheme="minorHAnsi"/>
                <w:color w:val="000000"/>
                <w:kern w:val="0"/>
                <w:sz w:val="20"/>
                <w:lang w:val="en-IE" w:eastAsia="en-IE"/>
              </w:rPr>
            </w:pPr>
          </w:p>
          <w:p w14:paraId="55A11708" w14:textId="3F2D0E8C" w:rsidR="00611D7A" w:rsidRPr="00B77CCF" w:rsidRDefault="007B29AC" w:rsidP="00D72CA0">
            <w:pPr>
              <w:spacing w:before="0" w:after="0" w:line="240" w:lineRule="auto"/>
              <w:jc w:val="both"/>
              <w:rPr>
                <w:rFonts w:asciiTheme="minorHAnsi" w:eastAsia="Times New Roman" w:hAnsiTheme="minorHAnsi"/>
                <w:color w:val="000000"/>
                <w:kern w:val="0"/>
                <w:sz w:val="20"/>
                <w:lang w:val="en-IE" w:eastAsia="en-IE"/>
              </w:rPr>
            </w:pPr>
            <w:r>
              <w:rPr>
                <w:rFonts w:asciiTheme="minorHAnsi" w:eastAsia="Times New Roman" w:hAnsiTheme="minorHAnsi"/>
                <w:color w:val="000000"/>
                <w:kern w:val="0"/>
                <w:sz w:val="20"/>
                <w:lang w:eastAsia="en-IE"/>
              </w:rPr>
              <w:t>Indicate</w:t>
            </w:r>
            <w:r w:rsidRPr="00872119">
              <w:rPr>
                <w:rFonts w:asciiTheme="minorHAnsi" w:eastAsia="Times New Roman" w:hAnsiTheme="minorHAnsi"/>
                <w:color w:val="000000"/>
                <w:kern w:val="0"/>
                <w:sz w:val="20"/>
                <w:lang w:eastAsia="en-IE"/>
              </w:rPr>
              <w:t xml:space="preserve"> </w:t>
            </w:r>
            <w:r w:rsidR="00611D7A" w:rsidRPr="00611D7A">
              <w:rPr>
                <w:rFonts w:asciiTheme="minorHAnsi" w:eastAsia="Times New Roman" w:hAnsiTheme="minorHAnsi"/>
                <w:color w:val="000000"/>
                <w:kern w:val="0"/>
                <w:sz w:val="20"/>
                <w:lang w:eastAsia="en-IE"/>
              </w:rPr>
              <w:t>the audit report signing date if available or end of the audit period (report its start in case of an ongoing audit).</w:t>
            </w:r>
          </w:p>
          <w:p w14:paraId="74863A7F" w14:textId="67538961" w:rsidR="006B7937" w:rsidRPr="00B77CCF" w:rsidRDefault="006B7937" w:rsidP="007B05F4">
            <w:pPr>
              <w:spacing w:before="0" w:after="0" w:line="240" w:lineRule="auto"/>
              <w:jc w:val="both"/>
              <w:rPr>
                <w:rFonts w:asciiTheme="minorHAnsi" w:eastAsia="Times New Roman" w:hAnsiTheme="minorHAnsi"/>
                <w:color w:val="000000"/>
                <w:kern w:val="0"/>
                <w:sz w:val="20"/>
                <w:lang w:val="en-IE" w:eastAsia="en-IE"/>
              </w:rPr>
            </w:pPr>
          </w:p>
        </w:tc>
      </w:tr>
      <w:tr w:rsidR="00BE1CAD" w:rsidRPr="009B282E" w14:paraId="38F8B108" w14:textId="77777777" w:rsidTr="00D72CA0">
        <w:tc>
          <w:tcPr>
            <w:tcW w:w="1673" w:type="dxa"/>
            <w:tcBorders>
              <w:top w:val="single" w:sz="4" w:space="0" w:color="auto"/>
              <w:left w:val="single" w:sz="4" w:space="0" w:color="auto"/>
              <w:bottom w:val="single" w:sz="4" w:space="0" w:color="auto"/>
              <w:right w:val="single" w:sz="4" w:space="0" w:color="auto"/>
            </w:tcBorders>
          </w:tcPr>
          <w:p w14:paraId="1C5D6FD7" w14:textId="08EB2C52" w:rsidR="003E691C" w:rsidRPr="009275BC" w:rsidRDefault="00AD6FF1" w:rsidP="00F32516">
            <w:pPr>
              <w:pStyle w:val="InstructionsText"/>
              <w:rPr>
                <w:rStyle w:val="FormatvorlageInstructionsTabelleText"/>
                <w:rFonts w:asciiTheme="minorHAnsi" w:hAnsiTheme="minorHAnsi"/>
              </w:rPr>
            </w:pPr>
            <w:r w:rsidRPr="00A70B3F">
              <w:t>C0140</w:t>
            </w:r>
          </w:p>
        </w:tc>
        <w:tc>
          <w:tcPr>
            <w:tcW w:w="7616" w:type="dxa"/>
            <w:tcBorders>
              <w:top w:val="nil"/>
              <w:left w:val="single" w:sz="4" w:space="0" w:color="000000" w:themeColor="text1"/>
              <w:bottom w:val="single" w:sz="4" w:space="0" w:color="000000" w:themeColor="text1"/>
              <w:right w:val="single" w:sz="4" w:space="0" w:color="000000" w:themeColor="text1"/>
            </w:tcBorders>
          </w:tcPr>
          <w:p w14:paraId="2C9DAB10" w14:textId="767ABB1A" w:rsidR="00491899" w:rsidRDefault="00491899" w:rsidP="00D72CA0">
            <w:pPr>
              <w:spacing w:before="0" w:after="0" w:line="240" w:lineRule="auto"/>
              <w:jc w:val="both"/>
              <w:rPr>
                <w:rFonts w:asciiTheme="minorHAnsi" w:eastAsia="Times New Roman" w:hAnsiTheme="minorHAnsi" w:cs="Calibri"/>
                <w:b/>
                <w:color w:val="000000"/>
                <w:kern w:val="0"/>
                <w:sz w:val="20"/>
                <w:u w:val="single"/>
                <w:lang w:val="en-IE" w:eastAsia="en-IE"/>
              </w:rPr>
            </w:pPr>
            <w:r w:rsidRPr="008C4D25">
              <w:rPr>
                <w:rFonts w:ascii="Aptos" w:eastAsia="Times New Roman" w:hAnsi="Aptos" w:cs="Calibri"/>
                <w:b/>
                <w:color w:val="000000"/>
                <w:kern w:val="0"/>
                <w:sz w:val="20"/>
                <w:u w:val="single"/>
                <w:lang w:val="en-IE" w:eastAsia="en-IE"/>
              </w:rPr>
              <w:t>Last Audit - Identification and Verification Procedures</w:t>
            </w:r>
          </w:p>
          <w:p w14:paraId="57E8E5CA" w14:textId="48BA42B3" w:rsidR="00D72CA0" w:rsidRPr="00B77CCF" w:rsidRDefault="00D72CA0" w:rsidP="00D72CA0">
            <w:pPr>
              <w:spacing w:before="0" w:after="0" w:line="240" w:lineRule="auto"/>
              <w:jc w:val="both"/>
              <w:rPr>
                <w:rFonts w:asciiTheme="minorHAnsi" w:eastAsia="Times New Roman" w:hAnsiTheme="minorHAnsi" w:cs="Calibri"/>
                <w:b/>
                <w:color w:val="000000"/>
                <w:kern w:val="0"/>
                <w:sz w:val="20"/>
                <w:u w:val="single"/>
                <w:lang w:val="en-IE" w:eastAsia="en-IE"/>
              </w:rPr>
            </w:pPr>
          </w:p>
          <w:p w14:paraId="1CC44ECD" w14:textId="4A7A73E4" w:rsidR="00D72CA0" w:rsidRPr="00BA5B39" w:rsidRDefault="002A799A" w:rsidP="00D72CA0">
            <w:pPr>
              <w:spacing w:before="0" w:after="0" w:line="240" w:lineRule="auto"/>
              <w:jc w:val="both"/>
              <w:rPr>
                <w:rFonts w:asciiTheme="minorHAnsi" w:eastAsia="Times New Roman" w:hAnsiTheme="minorHAnsi"/>
                <w:color w:val="000000"/>
                <w:kern w:val="0"/>
                <w:sz w:val="20"/>
                <w:lang w:val="en-IE" w:eastAsia="en-IE"/>
              </w:rPr>
            </w:pPr>
            <w:r w:rsidRPr="00BA5B39">
              <w:rPr>
                <w:rFonts w:asciiTheme="minorHAnsi" w:eastAsia="Times New Roman" w:hAnsiTheme="minorHAnsi"/>
                <w:color w:val="000000"/>
                <w:kern w:val="0"/>
                <w:sz w:val="20"/>
                <w:lang w:val="en-IE" w:eastAsia="en-IE"/>
              </w:rPr>
              <w:t xml:space="preserve">Date </w:t>
            </w:r>
            <w:r>
              <w:rPr>
                <w:rFonts w:asciiTheme="minorHAnsi" w:eastAsia="Times New Roman" w:hAnsiTheme="minorHAnsi"/>
                <w:color w:val="000000"/>
                <w:kern w:val="0"/>
                <w:sz w:val="20"/>
                <w:lang w:val="en-IE" w:eastAsia="en-IE"/>
              </w:rPr>
              <w:t xml:space="preserve">of the lastest internal audit report assessing </w:t>
            </w:r>
            <w:r w:rsidR="00D72CA0" w:rsidRPr="00BA5B39">
              <w:rPr>
                <w:rFonts w:asciiTheme="minorHAnsi" w:eastAsia="Times New Roman" w:hAnsiTheme="minorHAnsi"/>
                <w:color w:val="000000"/>
                <w:kern w:val="0"/>
                <w:sz w:val="20"/>
                <w:lang w:val="en-IE" w:eastAsia="en-IE"/>
              </w:rPr>
              <w:t xml:space="preserve">the identification and identity verification procedures </w:t>
            </w:r>
            <w:r w:rsidR="00E2169A" w:rsidRPr="7E1DA77F">
              <w:rPr>
                <w:rFonts w:asciiTheme="minorHAnsi" w:eastAsia="Times New Roman" w:hAnsiTheme="minorHAnsi"/>
                <w:color w:val="000000" w:themeColor="text1"/>
                <w:sz w:val="20"/>
                <w:lang w:val="en-IE" w:eastAsia="en-IE"/>
              </w:rPr>
              <w:t xml:space="preserve">– including </w:t>
            </w:r>
            <w:r w:rsidR="00E2169A" w:rsidRPr="42EBAE7A">
              <w:rPr>
                <w:rFonts w:asciiTheme="minorHAnsi" w:eastAsia="Times New Roman" w:hAnsiTheme="minorHAnsi"/>
                <w:color w:val="000000" w:themeColor="text1"/>
                <w:sz w:val="20"/>
                <w:lang w:val="en-IE" w:eastAsia="en-IE"/>
              </w:rPr>
              <w:t xml:space="preserve">tests carried out by an </w:t>
            </w:r>
            <w:r w:rsidR="00E2169A">
              <w:rPr>
                <w:rFonts w:asciiTheme="minorHAnsi" w:eastAsia="Times New Roman" w:hAnsiTheme="minorHAnsi"/>
                <w:color w:val="000000" w:themeColor="text1"/>
                <w:sz w:val="20"/>
                <w:lang w:val="en-IE" w:eastAsia="en-IE"/>
              </w:rPr>
              <w:t>external</w:t>
            </w:r>
            <w:r w:rsidR="00E2169A" w:rsidRPr="42EBAE7A">
              <w:rPr>
                <w:rFonts w:asciiTheme="minorHAnsi" w:eastAsia="Times New Roman" w:hAnsiTheme="minorHAnsi"/>
                <w:color w:val="000000" w:themeColor="text1"/>
                <w:sz w:val="20"/>
                <w:lang w:val="en-IE" w:eastAsia="en-IE"/>
              </w:rPr>
              <w:t xml:space="preserve"> expert </w:t>
            </w:r>
            <w:r w:rsidR="00E2169A" w:rsidRPr="1471CA86">
              <w:rPr>
                <w:rFonts w:asciiTheme="minorHAnsi" w:eastAsia="Times New Roman" w:hAnsiTheme="minorHAnsi"/>
                <w:color w:val="000000" w:themeColor="text1"/>
                <w:sz w:val="20"/>
                <w:lang w:val="en-IE" w:eastAsia="en-IE"/>
              </w:rPr>
              <w:t>as referred to in Article 9</w:t>
            </w:r>
            <w:r w:rsidR="00E2169A" w:rsidRPr="4C1FC6CC">
              <w:rPr>
                <w:rFonts w:asciiTheme="minorHAnsi" w:eastAsia="Times New Roman" w:hAnsiTheme="minorHAnsi"/>
                <w:color w:val="000000" w:themeColor="text1"/>
                <w:sz w:val="20"/>
                <w:lang w:val="en-IE" w:eastAsia="en-IE"/>
              </w:rPr>
              <w:t>(2)(b)</w:t>
            </w:r>
            <w:r w:rsidR="00E2169A">
              <w:rPr>
                <w:rFonts w:asciiTheme="minorHAnsi" w:eastAsia="Times New Roman" w:hAnsiTheme="minorHAnsi"/>
                <w:color w:val="000000" w:themeColor="text1"/>
                <w:sz w:val="20"/>
                <w:lang w:val="en-IE" w:eastAsia="en-IE"/>
              </w:rPr>
              <w:t xml:space="preserve"> AMLR </w:t>
            </w:r>
            <w:r w:rsidR="00E2169A" w:rsidRPr="59450CBB">
              <w:rPr>
                <w:rFonts w:asciiTheme="minorHAnsi" w:eastAsia="Times New Roman" w:hAnsiTheme="minorHAnsi"/>
                <w:color w:val="000000" w:themeColor="text1"/>
                <w:sz w:val="20"/>
                <w:lang w:val="en-IE" w:eastAsia="en-IE"/>
              </w:rPr>
              <w:t xml:space="preserve">in the absence </w:t>
            </w:r>
            <w:r w:rsidR="00E2169A" w:rsidRPr="5F65C223">
              <w:rPr>
                <w:rFonts w:asciiTheme="minorHAnsi" w:eastAsia="Times New Roman" w:hAnsiTheme="minorHAnsi"/>
                <w:color w:val="000000" w:themeColor="text1"/>
                <w:sz w:val="20"/>
                <w:lang w:val="en-IE" w:eastAsia="en-IE"/>
              </w:rPr>
              <w:t>of an independent</w:t>
            </w:r>
            <w:r w:rsidR="00E2169A" w:rsidRPr="7E1DA77F">
              <w:rPr>
                <w:rFonts w:asciiTheme="minorHAnsi" w:eastAsia="Times New Roman" w:hAnsiTheme="minorHAnsi"/>
                <w:color w:val="000000" w:themeColor="text1"/>
                <w:sz w:val="20"/>
                <w:lang w:val="en-IE" w:eastAsia="en-IE"/>
              </w:rPr>
              <w:t xml:space="preserve"> audit</w:t>
            </w:r>
            <w:r w:rsidR="00E2169A" w:rsidRPr="5F65C223">
              <w:rPr>
                <w:rFonts w:asciiTheme="minorHAnsi" w:eastAsia="Times New Roman" w:hAnsiTheme="minorHAnsi"/>
                <w:color w:val="000000" w:themeColor="text1"/>
                <w:sz w:val="20"/>
                <w:lang w:val="en-IE" w:eastAsia="en-IE"/>
              </w:rPr>
              <w:t xml:space="preserve"> function</w:t>
            </w:r>
            <w:r w:rsidR="00E2169A" w:rsidRPr="5F65C223">
              <w:rPr>
                <w:rFonts w:asciiTheme="minorHAnsi" w:eastAsia="Times New Roman" w:hAnsiTheme="minorHAnsi"/>
                <w:color w:val="000000"/>
                <w:kern w:val="0"/>
                <w:sz w:val="20"/>
                <w:lang w:val="en-IE" w:eastAsia="en-IE"/>
              </w:rPr>
              <w:t>.</w:t>
            </w:r>
          </w:p>
          <w:p w14:paraId="273A1BD7" w14:textId="77777777" w:rsidR="00611D7A" w:rsidRDefault="00611D7A" w:rsidP="00D72CA0">
            <w:pPr>
              <w:spacing w:before="0" w:after="0" w:line="240" w:lineRule="auto"/>
              <w:jc w:val="both"/>
              <w:rPr>
                <w:rFonts w:asciiTheme="minorHAnsi" w:eastAsia="Times New Roman" w:hAnsiTheme="minorHAnsi"/>
                <w:color w:val="000000"/>
                <w:kern w:val="0"/>
                <w:sz w:val="20"/>
                <w:lang w:val="en-IE" w:eastAsia="en-IE"/>
              </w:rPr>
            </w:pPr>
          </w:p>
          <w:p w14:paraId="6D1B9379" w14:textId="584CDB4E" w:rsidR="00611D7A" w:rsidRPr="00BA5B39" w:rsidRDefault="007B29AC" w:rsidP="00D72CA0">
            <w:pPr>
              <w:spacing w:before="0" w:after="0" w:line="240" w:lineRule="auto"/>
              <w:jc w:val="both"/>
              <w:rPr>
                <w:rFonts w:asciiTheme="minorHAnsi" w:eastAsia="Times New Roman" w:hAnsiTheme="minorHAnsi"/>
                <w:color w:val="000000"/>
                <w:kern w:val="0"/>
                <w:sz w:val="20"/>
                <w:lang w:val="en-IE" w:eastAsia="en-IE"/>
              </w:rPr>
            </w:pPr>
            <w:r>
              <w:rPr>
                <w:rFonts w:asciiTheme="minorHAnsi" w:eastAsia="Times New Roman" w:hAnsiTheme="minorHAnsi"/>
                <w:color w:val="000000"/>
                <w:kern w:val="0"/>
                <w:sz w:val="20"/>
                <w:lang w:eastAsia="en-IE"/>
              </w:rPr>
              <w:t>Indicate</w:t>
            </w:r>
            <w:r w:rsidRPr="00872119">
              <w:rPr>
                <w:rFonts w:asciiTheme="minorHAnsi" w:eastAsia="Times New Roman" w:hAnsiTheme="minorHAnsi"/>
                <w:color w:val="000000"/>
                <w:kern w:val="0"/>
                <w:sz w:val="20"/>
                <w:lang w:eastAsia="en-IE"/>
              </w:rPr>
              <w:t xml:space="preserve"> </w:t>
            </w:r>
            <w:r w:rsidR="00611D7A" w:rsidRPr="00611D7A">
              <w:rPr>
                <w:rFonts w:asciiTheme="minorHAnsi" w:eastAsia="Times New Roman" w:hAnsiTheme="minorHAnsi"/>
                <w:color w:val="000000"/>
                <w:kern w:val="0"/>
                <w:sz w:val="20"/>
                <w:lang w:eastAsia="en-IE"/>
              </w:rPr>
              <w:t xml:space="preserve">the audit report signing date if available or </w:t>
            </w:r>
            <w:r w:rsidR="004164D1" w:rsidRPr="00611D7A">
              <w:rPr>
                <w:rFonts w:asciiTheme="minorHAnsi" w:eastAsia="Times New Roman" w:hAnsiTheme="minorHAnsi"/>
                <w:color w:val="000000"/>
                <w:kern w:val="0"/>
                <w:sz w:val="20"/>
                <w:lang w:eastAsia="en-IE"/>
              </w:rPr>
              <w:t>at the</w:t>
            </w:r>
            <w:r w:rsidR="00611D7A" w:rsidRPr="00611D7A">
              <w:rPr>
                <w:rFonts w:asciiTheme="minorHAnsi" w:eastAsia="Times New Roman" w:hAnsiTheme="minorHAnsi"/>
                <w:color w:val="000000"/>
                <w:kern w:val="0"/>
                <w:sz w:val="20"/>
                <w:lang w:eastAsia="en-IE"/>
              </w:rPr>
              <w:t xml:space="preserve"> end of the audit period (report its start in case of an ongoing audit).</w:t>
            </w:r>
          </w:p>
          <w:p w14:paraId="47984E17" w14:textId="381E239C" w:rsidR="006B7937" w:rsidRPr="00B77CCF" w:rsidRDefault="006B7937" w:rsidP="007B05F4">
            <w:pPr>
              <w:spacing w:before="0" w:after="0" w:line="240" w:lineRule="auto"/>
              <w:jc w:val="both"/>
              <w:rPr>
                <w:rFonts w:asciiTheme="minorHAnsi" w:eastAsia="Times New Roman" w:hAnsiTheme="minorHAnsi"/>
                <w:color w:val="000000"/>
                <w:kern w:val="0"/>
                <w:sz w:val="20"/>
                <w:lang w:val="en-IE" w:eastAsia="en-IE"/>
              </w:rPr>
            </w:pPr>
          </w:p>
        </w:tc>
      </w:tr>
      <w:tr w:rsidR="00BE1CAD" w:rsidRPr="009B282E" w14:paraId="18D0D899" w14:textId="77777777" w:rsidTr="00D72CA0">
        <w:tc>
          <w:tcPr>
            <w:tcW w:w="1673" w:type="dxa"/>
            <w:tcBorders>
              <w:top w:val="single" w:sz="4" w:space="0" w:color="auto"/>
              <w:left w:val="single" w:sz="4" w:space="0" w:color="auto"/>
              <w:bottom w:val="single" w:sz="4" w:space="0" w:color="auto"/>
              <w:right w:val="single" w:sz="4" w:space="0" w:color="auto"/>
            </w:tcBorders>
          </w:tcPr>
          <w:p w14:paraId="384A49A7" w14:textId="1B78E749" w:rsidR="003E691C" w:rsidRPr="009275BC" w:rsidRDefault="00AD6FF1" w:rsidP="00F32516">
            <w:pPr>
              <w:pStyle w:val="InstructionsText"/>
              <w:rPr>
                <w:rStyle w:val="FormatvorlageInstructionsTabelleText"/>
                <w:rFonts w:asciiTheme="minorHAnsi" w:hAnsiTheme="minorHAnsi"/>
              </w:rPr>
            </w:pPr>
            <w:r w:rsidRPr="00A70B3F">
              <w:t>C0150</w:t>
            </w:r>
          </w:p>
        </w:tc>
        <w:tc>
          <w:tcPr>
            <w:tcW w:w="7616" w:type="dxa"/>
            <w:tcBorders>
              <w:top w:val="nil"/>
              <w:left w:val="single" w:sz="4" w:space="0" w:color="000000" w:themeColor="text1"/>
              <w:bottom w:val="single" w:sz="4" w:space="0" w:color="000000" w:themeColor="text1"/>
              <w:right w:val="single" w:sz="4" w:space="0" w:color="000000" w:themeColor="text1"/>
            </w:tcBorders>
          </w:tcPr>
          <w:p w14:paraId="36D7A10E" w14:textId="23B9F18B" w:rsidR="00491899" w:rsidRDefault="00491899" w:rsidP="00D72CA0">
            <w:pPr>
              <w:spacing w:before="0" w:after="0" w:line="240" w:lineRule="auto"/>
              <w:jc w:val="both"/>
              <w:rPr>
                <w:rFonts w:asciiTheme="minorHAnsi" w:eastAsia="Times New Roman" w:hAnsiTheme="minorHAnsi" w:cs="Calibri"/>
                <w:b/>
                <w:color w:val="000000"/>
                <w:kern w:val="0"/>
                <w:sz w:val="20"/>
                <w:u w:val="single"/>
                <w:lang w:val="en-IE" w:eastAsia="en-IE"/>
              </w:rPr>
            </w:pPr>
            <w:r w:rsidRPr="008C4D25">
              <w:rPr>
                <w:rFonts w:ascii="Aptos" w:eastAsia="Times New Roman" w:hAnsi="Aptos" w:cs="Calibri"/>
                <w:b/>
                <w:color w:val="000000"/>
                <w:kern w:val="0"/>
                <w:sz w:val="20"/>
                <w:u w:val="single"/>
                <w:lang w:val="en-IE" w:eastAsia="en-IE"/>
              </w:rPr>
              <w:t>Last Audit - Policies and Procedures for Monitoring and Analysing Business Relationships</w:t>
            </w:r>
          </w:p>
          <w:p w14:paraId="1690C03A" w14:textId="37B85D14" w:rsidR="00D72CA0" w:rsidRPr="00B77CCF" w:rsidRDefault="00D72CA0" w:rsidP="00D72CA0">
            <w:pPr>
              <w:spacing w:before="0" w:after="0" w:line="240" w:lineRule="auto"/>
              <w:jc w:val="both"/>
              <w:rPr>
                <w:rFonts w:asciiTheme="minorHAnsi" w:eastAsia="Times New Roman" w:hAnsiTheme="minorHAnsi" w:cs="Calibri"/>
                <w:b/>
                <w:color w:val="000000"/>
                <w:kern w:val="0"/>
                <w:sz w:val="20"/>
                <w:u w:val="single"/>
                <w:lang w:val="en-IE" w:eastAsia="en-IE"/>
              </w:rPr>
            </w:pPr>
          </w:p>
          <w:p w14:paraId="4A2B1E8D" w14:textId="7FB0D3F8" w:rsidR="00D72CA0" w:rsidRPr="00B77CCF" w:rsidRDefault="002A799A" w:rsidP="00D72CA0">
            <w:pPr>
              <w:spacing w:before="0" w:after="0" w:line="240" w:lineRule="auto"/>
              <w:jc w:val="both"/>
              <w:rPr>
                <w:rFonts w:asciiTheme="minorHAnsi" w:eastAsia="Times New Roman" w:hAnsiTheme="minorHAnsi"/>
                <w:color w:val="000000"/>
                <w:kern w:val="0"/>
                <w:sz w:val="20"/>
                <w:lang w:val="en-IE" w:eastAsia="en-IE"/>
              </w:rPr>
            </w:pPr>
            <w:r w:rsidRPr="00BA5B39">
              <w:rPr>
                <w:rFonts w:asciiTheme="minorHAnsi" w:eastAsia="Times New Roman" w:hAnsiTheme="minorHAnsi"/>
                <w:color w:val="000000"/>
                <w:kern w:val="0"/>
                <w:sz w:val="20"/>
                <w:lang w:val="en-IE" w:eastAsia="en-IE"/>
              </w:rPr>
              <w:t xml:space="preserve">Date </w:t>
            </w:r>
            <w:r>
              <w:rPr>
                <w:rFonts w:asciiTheme="minorHAnsi" w:eastAsia="Times New Roman" w:hAnsiTheme="minorHAnsi"/>
                <w:color w:val="000000"/>
                <w:kern w:val="0"/>
                <w:sz w:val="20"/>
                <w:lang w:val="en-IE" w:eastAsia="en-IE"/>
              </w:rPr>
              <w:t xml:space="preserve">of the lastest internal audit report assessing </w:t>
            </w:r>
            <w:r w:rsidR="007356C7">
              <w:rPr>
                <w:rFonts w:asciiTheme="minorHAnsi" w:eastAsia="Times New Roman" w:hAnsiTheme="minorHAnsi"/>
                <w:color w:val="000000"/>
                <w:kern w:val="0"/>
                <w:sz w:val="20"/>
                <w:lang w:val="en-IE" w:eastAsia="en-IE"/>
              </w:rPr>
              <w:t>at least part of</w:t>
            </w:r>
            <w:r w:rsidR="00D72CA0" w:rsidRPr="00B77CCF">
              <w:rPr>
                <w:rFonts w:asciiTheme="minorHAnsi" w:eastAsia="Times New Roman" w:hAnsiTheme="minorHAnsi"/>
                <w:color w:val="000000"/>
                <w:kern w:val="0"/>
                <w:sz w:val="20"/>
                <w:lang w:val="en-IE" w:eastAsia="en-IE"/>
              </w:rPr>
              <w:t xml:space="preserve"> the policies and procedures for monitoring and analysing business relationships</w:t>
            </w:r>
            <w:r w:rsidR="001F4557">
              <w:rPr>
                <w:rFonts w:asciiTheme="minorHAnsi" w:eastAsia="Times New Roman" w:hAnsiTheme="minorHAnsi"/>
                <w:color w:val="000000"/>
                <w:kern w:val="0"/>
                <w:sz w:val="20"/>
                <w:lang w:val="en-IE" w:eastAsia="en-IE"/>
              </w:rPr>
              <w:t xml:space="preserve"> (</w:t>
            </w:r>
            <w:r w:rsidR="00D72CA0" w:rsidRPr="006149DD">
              <w:rPr>
                <w:rFonts w:asciiTheme="minorHAnsi" w:eastAsia="Times New Roman" w:hAnsiTheme="minorHAnsi"/>
                <w:color w:val="000000"/>
                <w:kern w:val="0"/>
                <w:sz w:val="20"/>
                <w:lang w:val="en-IE" w:eastAsia="en-IE"/>
              </w:rPr>
              <w:t>including transaction monitoring</w:t>
            </w:r>
            <w:r w:rsidR="001F4557">
              <w:rPr>
                <w:rFonts w:asciiTheme="minorHAnsi" w:eastAsia="Times New Roman" w:hAnsiTheme="minorHAnsi"/>
                <w:color w:val="000000"/>
                <w:kern w:val="0"/>
                <w:sz w:val="20"/>
                <w:lang w:val="en-IE" w:eastAsia="en-IE"/>
              </w:rPr>
              <w:t>)</w:t>
            </w:r>
            <w:r w:rsidR="00D72CA0" w:rsidRPr="00B77CCF">
              <w:rPr>
                <w:rFonts w:asciiTheme="minorHAnsi" w:eastAsia="Times New Roman" w:hAnsiTheme="minorHAnsi"/>
                <w:color w:val="000000"/>
                <w:kern w:val="0"/>
                <w:sz w:val="20"/>
                <w:lang w:val="en-IE" w:eastAsia="en-IE"/>
              </w:rPr>
              <w:t xml:space="preserve"> </w:t>
            </w:r>
            <w:r w:rsidR="00E2169A" w:rsidRPr="7E1DA77F">
              <w:rPr>
                <w:rFonts w:asciiTheme="minorHAnsi" w:eastAsia="Times New Roman" w:hAnsiTheme="minorHAnsi"/>
                <w:color w:val="000000" w:themeColor="text1"/>
                <w:sz w:val="20"/>
                <w:lang w:val="en-IE" w:eastAsia="en-IE"/>
              </w:rPr>
              <w:t xml:space="preserve">– including </w:t>
            </w:r>
            <w:r w:rsidR="00E2169A" w:rsidRPr="42EBAE7A">
              <w:rPr>
                <w:rFonts w:asciiTheme="minorHAnsi" w:eastAsia="Times New Roman" w:hAnsiTheme="minorHAnsi"/>
                <w:color w:val="000000" w:themeColor="text1"/>
                <w:sz w:val="20"/>
                <w:lang w:val="en-IE" w:eastAsia="en-IE"/>
              </w:rPr>
              <w:t xml:space="preserve">tests carried out by an </w:t>
            </w:r>
            <w:r w:rsidR="00E2169A">
              <w:rPr>
                <w:rFonts w:asciiTheme="minorHAnsi" w:eastAsia="Times New Roman" w:hAnsiTheme="minorHAnsi"/>
                <w:color w:val="000000" w:themeColor="text1"/>
                <w:sz w:val="20"/>
                <w:lang w:val="en-IE" w:eastAsia="en-IE"/>
              </w:rPr>
              <w:t>external</w:t>
            </w:r>
            <w:r w:rsidR="00E2169A" w:rsidRPr="42EBAE7A">
              <w:rPr>
                <w:rFonts w:asciiTheme="minorHAnsi" w:eastAsia="Times New Roman" w:hAnsiTheme="minorHAnsi"/>
                <w:color w:val="000000" w:themeColor="text1"/>
                <w:sz w:val="20"/>
                <w:lang w:val="en-IE" w:eastAsia="en-IE"/>
              </w:rPr>
              <w:t xml:space="preserve"> expert </w:t>
            </w:r>
            <w:r w:rsidR="00E2169A" w:rsidRPr="1471CA86">
              <w:rPr>
                <w:rFonts w:asciiTheme="minorHAnsi" w:eastAsia="Times New Roman" w:hAnsiTheme="minorHAnsi"/>
                <w:color w:val="000000" w:themeColor="text1"/>
                <w:sz w:val="20"/>
                <w:lang w:val="en-IE" w:eastAsia="en-IE"/>
              </w:rPr>
              <w:t>as referred to in Article 9</w:t>
            </w:r>
            <w:r w:rsidR="00E2169A" w:rsidRPr="4C1FC6CC">
              <w:rPr>
                <w:rFonts w:asciiTheme="minorHAnsi" w:eastAsia="Times New Roman" w:hAnsiTheme="minorHAnsi"/>
                <w:color w:val="000000" w:themeColor="text1"/>
                <w:sz w:val="20"/>
                <w:lang w:val="en-IE" w:eastAsia="en-IE"/>
              </w:rPr>
              <w:t>(2)(b)</w:t>
            </w:r>
            <w:r w:rsidR="00E2169A">
              <w:rPr>
                <w:rFonts w:asciiTheme="minorHAnsi" w:eastAsia="Times New Roman" w:hAnsiTheme="minorHAnsi"/>
                <w:color w:val="000000" w:themeColor="text1"/>
                <w:sz w:val="20"/>
                <w:lang w:val="en-IE" w:eastAsia="en-IE"/>
              </w:rPr>
              <w:t xml:space="preserve"> AMLR </w:t>
            </w:r>
            <w:r w:rsidR="00E2169A" w:rsidRPr="59450CBB">
              <w:rPr>
                <w:rFonts w:asciiTheme="minorHAnsi" w:eastAsia="Times New Roman" w:hAnsiTheme="minorHAnsi"/>
                <w:color w:val="000000" w:themeColor="text1"/>
                <w:sz w:val="20"/>
                <w:lang w:val="en-IE" w:eastAsia="en-IE"/>
              </w:rPr>
              <w:t xml:space="preserve">in the absence </w:t>
            </w:r>
            <w:r w:rsidR="00E2169A" w:rsidRPr="5F65C223">
              <w:rPr>
                <w:rFonts w:asciiTheme="minorHAnsi" w:eastAsia="Times New Roman" w:hAnsiTheme="minorHAnsi"/>
                <w:color w:val="000000" w:themeColor="text1"/>
                <w:sz w:val="20"/>
                <w:lang w:val="en-IE" w:eastAsia="en-IE"/>
              </w:rPr>
              <w:t>of an independent</w:t>
            </w:r>
            <w:r w:rsidR="00E2169A" w:rsidRPr="7E1DA77F">
              <w:rPr>
                <w:rFonts w:asciiTheme="minorHAnsi" w:eastAsia="Times New Roman" w:hAnsiTheme="minorHAnsi"/>
                <w:color w:val="000000" w:themeColor="text1"/>
                <w:sz w:val="20"/>
                <w:lang w:val="en-IE" w:eastAsia="en-IE"/>
              </w:rPr>
              <w:t xml:space="preserve"> audit</w:t>
            </w:r>
            <w:r w:rsidR="00E2169A" w:rsidRPr="5F65C223">
              <w:rPr>
                <w:rFonts w:asciiTheme="minorHAnsi" w:eastAsia="Times New Roman" w:hAnsiTheme="minorHAnsi"/>
                <w:color w:val="000000" w:themeColor="text1"/>
                <w:sz w:val="20"/>
                <w:lang w:val="en-IE" w:eastAsia="en-IE"/>
              </w:rPr>
              <w:t xml:space="preserve"> function</w:t>
            </w:r>
            <w:r w:rsidR="00E2169A" w:rsidRPr="5F65C223">
              <w:rPr>
                <w:rFonts w:asciiTheme="minorHAnsi" w:eastAsia="Times New Roman" w:hAnsiTheme="minorHAnsi"/>
                <w:color w:val="000000"/>
                <w:kern w:val="0"/>
                <w:sz w:val="20"/>
                <w:lang w:val="en-IE" w:eastAsia="en-IE"/>
              </w:rPr>
              <w:t>.</w:t>
            </w:r>
          </w:p>
          <w:p w14:paraId="43F70CB8" w14:textId="77777777" w:rsidR="006A4D43" w:rsidRDefault="006A4D43" w:rsidP="00D72CA0">
            <w:pPr>
              <w:spacing w:before="0" w:after="0" w:line="240" w:lineRule="auto"/>
              <w:jc w:val="both"/>
              <w:rPr>
                <w:rFonts w:asciiTheme="minorHAnsi" w:eastAsia="Times New Roman" w:hAnsiTheme="minorHAnsi"/>
                <w:color w:val="000000"/>
                <w:kern w:val="0"/>
                <w:sz w:val="20"/>
                <w:lang w:val="en-IE" w:eastAsia="en-IE"/>
              </w:rPr>
            </w:pPr>
          </w:p>
          <w:p w14:paraId="4B1DEC8F" w14:textId="3DC0C4EF" w:rsidR="006A4D43" w:rsidRPr="00B77CCF" w:rsidRDefault="007B29AC" w:rsidP="00D72CA0">
            <w:pPr>
              <w:spacing w:before="0" w:after="0" w:line="240" w:lineRule="auto"/>
              <w:jc w:val="both"/>
              <w:rPr>
                <w:rFonts w:asciiTheme="minorHAnsi" w:eastAsia="Times New Roman" w:hAnsiTheme="minorHAnsi"/>
                <w:color w:val="000000"/>
                <w:kern w:val="0"/>
                <w:sz w:val="20"/>
                <w:lang w:val="en-IE" w:eastAsia="en-IE"/>
              </w:rPr>
            </w:pPr>
            <w:r>
              <w:rPr>
                <w:rFonts w:asciiTheme="minorHAnsi" w:eastAsia="Times New Roman" w:hAnsiTheme="minorHAnsi"/>
                <w:color w:val="000000"/>
                <w:kern w:val="0"/>
                <w:sz w:val="20"/>
                <w:lang w:eastAsia="en-IE"/>
              </w:rPr>
              <w:t>Indicate</w:t>
            </w:r>
            <w:r w:rsidRPr="00872119">
              <w:rPr>
                <w:rFonts w:asciiTheme="minorHAnsi" w:eastAsia="Times New Roman" w:hAnsiTheme="minorHAnsi"/>
                <w:color w:val="000000"/>
                <w:kern w:val="0"/>
                <w:sz w:val="20"/>
                <w:lang w:eastAsia="en-IE"/>
              </w:rPr>
              <w:t xml:space="preserve"> </w:t>
            </w:r>
            <w:r w:rsidR="006A4D43" w:rsidRPr="00611D7A">
              <w:rPr>
                <w:rFonts w:asciiTheme="minorHAnsi" w:eastAsia="Times New Roman" w:hAnsiTheme="minorHAnsi"/>
                <w:color w:val="000000"/>
                <w:kern w:val="0"/>
                <w:sz w:val="20"/>
                <w:lang w:eastAsia="en-IE"/>
              </w:rPr>
              <w:t>the audit report signing date if available or end of the audit period (report its start in case of an ongoing audit).</w:t>
            </w:r>
          </w:p>
          <w:p w14:paraId="14F86895" w14:textId="62C334B9" w:rsidR="007A7DC6" w:rsidRPr="00B77CCF" w:rsidRDefault="007A7DC6" w:rsidP="007B05F4">
            <w:pPr>
              <w:spacing w:before="0" w:after="0" w:line="240" w:lineRule="auto"/>
              <w:jc w:val="both"/>
              <w:rPr>
                <w:rFonts w:asciiTheme="minorHAnsi" w:eastAsia="Times New Roman" w:hAnsiTheme="minorHAnsi" w:cs="Calibri"/>
                <w:b/>
                <w:bCs/>
                <w:color w:val="000000"/>
                <w:kern w:val="0"/>
                <w:sz w:val="20"/>
                <w:u w:val="single"/>
                <w:lang w:val="en-IE" w:eastAsia="en-IE"/>
              </w:rPr>
            </w:pPr>
          </w:p>
        </w:tc>
      </w:tr>
      <w:tr w:rsidR="00BE1CAD" w:rsidRPr="009B282E" w14:paraId="2E321D2D" w14:textId="77777777" w:rsidTr="00D72CA0">
        <w:tc>
          <w:tcPr>
            <w:tcW w:w="1673" w:type="dxa"/>
            <w:tcBorders>
              <w:top w:val="single" w:sz="4" w:space="0" w:color="auto"/>
              <w:left w:val="single" w:sz="4" w:space="0" w:color="auto"/>
              <w:bottom w:val="single" w:sz="4" w:space="0" w:color="auto"/>
              <w:right w:val="single" w:sz="4" w:space="0" w:color="auto"/>
            </w:tcBorders>
          </w:tcPr>
          <w:p w14:paraId="214AC35A" w14:textId="239BB0FD" w:rsidR="003E691C" w:rsidRPr="009275BC" w:rsidRDefault="00AD6FF1" w:rsidP="00F32516">
            <w:pPr>
              <w:pStyle w:val="InstructionsText"/>
              <w:rPr>
                <w:rStyle w:val="FormatvorlageInstructionsTabelleText"/>
                <w:rFonts w:asciiTheme="minorHAnsi" w:hAnsiTheme="minorHAnsi"/>
              </w:rPr>
            </w:pPr>
            <w:r w:rsidRPr="00A70B3F">
              <w:t>C0160</w:t>
            </w:r>
          </w:p>
        </w:tc>
        <w:tc>
          <w:tcPr>
            <w:tcW w:w="7616" w:type="dxa"/>
            <w:tcBorders>
              <w:top w:val="nil"/>
              <w:left w:val="single" w:sz="4" w:space="0" w:color="000000" w:themeColor="text1"/>
              <w:bottom w:val="single" w:sz="4" w:space="0" w:color="000000" w:themeColor="text1"/>
              <w:right w:val="single" w:sz="4" w:space="0" w:color="000000" w:themeColor="text1"/>
            </w:tcBorders>
          </w:tcPr>
          <w:p w14:paraId="091BF89C" w14:textId="300797B2" w:rsidR="00491899" w:rsidRDefault="00491899" w:rsidP="00D72CA0">
            <w:pPr>
              <w:spacing w:before="0" w:after="0" w:line="240" w:lineRule="auto"/>
              <w:jc w:val="both"/>
              <w:rPr>
                <w:rFonts w:asciiTheme="minorHAnsi" w:eastAsia="Times New Roman" w:hAnsiTheme="minorHAnsi" w:cs="Calibri"/>
                <w:b/>
                <w:color w:val="000000"/>
                <w:kern w:val="0"/>
                <w:sz w:val="20"/>
                <w:u w:val="single"/>
                <w:lang w:val="en-IE" w:eastAsia="en-IE"/>
              </w:rPr>
            </w:pPr>
            <w:r w:rsidRPr="001F6956">
              <w:rPr>
                <w:rFonts w:ascii="Aptos" w:eastAsia="Times New Roman" w:hAnsi="Aptos" w:cs="Calibri"/>
                <w:b/>
                <w:color w:val="000000"/>
                <w:kern w:val="0"/>
                <w:sz w:val="20"/>
                <w:u w:val="single"/>
                <w:lang w:val="en-IE" w:eastAsia="en-IE"/>
              </w:rPr>
              <w:t xml:space="preserve">Last Audit - Suspicious Transaction </w:t>
            </w:r>
            <w:r w:rsidR="00E21667">
              <w:rPr>
                <w:rFonts w:ascii="Aptos" w:eastAsia="Times New Roman" w:hAnsi="Aptos" w:cs="Calibri"/>
                <w:b/>
                <w:color w:val="000000"/>
                <w:kern w:val="0"/>
                <w:sz w:val="20"/>
                <w:u w:val="single"/>
                <w:lang w:val="en-IE" w:eastAsia="en-IE"/>
              </w:rPr>
              <w:t xml:space="preserve">or Activity </w:t>
            </w:r>
            <w:r w:rsidRPr="001F6956">
              <w:rPr>
                <w:rFonts w:ascii="Aptos" w:eastAsia="Times New Roman" w:hAnsi="Aptos" w:cs="Calibri"/>
                <w:b/>
                <w:color w:val="000000"/>
                <w:kern w:val="0"/>
                <w:sz w:val="20"/>
                <w:u w:val="single"/>
                <w:lang w:val="en-IE" w:eastAsia="en-IE"/>
              </w:rPr>
              <w:t>Reporting Procedures</w:t>
            </w:r>
          </w:p>
          <w:p w14:paraId="6E810B6B" w14:textId="094A794B" w:rsidR="00D72CA0" w:rsidRPr="00B77CCF" w:rsidRDefault="00D72CA0" w:rsidP="00D72CA0">
            <w:pPr>
              <w:spacing w:before="0" w:after="0" w:line="240" w:lineRule="auto"/>
              <w:jc w:val="both"/>
              <w:rPr>
                <w:rFonts w:asciiTheme="minorHAnsi" w:eastAsia="Times New Roman" w:hAnsiTheme="minorHAnsi" w:cs="Calibri"/>
                <w:b/>
                <w:color w:val="000000"/>
                <w:kern w:val="0"/>
                <w:sz w:val="20"/>
                <w:u w:val="single"/>
                <w:lang w:val="en-IE" w:eastAsia="en-IE"/>
              </w:rPr>
            </w:pPr>
          </w:p>
          <w:p w14:paraId="679FFBDC" w14:textId="0F863941" w:rsidR="00D72CA0" w:rsidRPr="00B77CCF" w:rsidRDefault="00A834AB" w:rsidP="00D72CA0">
            <w:pPr>
              <w:spacing w:before="0" w:after="0" w:line="240" w:lineRule="auto"/>
              <w:jc w:val="both"/>
              <w:rPr>
                <w:rFonts w:asciiTheme="minorHAnsi" w:eastAsia="Times New Roman" w:hAnsiTheme="minorHAnsi"/>
                <w:color w:val="000000"/>
                <w:kern w:val="0"/>
                <w:sz w:val="20"/>
                <w:lang w:val="en-IE" w:eastAsia="en-IE"/>
              </w:rPr>
            </w:pPr>
            <w:r w:rsidRPr="00BA5B39">
              <w:rPr>
                <w:rFonts w:asciiTheme="minorHAnsi" w:eastAsia="Times New Roman" w:hAnsiTheme="minorHAnsi"/>
                <w:color w:val="000000"/>
                <w:kern w:val="0"/>
                <w:sz w:val="20"/>
                <w:lang w:val="en-IE" w:eastAsia="en-IE"/>
              </w:rPr>
              <w:t xml:space="preserve">Date </w:t>
            </w:r>
            <w:r>
              <w:rPr>
                <w:rFonts w:asciiTheme="minorHAnsi" w:eastAsia="Times New Roman" w:hAnsiTheme="minorHAnsi"/>
                <w:color w:val="000000"/>
                <w:kern w:val="0"/>
                <w:sz w:val="20"/>
                <w:lang w:val="en-IE" w:eastAsia="en-IE"/>
              </w:rPr>
              <w:t xml:space="preserve">of the </w:t>
            </w:r>
            <w:r w:rsidR="004164D1">
              <w:rPr>
                <w:rFonts w:asciiTheme="minorHAnsi" w:eastAsia="Times New Roman" w:hAnsiTheme="minorHAnsi"/>
                <w:color w:val="000000"/>
                <w:kern w:val="0"/>
                <w:sz w:val="20"/>
                <w:lang w:val="en-IE" w:eastAsia="en-IE"/>
              </w:rPr>
              <w:t>latest</w:t>
            </w:r>
            <w:r>
              <w:rPr>
                <w:rFonts w:asciiTheme="minorHAnsi" w:eastAsia="Times New Roman" w:hAnsiTheme="minorHAnsi"/>
                <w:color w:val="000000"/>
                <w:kern w:val="0"/>
                <w:sz w:val="20"/>
                <w:lang w:val="en-IE" w:eastAsia="en-IE"/>
              </w:rPr>
              <w:t xml:space="preserve"> internal audit report assessing </w:t>
            </w:r>
            <w:r w:rsidR="00D72CA0" w:rsidRPr="00B77CCF">
              <w:rPr>
                <w:rFonts w:asciiTheme="minorHAnsi" w:eastAsia="Times New Roman" w:hAnsiTheme="minorHAnsi"/>
                <w:color w:val="000000"/>
                <w:kern w:val="0"/>
                <w:sz w:val="20"/>
                <w:lang w:val="en-IE" w:eastAsia="en-IE"/>
              </w:rPr>
              <w:t xml:space="preserve">the policies and procedures for suspicious transaction </w:t>
            </w:r>
            <w:r w:rsidR="00157D57">
              <w:rPr>
                <w:rFonts w:asciiTheme="minorHAnsi" w:eastAsia="Times New Roman" w:hAnsiTheme="minorHAnsi"/>
                <w:color w:val="000000"/>
                <w:kern w:val="0"/>
                <w:sz w:val="20"/>
                <w:lang w:val="en-IE" w:eastAsia="en-IE"/>
              </w:rPr>
              <w:t>or activity</w:t>
            </w:r>
            <w:r w:rsidR="00D72CA0" w:rsidRPr="00B77CCF">
              <w:rPr>
                <w:rFonts w:asciiTheme="minorHAnsi" w:eastAsia="Times New Roman" w:hAnsiTheme="minorHAnsi"/>
                <w:color w:val="000000"/>
                <w:kern w:val="0"/>
                <w:sz w:val="20"/>
                <w:lang w:val="en-IE" w:eastAsia="en-IE"/>
              </w:rPr>
              <w:t xml:space="preserve"> reporting </w:t>
            </w:r>
            <w:r w:rsidR="00F22E07" w:rsidRPr="7E1DA77F">
              <w:rPr>
                <w:rFonts w:asciiTheme="minorHAnsi" w:eastAsia="Times New Roman" w:hAnsiTheme="minorHAnsi"/>
                <w:color w:val="000000" w:themeColor="text1"/>
                <w:sz w:val="20"/>
                <w:lang w:val="en-IE" w:eastAsia="en-IE"/>
              </w:rPr>
              <w:t xml:space="preserve">– including </w:t>
            </w:r>
            <w:r w:rsidR="00F22E07" w:rsidRPr="42EBAE7A">
              <w:rPr>
                <w:rFonts w:asciiTheme="minorHAnsi" w:eastAsia="Times New Roman" w:hAnsiTheme="minorHAnsi"/>
                <w:color w:val="000000" w:themeColor="text1"/>
                <w:sz w:val="20"/>
                <w:lang w:val="en-IE" w:eastAsia="en-IE"/>
              </w:rPr>
              <w:t xml:space="preserve">tests carried out by an </w:t>
            </w:r>
            <w:r w:rsidR="00F22E07">
              <w:rPr>
                <w:rFonts w:asciiTheme="minorHAnsi" w:eastAsia="Times New Roman" w:hAnsiTheme="minorHAnsi"/>
                <w:color w:val="000000" w:themeColor="text1"/>
                <w:sz w:val="20"/>
                <w:lang w:val="en-IE" w:eastAsia="en-IE"/>
              </w:rPr>
              <w:t>external</w:t>
            </w:r>
            <w:r w:rsidR="00F22E07" w:rsidRPr="42EBAE7A">
              <w:rPr>
                <w:rFonts w:asciiTheme="minorHAnsi" w:eastAsia="Times New Roman" w:hAnsiTheme="minorHAnsi"/>
                <w:color w:val="000000" w:themeColor="text1"/>
                <w:sz w:val="20"/>
                <w:lang w:val="en-IE" w:eastAsia="en-IE"/>
              </w:rPr>
              <w:t xml:space="preserve"> expert </w:t>
            </w:r>
            <w:r w:rsidR="00F22E07" w:rsidRPr="1471CA86">
              <w:rPr>
                <w:rFonts w:asciiTheme="minorHAnsi" w:eastAsia="Times New Roman" w:hAnsiTheme="minorHAnsi"/>
                <w:color w:val="000000" w:themeColor="text1"/>
                <w:sz w:val="20"/>
                <w:lang w:val="en-IE" w:eastAsia="en-IE"/>
              </w:rPr>
              <w:t>as referred to in Article 9</w:t>
            </w:r>
            <w:r w:rsidR="00F22E07" w:rsidRPr="4C1FC6CC">
              <w:rPr>
                <w:rFonts w:asciiTheme="minorHAnsi" w:eastAsia="Times New Roman" w:hAnsiTheme="minorHAnsi"/>
                <w:color w:val="000000" w:themeColor="text1"/>
                <w:sz w:val="20"/>
                <w:lang w:val="en-IE" w:eastAsia="en-IE"/>
              </w:rPr>
              <w:t>(2)(b)</w:t>
            </w:r>
            <w:r w:rsidR="00F22E07">
              <w:rPr>
                <w:rFonts w:asciiTheme="minorHAnsi" w:eastAsia="Times New Roman" w:hAnsiTheme="minorHAnsi"/>
                <w:color w:val="000000" w:themeColor="text1"/>
                <w:sz w:val="20"/>
                <w:lang w:val="en-IE" w:eastAsia="en-IE"/>
              </w:rPr>
              <w:t xml:space="preserve"> AMLR </w:t>
            </w:r>
            <w:r w:rsidR="00F22E07" w:rsidRPr="59450CBB">
              <w:rPr>
                <w:rFonts w:asciiTheme="minorHAnsi" w:eastAsia="Times New Roman" w:hAnsiTheme="minorHAnsi"/>
                <w:color w:val="000000" w:themeColor="text1"/>
                <w:sz w:val="20"/>
                <w:lang w:val="en-IE" w:eastAsia="en-IE"/>
              </w:rPr>
              <w:t xml:space="preserve">in the absence </w:t>
            </w:r>
            <w:r w:rsidR="00F22E07" w:rsidRPr="5F65C223">
              <w:rPr>
                <w:rFonts w:asciiTheme="minorHAnsi" w:eastAsia="Times New Roman" w:hAnsiTheme="minorHAnsi"/>
                <w:color w:val="000000" w:themeColor="text1"/>
                <w:sz w:val="20"/>
                <w:lang w:val="en-IE" w:eastAsia="en-IE"/>
              </w:rPr>
              <w:t>of an independent</w:t>
            </w:r>
            <w:r w:rsidR="00F22E07" w:rsidRPr="7E1DA77F">
              <w:rPr>
                <w:rFonts w:asciiTheme="minorHAnsi" w:eastAsia="Times New Roman" w:hAnsiTheme="minorHAnsi"/>
                <w:color w:val="000000" w:themeColor="text1"/>
                <w:sz w:val="20"/>
                <w:lang w:val="en-IE" w:eastAsia="en-IE"/>
              </w:rPr>
              <w:t xml:space="preserve"> audit</w:t>
            </w:r>
            <w:r w:rsidR="00F22E07" w:rsidRPr="5F65C223">
              <w:rPr>
                <w:rFonts w:asciiTheme="minorHAnsi" w:eastAsia="Times New Roman" w:hAnsiTheme="minorHAnsi"/>
                <w:color w:val="000000" w:themeColor="text1"/>
                <w:sz w:val="20"/>
                <w:lang w:val="en-IE" w:eastAsia="en-IE"/>
              </w:rPr>
              <w:t xml:space="preserve"> function</w:t>
            </w:r>
            <w:r w:rsidR="00F22E07" w:rsidRPr="5F65C223">
              <w:rPr>
                <w:rFonts w:asciiTheme="minorHAnsi" w:eastAsia="Times New Roman" w:hAnsiTheme="minorHAnsi"/>
                <w:color w:val="000000"/>
                <w:kern w:val="0"/>
                <w:sz w:val="20"/>
                <w:lang w:val="en-IE" w:eastAsia="en-IE"/>
              </w:rPr>
              <w:t>.</w:t>
            </w:r>
          </w:p>
          <w:p w14:paraId="303043E2" w14:textId="77777777" w:rsidR="00907527" w:rsidRDefault="00907527" w:rsidP="00D72CA0">
            <w:pPr>
              <w:spacing w:before="0" w:after="0" w:line="240" w:lineRule="auto"/>
              <w:jc w:val="both"/>
              <w:rPr>
                <w:rFonts w:asciiTheme="minorHAnsi" w:eastAsia="Times New Roman" w:hAnsiTheme="minorHAnsi"/>
                <w:color w:val="000000"/>
                <w:kern w:val="0"/>
                <w:sz w:val="20"/>
                <w:lang w:val="en-IE" w:eastAsia="en-IE"/>
              </w:rPr>
            </w:pPr>
          </w:p>
          <w:p w14:paraId="5E392A86" w14:textId="183C8604" w:rsidR="00907527" w:rsidRPr="00B77CCF" w:rsidRDefault="007B29AC" w:rsidP="00D72CA0">
            <w:pPr>
              <w:spacing w:before="0" w:after="0" w:line="240" w:lineRule="auto"/>
              <w:jc w:val="both"/>
              <w:rPr>
                <w:rFonts w:asciiTheme="minorHAnsi" w:eastAsia="Times New Roman" w:hAnsiTheme="minorHAnsi"/>
                <w:color w:val="000000"/>
                <w:kern w:val="0"/>
                <w:sz w:val="20"/>
                <w:lang w:val="en-IE" w:eastAsia="en-IE"/>
              </w:rPr>
            </w:pPr>
            <w:r>
              <w:rPr>
                <w:rFonts w:asciiTheme="minorHAnsi" w:eastAsia="Times New Roman" w:hAnsiTheme="minorHAnsi"/>
                <w:color w:val="000000"/>
                <w:kern w:val="0"/>
                <w:sz w:val="20"/>
                <w:lang w:eastAsia="en-IE"/>
              </w:rPr>
              <w:t>Indicate</w:t>
            </w:r>
            <w:r w:rsidRPr="00872119">
              <w:rPr>
                <w:rFonts w:asciiTheme="minorHAnsi" w:eastAsia="Times New Roman" w:hAnsiTheme="minorHAnsi"/>
                <w:color w:val="000000"/>
                <w:kern w:val="0"/>
                <w:sz w:val="20"/>
                <w:lang w:eastAsia="en-IE"/>
              </w:rPr>
              <w:t xml:space="preserve"> </w:t>
            </w:r>
            <w:r w:rsidR="00907527" w:rsidRPr="00611D7A">
              <w:rPr>
                <w:rFonts w:asciiTheme="minorHAnsi" w:eastAsia="Times New Roman" w:hAnsiTheme="minorHAnsi"/>
                <w:color w:val="000000"/>
                <w:kern w:val="0"/>
                <w:sz w:val="20"/>
                <w:lang w:eastAsia="en-IE"/>
              </w:rPr>
              <w:t xml:space="preserve">the audit report signing date if available or </w:t>
            </w:r>
            <w:r w:rsidR="004164D1" w:rsidRPr="00611D7A">
              <w:rPr>
                <w:rFonts w:asciiTheme="minorHAnsi" w:eastAsia="Times New Roman" w:hAnsiTheme="minorHAnsi"/>
                <w:color w:val="000000"/>
                <w:kern w:val="0"/>
                <w:sz w:val="20"/>
                <w:lang w:eastAsia="en-IE"/>
              </w:rPr>
              <w:t>at the</w:t>
            </w:r>
            <w:r w:rsidR="00907527" w:rsidRPr="00611D7A">
              <w:rPr>
                <w:rFonts w:asciiTheme="minorHAnsi" w:eastAsia="Times New Roman" w:hAnsiTheme="minorHAnsi"/>
                <w:color w:val="000000"/>
                <w:kern w:val="0"/>
                <w:sz w:val="20"/>
                <w:lang w:eastAsia="en-IE"/>
              </w:rPr>
              <w:t xml:space="preserve"> end of the audit period (report its start in case of an ongoing audit).</w:t>
            </w:r>
          </w:p>
          <w:p w14:paraId="4C352751" w14:textId="52A8C76F" w:rsidR="005119A6" w:rsidRPr="00B77CCF" w:rsidRDefault="005119A6" w:rsidP="007B05F4">
            <w:pPr>
              <w:spacing w:before="0" w:after="0" w:line="240" w:lineRule="auto"/>
              <w:jc w:val="both"/>
              <w:rPr>
                <w:rFonts w:asciiTheme="minorHAnsi" w:eastAsia="Times New Roman" w:hAnsiTheme="minorHAnsi" w:cs="Calibri"/>
                <w:b/>
                <w:bCs/>
                <w:color w:val="000000"/>
                <w:kern w:val="0"/>
                <w:sz w:val="20"/>
                <w:u w:val="single"/>
                <w:lang w:val="en-IE" w:eastAsia="en-IE"/>
              </w:rPr>
            </w:pPr>
          </w:p>
        </w:tc>
      </w:tr>
      <w:tr w:rsidR="00BE1CAD" w:rsidRPr="009B282E" w14:paraId="038AE08F" w14:textId="77777777" w:rsidTr="00D72CA0">
        <w:tc>
          <w:tcPr>
            <w:tcW w:w="1673" w:type="dxa"/>
            <w:tcBorders>
              <w:top w:val="single" w:sz="4" w:space="0" w:color="auto"/>
              <w:left w:val="single" w:sz="4" w:space="0" w:color="auto"/>
              <w:bottom w:val="single" w:sz="4" w:space="0" w:color="auto"/>
              <w:right w:val="single" w:sz="4" w:space="0" w:color="auto"/>
            </w:tcBorders>
          </w:tcPr>
          <w:p w14:paraId="349A90D7" w14:textId="3B498377" w:rsidR="008F7FF8" w:rsidRPr="009275BC" w:rsidRDefault="00AD6FF1" w:rsidP="00F32516">
            <w:pPr>
              <w:pStyle w:val="InstructionsText"/>
              <w:rPr>
                <w:rStyle w:val="FormatvorlageInstructionsTabelleText"/>
                <w:rFonts w:asciiTheme="minorHAnsi" w:hAnsiTheme="minorHAnsi"/>
              </w:rPr>
            </w:pPr>
            <w:r w:rsidRPr="00A70B3F">
              <w:t>C0170</w:t>
            </w:r>
          </w:p>
        </w:tc>
        <w:tc>
          <w:tcPr>
            <w:tcW w:w="7616" w:type="dxa"/>
            <w:tcBorders>
              <w:top w:val="nil"/>
              <w:left w:val="single" w:sz="4" w:space="0" w:color="000000" w:themeColor="text1"/>
              <w:bottom w:val="single" w:sz="4" w:space="0" w:color="000000" w:themeColor="text1"/>
              <w:right w:val="single" w:sz="4" w:space="0" w:color="000000" w:themeColor="text1"/>
            </w:tcBorders>
          </w:tcPr>
          <w:p w14:paraId="24ACBC94" w14:textId="33CD160E" w:rsidR="00491899" w:rsidRDefault="00491899" w:rsidP="00D72CA0">
            <w:pPr>
              <w:spacing w:before="0" w:after="0" w:line="240" w:lineRule="auto"/>
              <w:jc w:val="both"/>
              <w:rPr>
                <w:rFonts w:asciiTheme="minorHAnsi" w:eastAsia="Times New Roman" w:hAnsiTheme="minorHAnsi" w:cs="Calibri"/>
                <w:b/>
                <w:color w:val="000000"/>
                <w:kern w:val="0"/>
                <w:sz w:val="20"/>
                <w:u w:val="single"/>
                <w:lang w:val="en-IE" w:eastAsia="en-IE"/>
              </w:rPr>
            </w:pPr>
            <w:r w:rsidRPr="00491899">
              <w:rPr>
                <w:rFonts w:asciiTheme="minorHAnsi" w:eastAsia="Times New Roman" w:hAnsiTheme="minorHAnsi" w:cs="Calibri"/>
                <w:b/>
                <w:color w:val="000000"/>
                <w:kern w:val="0"/>
                <w:sz w:val="20"/>
                <w:u w:val="single"/>
                <w:lang w:val="en-IE" w:eastAsia="en-IE"/>
              </w:rPr>
              <w:t>Last Audit - Record</w:t>
            </w:r>
            <w:r w:rsidR="00770C05">
              <w:rPr>
                <w:rFonts w:asciiTheme="minorHAnsi" w:eastAsia="Times New Roman" w:hAnsiTheme="minorHAnsi" w:cs="Calibri"/>
                <w:b/>
                <w:color w:val="000000"/>
                <w:kern w:val="0"/>
                <w:sz w:val="20"/>
                <w:u w:val="single"/>
                <w:lang w:val="en-IE" w:eastAsia="en-IE"/>
              </w:rPr>
              <w:t>-</w:t>
            </w:r>
            <w:r w:rsidRPr="00491899">
              <w:rPr>
                <w:rFonts w:asciiTheme="minorHAnsi" w:eastAsia="Times New Roman" w:hAnsiTheme="minorHAnsi" w:cs="Calibri"/>
                <w:b/>
                <w:color w:val="000000"/>
                <w:kern w:val="0"/>
                <w:sz w:val="20"/>
                <w:u w:val="single"/>
                <w:lang w:val="en-IE" w:eastAsia="en-IE"/>
              </w:rPr>
              <w:t>keeping Policies and Procedures</w:t>
            </w:r>
          </w:p>
          <w:p w14:paraId="38B729CE" w14:textId="111D1B4B" w:rsidR="00D72CA0" w:rsidRPr="00B77CCF" w:rsidRDefault="00D72CA0" w:rsidP="00D72CA0">
            <w:pPr>
              <w:spacing w:before="0" w:after="0" w:line="240" w:lineRule="auto"/>
              <w:jc w:val="both"/>
              <w:rPr>
                <w:rFonts w:asciiTheme="minorHAnsi" w:eastAsia="Times New Roman" w:hAnsiTheme="minorHAnsi" w:cs="Calibri"/>
                <w:b/>
                <w:color w:val="000000"/>
                <w:kern w:val="0"/>
                <w:sz w:val="20"/>
                <w:u w:val="single"/>
                <w:lang w:val="en-IE" w:eastAsia="en-IE"/>
              </w:rPr>
            </w:pPr>
          </w:p>
          <w:p w14:paraId="65CB9CA0" w14:textId="1392178B" w:rsidR="00D72CA0" w:rsidRPr="00BA5B39" w:rsidRDefault="00A834AB" w:rsidP="00D72CA0">
            <w:pPr>
              <w:spacing w:before="0" w:after="0" w:line="240" w:lineRule="auto"/>
              <w:jc w:val="both"/>
              <w:rPr>
                <w:rFonts w:asciiTheme="minorHAnsi" w:eastAsia="Times New Roman" w:hAnsiTheme="minorHAnsi"/>
                <w:color w:val="000000"/>
                <w:kern w:val="0"/>
                <w:sz w:val="20"/>
                <w:lang w:val="en-IE" w:eastAsia="en-IE"/>
              </w:rPr>
            </w:pPr>
            <w:r w:rsidRPr="00BA5B39">
              <w:rPr>
                <w:rFonts w:asciiTheme="minorHAnsi" w:eastAsia="Times New Roman" w:hAnsiTheme="minorHAnsi"/>
                <w:color w:val="000000"/>
                <w:kern w:val="0"/>
                <w:sz w:val="20"/>
                <w:lang w:val="en-IE" w:eastAsia="en-IE"/>
              </w:rPr>
              <w:t xml:space="preserve">Date </w:t>
            </w:r>
            <w:r>
              <w:rPr>
                <w:rFonts w:asciiTheme="minorHAnsi" w:eastAsia="Times New Roman" w:hAnsiTheme="minorHAnsi"/>
                <w:color w:val="000000"/>
                <w:kern w:val="0"/>
                <w:sz w:val="20"/>
                <w:lang w:val="en-IE" w:eastAsia="en-IE"/>
              </w:rPr>
              <w:t xml:space="preserve">of the lastest internal audit report assessing </w:t>
            </w:r>
            <w:r w:rsidR="00D72CA0" w:rsidRPr="00BA5B39">
              <w:rPr>
                <w:rFonts w:asciiTheme="minorHAnsi" w:eastAsia="Times New Roman" w:hAnsiTheme="minorHAnsi"/>
                <w:color w:val="000000"/>
                <w:kern w:val="0"/>
                <w:sz w:val="20"/>
                <w:lang w:val="en-IE" w:eastAsia="en-IE"/>
              </w:rPr>
              <w:t>the record</w:t>
            </w:r>
            <w:r w:rsidR="00D72CA0">
              <w:rPr>
                <w:rFonts w:asciiTheme="minorHAnsi" w:eastAsia="Times New Roman" w:hAnsiTheme="minorHAnsi"/>
                <w:color w:val="000000"/>
                <w:kern w:val="0"/>
                <w:sz w:val="20"/>
                <w:lang w:val="en-IE" w:eastAsia="en-IE"/>
              </w:rPr>
              <w:t>-</w:t>
            </w:r>
            <w:r w:rsidR="00D72CA0" w:rsidRPr="00BA5B39">
              <w:rPr>
                <w:rFonts w:asciiTheme="minorHAnsi" w:eastAsia="Times New Roman" w:hAnsiTheme="minorHAnsi"/>
                <w:color w:val="000000"/>
                <w:kern w:val="0"/>
                <w:sz w:val="20"/>
                <w:lang w:val="en-IE" w:eastAsia="en-IE"/>
              </w:rPr>
              <w:t xml:space="preserve">keeping policies and procedures </w:t>
            </w:r>
            <w:r w:rsidR="00F22E07" w:rsidRPr="7E1DA77F">
              <w:rPr>
                <w:rFonts w:asciiTheme="minorHAnsi" w:eastAsia="Times New Roman" w:hAnsiTheme="minorHAnsi"/>
                <w:color w:val="000000" w:themeColor="text1"/>
                <w:sz w:val="20"/>
                <w:lang w:val="en-IE" w:eastAsia="en-IE"/>
              </w:rPr>
              <w:t xml:space="preserve">– including </w:t>
            </w:r>
            <w:r w:rsidR="00F22E07" w:rsidRPr="42EBAE7A">
              <w:rPr>
                <w:rFonts w:asciiTheme="minorHAnsi" w:eastAsia="Times New Roman" w:hAnsiTheme="minorHAnsi"/>
                <w:color w:val="000000" w:themeColor="text1"/>
                <w:sz w:val="20"/>
                <w:lang w:val="en-IE" w:eastAsia="en-IE"/>
              </w:rPr>
              <w:t xml:space="preserve">tests carried out by an </w:t>
            </w:r>
            <w:r w:rsidR="00F22E07">
              <w:rPr>
                <w:rFonts w:asciiTheme="minorHAnsi" w:eastAsia="Times New Roman" w:hAnsiTheme="minorHAnsi"/>
                <w:color w:val="000000" w:themeColor="text1"/>
                <w:sz w:val="20"/>
                <w:lang w:val="en-IE" w:eastAsia="en-IE"/>
              </w:rPr>
              <w:t>external</w:t>
            </w:r>
            <w:r w:rsidR="00F22E07" w:rsidRPr="42EBAE7A">
              <w:rPr>
                <w:rFonts w:asciiTheme="minorHAnsi" w:eastAsia="Times New Roman" w:hAnsiTheme="minorHAnsi"/>
                <w:color w:val="000000" w:themeColor="text1"/>
                <w:sz w:val="20"/>
                <w:lang w:val="en-IE" w:eastAsia="en-IE"/>
              </w:rPr>
              <w:t xml:space="preserve"> expert </w:t>
            </w:r>
            <w:r w:rsidR="00F22E07" w:rsidRPr="1471CA86">
              <w:rPr>
                <w:rFonts w:asciiTheme="minorHAnsi" w:eastAsia="Times New Roman" w:hAnsiTheme="minorHAnsi"/>
                <w:color w:val="000000" w:themeColor="text1"/>
                <w:sz w:val="20"/>
                <w:lang w:val="en-IE" w:eastAsia="en-IE"/>
              </w:rPr>
              <w:t>as referred to in Article 9</w:t>
            </w:r>
            <w:r w:rsidR="00F22E07" w:rsidRPr="4C1FC6CC">
              <w:rPr>
                <w:rFonts w:asciiTheme="minorHAnsi" w:eastAsia="Times New Roman" w:hAnsiTheme="minorHAnsi"/>
                <w:color w:val="000000" w:themeColor="text1"/>
                <w:sz w:val="20"/>
                <w:lang w:val="en-IE" w:eastAsia="en-IE"/>
              </w:rPr>
              <w:t>(2)(b)</w:t>
            </w:r>
            <w:r w:rsidR="00F22E07">
              <w:rPr>
                <w:rFonts w:asciiTheme="minorHAnsi" w:eastAsia="Times New Roman" w:hAnsiTheme="minorHAnsi"/>
                <w:color w:val="000000" w:themeColor="text1"/>
                <w:sz w:val="20"/>
                <w:lang w:val="en-IE" w:eastAsia="en-IE"/>
              </w:rPr>
              <w:t xml:space="preserve"> AMLR </w:t>
            </w:r>
            <w:r w:rsidR="00F22E07" w:rsidRPr="59450CBB">
              <w:rPr>
                <w:rFonts w:asciiTheme="minorHAnsi" w:eastAsia="Times New Roman" w:hAnsiTheme="minorHAnsi"/>
                <w:color w:val="000000" w:themeColor="text1"/>
                <w:sz w:val="20"/>
                <w:lang w:val="en-IE" w:eastAsia="en-IE"/>
              </w:rPr>
              <w:t xml:space="preserve">in the absence </w:t>
            </w:r>
            <w:r w:rsidR="00F22E07" w:rsidRPr="5F65C223">
              <w:rPr>
                <w:rFonts w:asciiTheme="minorHAnsi" w:eastAsia="Times New Roman" w:hAnsiTheme="minorHAnsi"/>
                <w:color w:val="000000" w:themeColor="text1"/>
                <w:sz w:val="20"/>
                <w:lang w:val="en-IE" w:eastAsia="en-IE"/>
              </w:rPr>
              <w:t>of an independent</w:t>
            </w:r>
            <w:r w:rsidR="00F22E07" w:rsidRPr="7E1DA77F">
              <w:rPr>
                <w:rFonts w:asciiTheme="minorHAnsi" w:eastAsia="Times New Roman" w:hAnsiTheme="minorHAnsi"/>
                <w:color w:val="000000" w:themeColor="text1"/>
                <w:sz w:val="20"/>
                <w:lang w:val="en-IE" w:eastAsia="en-IE"/>
              </w:rPr>
              <w:t xml:space="preserve"> audit</w:t>
            </w:r>
            <w:r w:rsidR="00F22E07" w:rsidRPr="5F65C223">
              <w:rPr>
                <w:rFonts w:asciiTheme="minorHAnsi" w:eastAsia="Times New Roman" w:hAnsiTheme="minorHAnsi"/>
                <w:color w:val="000000" w:themeColor="text1"/>
                <w:sz w:val="20"/>
                <w:lang w:val="en-IE" w:eastAsia="en-IE"/>
              </w:rPr>
              <w:t xml:space="preserve"> function</w:t>
            </w:r>
            <w:r w:rsidR="00F22E07" w:rsidRPr="5F65C223">
              <w:rPr>
                <w:rFonts w:asciiTheme="minorHAnsi" w:eastAsia="Times New Roman" w:hAnsiTheme="minorHAnsi"/>
                <w:color w:val="000000"/>
                <w:kern w:val="0"/>
                <w:sz w:val="20"/>
                <w:lang w:val="en-IE" w:eastAsia="en-IE"/>
              </w:rPr>
              <w:t>.</w:t>
            </w:r>
          </w:p>
          <w:p w14:paraId="3D0E4793" w14:textId="77777777" w:rsidR="00907527" w:rsidRDefault="00907527" w:rsidP="00D72CA0">
            <w:pPr>
              <w:spacing w:before="0" w:after="0" w:line="240" w:lineRule="auto"/>
              <w:jc w:val="both"/>
              <w:rPr>
                <w:rFonts w:asciiTheme="minorHAnsi" w:eastAsia="Times New Roman" w:hAnsiTheme="minorHAnsi"/>
                <w:color w:val="000000"/>
                <w:kern w:val="0"/>
                <w:sz w:val="20"/>
                <w:lang w:val="en-IE" w:eastAsia="en-IE"/>
              </w:rPr>
            </w:pPr>
          </w:p>
          <w:p w14:paraId="1E6B6D9B" w14:textId="669DE4FE" w:rsidR="00907527" w:rsidRPr="00F756C2" w:rsidRDefault="007B29AC" w:rsidP="00D72CA0">
            <w:pPr>
              <w:spacing w:before="0" w:after="0" w:line="240" w:lineRule="auto"/>
              <w:jc w:val="both"/>
              <w:rPr>
                <w:rFonts w:asciiTheme="minorHAnsi" w:eastAsia="Times New Roman" w:hAnsiTheme="minorHAnsi"/>
                <w:color w:val="000000"/>
                <w:kern w:val="0"/>
                <w:sz w:val="20"/>
                <w:lang w:eastAsia="en-IE"/>
              </w:rPr>
            </w:pPr>
            <w:r>
              <w:rPr>
                <w:rFonts w:asciiTheme="minorHAnsi" w:eastAsia="Times New Roman" w:hAnsiTheme="minorHAnsi"/>
                <w:color w:val="000000"/>
                <w:kern w:val="0"/>
                <w:sz w:val="20"/>
                <w:lang w:eastAsia="en-IE"/>
              </w:rPr>
              <w:t>Indicate</w:t>
            </w:r>
            <w:r w:rsidRPr="00872119">
              <w:rPr>
                <w:rFonts w:asciiTheme="minorHAnsi" w:eastAsia="Times New Roman" w:hAnsiTheme="minorHAnsi"/>
                <w:color w:val="000000"/>
                <w:kern w:val="0"/>
                <w:sz w:val="20"/>
                <w:lang w:eastAsia="en-IE"/>
              </w:rPr>
              <w:t xml:space="preserve"> </w:t>
            </w:r>
            <w:r w:rsidR="00907527" w:rsidRPr="00611D7A">
              <w:rPr>
                <w:rFonts w:asciiTheme="minorHAnsi" w:eastAsia="Times New Roman" w:hAnsiTheme="minorHAnsi"/>
                <w:color w:val="000000"/>
                <w:kern w:val="0"/>
                <w:sz w:val="20"/>
                <w:lang w:eastAsia="en-IE"/>
              </w:rPr>
              <w:t>the audit report signing date if available or end of the audit period (report its start in case of an ongoing audit).</w:t>
            </w:r>
          </w:p>
          <w:p w14:paraId="28B359DB" w14:textId="06C2EFE9" w:rsidR="006B7937" w:rsidRPr="00B77CCF" w:rsidRDefault="006B7937" w:rsidP="007B05F4">
            <w:pPr>
              <w:spacing w:before="0" w:after="0" w:line="240" w:lineRule="auto"/>
              <w:jc w:val="both"/>
              <w:rPr>
                <w:rFonts w:asciiTheme="minorHAnsi" w:eastAsia="Times New Roman" w:hAnsiTheme="minorHAnsi"/>
                <w:color w:val="000000"/>
                <w:kern w:val="0"/>
                <w:sz w:val="20"/>
                <w:lang w:val="en-IE" w:eastAsia="en-IE"/>
              </w:rPr>
            </w:pPr>
          </w:p>
        </w:tc>
      </w:tr>
      <w:tr w:rsidR="00BE1CAD" w:rsidRPr="009B282E" w14:paraId="1BA15C59" w14:textId="77777777" w:rsidTr="00D72CA0">
        <w:tc>
          <w:tcPr>
            <w:tcW w:w="1673" w:type="dxa"/>
            <w:tcBorders>
              <w:top w:val="single" w:sz="4" w:space="0" w:color="auto"/>
              <w:left w:val="single" w:sz="4" w:space="0" w:color="auto"/>
              <w:bottom w:val="single" w:sz="4" w:space="0" w:color="auto"/>
              <w:right w:val="single" w:sz="4" w:space="0" w:color="auto"/>
            </w:tcBorders>
          </w:tcPr>
          <w:p w14:paraId="0614BEDC" w14:textId="13A38672" w:rsidR="003E691C" w:rsidRPr="009275BC" w:rsidRDefault="00AD6FF1" w:rsidP="00F32516">
            <w:pPr>
              <w:pStyle w:val="InstructionsText"/>
              <w:rPr>
                <w:rStyle w:val="FormatvorlageInstructionsTabelleText"/>
                <w:rFonts w:asciiTheme="minorHAnsi" w:hAnsiTheme="minorHAnsi"/>
              </w:rPr>
            </w:pPr>
            <w:r w:rsidRPr="00A70B3F">
              <w:t>C0180</w:t>
            </w:r>
          </w:p>
        </w:tc>
        <w:tc>
          <w:tcPr>
            <w:tcW w:w="7616" w:type="dxa"/>
            <w:tcBorders>
              <w:top w:val="nil"/>
              <w:left w:val="single" w:sz="4" w:space="0" w:color="000000" w:themeColor="text1"/>
              <w:bottom w:val="single" w:sz="4" w:space="0" w:color="000000" w:themeColor="text1"/>
              <w:right w:val="single" w:sz="4" w:space="0" w:color="000000" w:themeColor="text1"/>
            </w:tcBorders>
          </w:tcPr>
          <w:p w14:paraId="3B7C4AB8" w14:textId="7CF0DB2D" w:rsidR="00491899" w:rsidRDefault="00491899" w:rsidP="00D72CA0">
            <w:pPr>
              <w:spacing w:before="0" w:after="0" w:line="240" w:lineRule="auto"/>
              <w:jc w:val="both"/>
              <w:rPr>
                <w:rFonts w:asciiTheme="minorHAnsi" w:eastAsia="Times New Roman" w:hAnsiTheme="minorHAnsi" w:cs="Calibri"/>
                <w:b/>
                <w:color w:val="000000"/>
                <w:kern w:val="0"/>
                <w:sz w:val="20"/>
                <w:u w:val="single"/>
                <w:lang w:val="en-IE" w:eastAsia="en-IE"/>
              </w:rPr>
            </w:pPr>
            <w:r w:rsidRPr="00A726C3">
              <w:rPr>
                <w:rFonts w:ascii="Aptos" w:eastAsia="Times New Roman" w:hAnsi="Aptos" w:cs="Calibri"/>
                <w:b/>
                <w:color w:val="000000"/>
                <w:kern w:val="0"/>
                <w:sz w:val="20"/>
                <w:u w:val="single"/>
                <w:lang w:val="en-IE" w:eastAsia="en-IE"/>
              </w:rPr>
              <w:t>Last Audit - Resource</w:t>
            </w:r>
            <w:r w:rsidR="00A726C3">
              <w:rPr>
                <w:rFonts w:ascii="Aptos" w:eastAsia="Times New Roman" w:hAnsi="Aptos" w:cs="Calibri"/>
                <w:b/>
                <w:color w:val="000000"/>
                <w:kern w:val="0"/>
                <w:sz w:val="20"/>
                <w:u w:val="single"/>
                <w:lang w:val="en-IE" w:eastAsia="en-IE"/>
              </w:rPr>
              <w:t>s</w:t>
            </w:r>
            <w:r w:rsidRPr="00A726C3">
              <w:rPr>
                <w:rFonts w:ascii="Aptos" w:eastAsia="Times New Roman" w:hAnsi="Aptos" w:cs="Calibri"/>
                <w:b/>
                <w:color w:val="000000"/>
                <w:kern w:val="0"/>
                <w:sz w:val="20"/>
                <w:u w:val="single"/>
                <w:lang w:val="en-IE" w:eastAsia="en-IE"/>
              </w:rPr>
              <w:t xml:space="preserve"> </w:t>
            </w:r>
            <w:r w:rsidR="00A726C3">
              <w:rPr>
                <w:rFonts w:ascii="Aptos" w:eastAsia="Times New Roman" w:hAnsi="Aptos" w:cs="Calibri"/>
                <w:b/>
                <w:color w:val="000000"/>
                <w:kern w:val="0"/>
                <w:sz w:val="20"/>
                <w:u w:val="single"/>
                <w:lang w:val="en-IE" w:eastAsia="en-IE"/>
              </w:rPr>
              <w:t>d</w:t>
            </w:r>
            <w:r w:rsidRPr="00A726C3">
              <w:rPr>
                <w:rFonts w:ascii="Aptos" w:eastAsia="Times New Roman" w:hAnsi="Aptos" w:cs="Calibri"/>
                <w:b/>
                <w:color w:val="000000"/>
                <w:kern w:val="0"/>
                <w:sz w:val="20"/>
                <w:u w:val="single"/>
                <w:lang w:val="en-IE" w:eastAsia="en-IE"/>
              </w:rPr>
              <w:t>edicated to AML/CFT</w:t>
            </w:r>
          </w:p>
          <w:p w14:paraId="0F54DCC6" w14:textId="11CB3350" w:rsidR="00D72CA0" w:rsidRPr="00B77CCF" w:rsidRDefault="00D72CA0" w:rsidP="00D72CA0">
            <w:pPr>
              <w:spacing w:before="0" w:after="0" w:line="240" w:lineRule="auto"/>
              <w:jc w:val="both"/>
              <w:rPr>
                <w:rFonts w:asciiTheme="minorHAnsi" w:eastAsia="Times New Roman" w:hAnsiTheme="minorHAnsi" w:cs="Calibri"/>
                <w:b/>
                <w:color w:val="000000"/>
                <w:kern w:val="0"/>
                <w:sz w:val="20"/>
                <w:u w:val="single"/>
                <w:lang w:val="en-IE" w:eastAsia="en-IE"/>
              </w:rPr>
            </w:pPr>
          </w:p>
          <w:p w14:paraId="45A65179" w14:textId="4E91C26D" w:rsidR="00D72CA0" w:rsidRPr="00B77CCF" w:rsidRDefault="00A834AB" w:rsidP="00D72CA0">
            <w:pPr>
              <w:spacing w:before="0" w:after="0" w:line="240" w:lineRule="auto"/>
              <w:jc w:val="both"/>
              <w:rPr>
                <w:rFonts w:asciiTheme="minorHAnsi" w:eastAsia="Times New Roman" w:hAnsiTheme="minorHAnsi"/>
                <w:color w:val="000000"/>
                <w:kern w:val="0"/>
                <w:sz w:val="20"/>
                <w:lang w:val="en-IE" w:eastAsia="en-IE"/>
              </w:rPr>
            </w:pPr>
            <w:r w:rsidRPr="00BA5B39">
              <w:rPr>
                <w:rFonts w:asciiTheme="minorHAnsi" w:eastAsia="Times New Roman" w:hAnsiTheme="minorHAnsi"/>
                <w:color w:val="000000"/>
                <w:kern w:val="0"/>
                <w:sz w:val="20"/>
                <w:lang w:val="en-IE" w:eastAsia="en-IE"/>
              </w:rPr>
              <w:t xml:space="preserve">Date </w:t>
            </w:r>
            <w:r>
              <w:rPr>
                <w:rFonts w:asciiTheme="minorHAnsi" w:eastAsia="Times New Roman" w:hAnsiTheme="minorHAnsi"/>
                <w:color w:val="000000"/>
                <w:kern w:val="0"/>
                <w:sz w:val="20"/>
                <w:lang w:val="en-IE" w:eastAsia="en-IE"/>
              </w:rPr>
              <w:t xml:space="preserve">of the lastest internal audit report assessing </w:t>
            </w:r>
            <w:r w:rsidR="00D72CA0" w:rsidRPr="00B77CCF">
              <w:rPr>
                <w:rFonts w:asciiTheme="minorHAnsi" w:eastAsia="Times New Roman" w:hAnsiTheme="minorHAnsi"/>
                <w:color w:val="000000"/>
                <w:kern w:val="0"/>
                <w:sz w:val="20"/>
                <w:lang w:val="en-IE" w:eastAsia="en-IE"/>
              </w:rPr>
              <w:t xml:space="preserve">the </w:t>
            </w:r>
            <w:r w:rsidR="00335282">
              <w:rPr>
                <w:rFonts w:asciiTheme="minorHAnsi" w:eastAsia="Times New Roman" w:hAnsiTheme="minorHAnsi"/>
                <w:color w:val="000000"/>
                <w:kern w:val="0"/>
                <w:sz w:val="20"/>
                <w:lang w:val="en-IE" w:eastAsia="en-IE"/>
              </w:rPr>
              <w:t xml:space="preserve">human and material </w:t>
            </w:r>
            <w:r w:rsidR="00D72CA0" w:rsidRPr="00B77CCF">
              <w:rPr>
                <w:rFonts w:asciiTheme="minorHAnsi" w:eastAsia="Times New Roman" w:hAnsiTheme="minorHAnsi"/>
                <w:color w:val="000000"/>
                <w:kern w:val="0"/>
                <w:sz w:val="20"/>
                <w:lang w:val="en-IE" w:eastAsia="en-IE"/>
              </w:rPr>
              <w:t xml:space="preserve">resources dedicated to AML/CFT </w:t>
            </w:r>
            <w:r w:rsidR="00F22E07" w:rsidRPr="7E1DA77F">
              <w:rPr>
                <w:rFonts w:asciiTheme="minorHAnsi" w:eastAsia="Times New Roman" w:hAnsiTheme="minorHAnsi"/>
                <w:color w:val="000000" w:themeColor="text1"/>
                <w:sz w:val="20"/>
                <w:lang w:val="en-IE" w:eastAsia="en-IE"/>
              </w:rPr>
              <w:t xml:space="preserve">– including </w:t>
            </w:r>
            <w:r w:rsidR="00F22E07" w:rsidRPr="42EBAE7A">
              <w:rPr>
                <w:rFonts w:asciiTheme="minorHAnsi" w:eastAsia="Times New Roman" w:hAnsiTheme="minorHAnsi"/>
                <w:color w:val="000000" w:themeColor="text1"/>
                <w:sz w:val="20"/>
                <w:lang w:val="en-IE" w:eastAsia="en-IE"/>
              </w:rPr>
              <w:t xml:space="preserve">tests carried out by an </w:t>
            </w:r>
            <w:r w:rsidR="00F22E07">
              <w:rPr>
                <w:rFonts w:asciiTheme="minorHAnsi" w:eastAsia="Times New Roman" w:hAnsiTheme="minorHAnsi"/>
                <w:color w:val="000000" w:themeColor="text1"/>
                <w:sz w:val="20"/>
                <w:lang w:val="en-IE" w:eastAsia="en-IE"/>
              </w:rPr>
              <w:t>external</w:t>
            </w:r>
            <w:r w:rsidR="00F22E07" w:rsidRPr="42EBAE7A">
              <w:rPr>
                <w:rFonts w:asciiTheme="minorHAnsi" w:eastAsia="Times New Roman" w:hAnsiTheme="minorHAnsi"/>
                <w:color w:val="000000" w:themeColor="text1"/>
                <w:sz w:val="20"/>
                <w:lang w:val="en-IE" w:eastAsia="en-IE"/>
              </w:rPr>
              <w:t xml:space="preserve"> expert </w:t>
            </w:r>
            <w:r w:rsidR="00F22E07" w:rsidRPr="1471CA86">
              <w:rPr>
                <w:rFonts w:asciiTheme="minorHAnsi" w:eastAsia="Times New Roman" w:hAnsiTheme="minorHAnsi"/>
                <w:color w:val="000000" w:themeColor="text1"/>
                <w:sz w:val="20"/>
                <w:lang w:val="en-IE" w:eastAsia="en-IE"/>
              </w:rPr>
              <w:t>as referred to in Article 9</w:t>
            </w:r>
            <w:r w:rsidR="00F22E07" w:rsidRPr="4C1FC6CC">
              <w:rPr>
                <w:rFonts w:asciiTheme="minorHAnsi" w:eastAsia="Times New Roman" w:hAnsiTheme="minorHAnsi"/>
                <w:color w:val="000000" w:themeColor="text1"/>
                <w:sz w:val="20"/>
                <w:lang w:val="en-IE" w:eastAsia="en-IE"/>
              </w:rPr>
              <w:t>(2)(b)</w:t>
            </w:r>
            <w:r w:rsidR="00F22E07">
              <w:rPr>
                <w:rFonts w:asciiTheme="minorHAnsi" w:eastAsia="Times New Roman" w:hAnsiTheme="minorHAnsi"/>
                <w:color w:val="000000" w:themeColor="text1"/>
                <w:sz w:val="20"/>
                <w:lang w:val="en-IE" w:eastAsia="en-IE"/>
              </w:rPr>
              <w:t xml:space="preserve"> AMLR </w:t>
            </w:r>
            <w:r w:rsidR="00F22E07" w:rsidRPr="59450CBB">
              <w:rPr>
                <w:rFonts w:asciiTheme="minorHAnsi" w:eastAsia="Times New Roman" w:hAnsiTheme="minorHAnsi"/>
                <w:color w:val="000000" w:themeColor="text1"/>
                <w:sz w:val="20"/>
                <w:lang w:val="en-IE" w:eastAsia="en-IE"/>
              </w:rPr>
              <w:t xml:space="preserve">in the absence </w:t>
            </w:r>
            <w:r w:rsidR="00F22E07" w:rsidRPr="5F65C223">
              <w:rPr>
                <w:rFonts w:asciiTheme="minorHAnsi" w:eastAsia="Times New Roman" w:hAnsiTheme="minorHAnsi"/>
                <w:color w:val="000000" w:themeColor="text1"/>
                <w:sz w:val="20"/>
                <w:lang w:val="en-IE" w:eastAsia="en-IE"/>
              </w:rPr>
              <w:t>of an independent</w:t>
            </w:r>
            <w:r w:rsidR="00F22E07" w:rsidRPr="7E1DA77F">
              <w:rPr>
                <w:rFonts w:asciiTheme="minorHAnsi" w:eastAsia="Times New Roman" w:hAnsiTheme="minorHAnsi"/>
                <w:color w:val="000000" w:themeColor="text1"/>
                <w:sz w:val="20"/>
                <w:lang w:val="en-IE" w:eastAsia="en-IE"/>
              </w:rPr>
              <w:t xml:space="preserve"> audit</w:t>
            </w:r>
            <w:r w:rsidR="00F22E07" w:rsidRPr="5F65C223">
              <w:rPr>
                <w:rFonts w:asciiTheme="minorHAnsi" w:eastAsia="Times New Roman" w:hAnsiTheme="minorHAnsi"/>
                <w:color w:val="000000" w:themeColor="text1"/>
                <w:sz w:val="20"/>
                <w:lang w:val="en-IE" w:eastAsia="en-IE"/>
              </w:rPr>
              <w:t xml:space="preserve"> function</w:t>
            </w:r>
            <w:r w:rsidR="00F22E07" w:rsidRPr="5F65C223">
              <w:rPr>
                <w:rFonts w:asciiTheme="minorHAnsi" w:eastAsia="Times New Roman" w:hAnsiTheme="minorHAnsi"/>
                <w:color w:val="000000"/>
                <w:kern w:val="0"/>
                <w:sz w:val="20"/>
                <w:lang w:val="en-IE" w:eastAsia="en-IE"/>
              </w:rPr>
              <w:t>.</w:t>
            </w:r>
          </w:p>
          <w:p w14:paraId="5FAA62E4" w14:textId="77777777" w:rsidR="00907527" w:rsidRDefault="00907527" w:rsidP="00D72CA0">
            <w:pPr>
              <w:spacing w:before="0" w:after="0" w:line="240" w:lineRule="auto"/>
              <w:jc w:val="both"/>
              <w:rPr>
                <w:rFonts w:asciiTheme="minorHAnsi" w:eastAsia="Times New Roman" w:hAnsiTheme="minorHAnsi"/>
                <w:color w:val="000000"/>
                <w:kern w:val="0"/>
                <w:sz w:val="20"/>
                <w:lang w:val="en-IE" w:eastAsia="en-IE"/>
              </w:rPr>
            </w:pPr>
          </w:p>
          <w:p w14:paraId="49E8E30F" w14:textId="23C7991A" w:rsidR="00907527" w:rsidRPr="00B77CCF" w:rsidRDefault="007B29AC" w:rsidP="00D72CA0">
            <w:pPr>
              <w:spacing w:before="0" w:after="0" w:line="240" w:lineRule="auto"/>
              <w:jc w:val="both"/>
              <w:rPr>
                <w:rFonts w:asciiTheme="minorHAnsi" w:eastAsia="Times New Roman" w:hAnsiTheme="minorHAnsi"/>
                <w:color w:val="000000"/>
                <w:kern w:val="0"/>
                <w:sz w:val="20"/>
                <w:lang w:val="en-IE" w:eastAsia="en-IE"/>
              </w:rPr>
            </w:pPr>
            <w:r>
              <w:rPr>
                <w:rFonts w:asciiTheme="minorHAnsi" w:eastAsia="Times New Roman" w:hAnsiTheme="minorHAnsi"/>
                <w:color w:val="000000"/>
                <w:kern w:val="0"/>
                <w:sz w:val="20"/>
                <w:lang w:eastAsia="en-IE"/>
              </w:rPr>
              <w:t>Indicate</w:t>
            </w:r>
            <w:r w:rsidRPr="00872119">
              <w:rPr>
                <w:rFonts w:asciiTheme="minorHAnsi" w:eastAsia="Times New Roman" w:hAnsiTheme="minorHAnsi"/>
                <w:color w:val="000000"/>
                <w:kern w:val="0"/>
                <w:sz w:val="20"/>
                <w:lang w:eastAsia="en-IE"/>
              </w:rPr>
              <w:t xml:space="preserve"> </w:t>
            </w:r>
            <w:r w:rsidR="00907527" w:rsidRPr="00611D7A">
              <w:rPr>
                <w:rFonts w:asciiTheme="minorHAnsi" w:eastAsia="Times New Roman" w:hAnsiTheme="minorHAnsi"/>
                <w:color w:val="000000"/>
                <w:kern w:val="0"/>
                <w:sz w:val="20"/>
                <w:lang w:eastAsia="en-IE"/>
              </w:rPr>
              <w:t xml:space="preserve">the audit report signing date if available or </w:t>
            </w:r>
            <w:r w:rsidR="004164D1" w:rsidRPr="00611D7A">
              <w:rPr>
                <w:rFonts w:asciiTheme="minorHAnsi" w:eastAsia="Times New Roman" w:hAnsiTheme="minorHAnsi"/>
                <w:color w:val="000000"/>
                <w:kern w:val="0"/>
                <w:sz w:val="20"/>
                <w:lang w:eastAsia="en-IE"/>
              </w:rPr>
              <w:t>at the</w:t>
            </w:r>
            <w:r w:rsidR="00907527" w:rsidRPr="00611D7A">
              <w:rPr>
                <w:rFonts w:asciiTheme="minorHAnsi" w:eastAsia="Times New Roman" w:hAnsiTheme="minorHAnsi"/>
                <w:color w:val="000000"/>
                <w:kern w:val="0"/>
                <w:sz w:val="20"/>
                <w:lang w:eastAsia="en-IE"/>
              </w:rPr>
              <w:t xml:space="preserve"> end of the audit period (report its start in case of an ongoing audit).</w:t>
            </w:r>
          </w:p>
          <w:p w14:paraId="64EAB7FD" w14:textId="4C8E3587" w:rsidR="00E65E63" w:rsidRPr="00B77CCF" w:rsidRDefault="00E65E63" w:rsidP="007B05F4">
            <w:pPr>
              <w:spacing w:before="0" w:after="0" w:line="240" w:lineRule="auto"/>
              <w:jc w:val="both"/>
              <w:rPr>
                <w:rFonts w:asciiTheme="minorHAnsi" w:eastAsia="Times New Roman" w:hAnsiTheme="minorHAnsi" w:cs="Calibri"/>
                <w:b/>
                <w:bCs/>
                <w:color w:val="000000"/>
                <w:kern w:val="0"/>
                <w:sz w:val="20"/>
                <w:u w:val="single"/>
                <w:lang w:val="en-IE" w:eastAsia="en-IE"/>
              </w:rPr>
            </w:pPr>
          </w:p>
        </w:tc>
      </w:tr>
      <w:tr w:rsidR="00BE1CAD" w:rsidRPr="009B282E" w14:paraId="65254A3E" w14:textId="77777777" w:rsidTr="00D72CA0">
        <w:tc>
          <w:tcPr>
            <w:tcW w:w="1673" w:type="dxa"/>
            <w:tcBorders>
              <w:top w:val="single" w:sz="4" w:space="0" w:color="auto"/>
              <w:left w:val="single" w:sz="4" w:space="0" w:color="auto"/>
              <w:bottom w:val="single" w:sz="4" w:space="0" w:color="auto"/>
              <w:right w:val="single" w:sz="4" w:space="0" w:color="auto"/>
            </w:tcBorders>
          </w:tcPr>
          <w:p w14:paraId="3DB96AB8" w14:textId="013C2C68" w:rsidR="00E65E63" w:rsidRPr="009275BC" w:rsidRDefault="00AD6FF1" w:rsidP="00F32516">
            <w:pPr>
              <w:pStyle w:val="InstructionsText"/>
              <w:rPr>
                <w:rStyle w:val="FormatvorlageInstructionsTabelleText"/>
                <w:rFonts w:asciiTheme="minorHAnsi" w:hAnsiTheme="minorHAnsi"/>
              </w:rPr>
            </w:pPr>
            <w:r w:rsidRPr="00A70B3F">
              <w:t>C0190</w:t>
            </w:r>
          </w:p>
        </w:tc>
        <w:tc>
          <w:tcPr>
            <w:tcW w:w="7616" w:type="dxa"/>
            <w:tcBorders>
              <w:top w:val="nil"/>
              <w:left w:val="single" w:sz="4" w:space="0" w:color="000000" w:themeColor="text1"/>
              <w:bottom w:val="single" w:sz="4" w:space="0" w:color="000000" w:themeColor="text1"/>
              <w:right w:val="single" w:sz="4" w:space="0" w:color="000000" w:themeColor="text1"/>
            </w:tcBorders>
          </w:tcPr>
          <w:p w14:paraId="27BCEE3D" w14:textId="77777777" w:rsidR="00491899" w:rsidRDefault="00491899" w:rsidP="00D72CA0">
            <w:pPr>
              <w:spacing w:before="0" w:after="0" w:line="240" w:lineRule="auto"/>
              <w:jc w:val="both"/>
              <w:rPr>
                <w:rFonts w:asciiTheme="minorHAnsi" w:eastAsia="Times New Roman" w:hAnsiTheme="minorHAnsi" w:cs="Calibri"/>
                <w:b/>
                <w:color w:val="000000"/>
                <w:kern w:val="0"/>
                <w:sz w:val="20"/>
                <w:u w:val="single"/>
                <w:lang w:val="en-IE" w:eastAsia="en-IE"/>
              </w:rPr>
            </w:pPr>
            <w:r w:rsidRPr="00A726C3">
              <w:rPr>
                <w:rFonts w:ascii="Aptos" w:eastAsia="Times New Roman" w:hAnsi="Aptos" w:cs="Calibri"/>
                <w:b/>
                <w:color w:val="000000"/>
                <w:kern w:val="0"/>
                <w:sz w:val="20"/>
                <w:u w:val="single"/>
                <w:lang w:val="en-IE" w:eastAsia="en-IE"/>
              </w:rPr>
              <w:t>Last Audit - Organisation of the AML/CFT System, Governance and Reporting Arrangements</w:t>
            </w:r>
          </w:p>
          <w:p w14:paraId="5F52DB91" w14:textId="2A4B59B3" w:rsidR="00D72CA0" w:rsidRPr="00B77CCF" w:rsidRDefault="00D72CA0" w:rsidP="00D72CA0">
            <w:pPr>
              <w:spacing w:before="0" w:after="0" w:line="240" w:lineRule="auto"/>
              <w:jc w:val="both"/>
              <w:rPr>
                <w:rFonts w:asciiTheme="minorHAnsi" w:eastAsia="Times New Roman" w:hAnsiTheme="minorHAnsi" w:cs="Calibri"/>
                <w:b/>
                <w:color w:val="000000"/>
                <w:kern w:val="0"/>
                <w:sz w:val="20"/>
                <w:u w:val="single"/>
                <w:lang w:val="en-IE" w:eastAsia="en-IE"/>
              </w:rPr>
            </w:pPr>
          </w:p>
          <w:p w14:paraId="08BE2F95" w14:textId="4615DFC1" w:rsidR="00D72CA0" w:rsidRDefault="00A834AB" w:rsidP="00D72CA0">
            <w:pPr>
              <w:spacing w:before="0" w:after="0" w:line="240" w:lineRule="auto"/>
              <w:jc w:val="both"/>
              <w:rPr>
                <w:rFonts w:asciiTheme="minorHAnsi" w:eastAsia="Times New Roman" w:hAnsiTheme="minorHAnsi"/>
                <w:color w:val="000000"/>
                <w:kern w:val="0"/>
                <w:sz w:val="20"/>
                <w:lang w:val="en-IE" w:eastAsia="en-IE"/>
              </w:rPr>
            </w:pPr>
            <w:r w:rsidRPr="00BA5B39">
              <w:rPr>
                <w:rFonts w:asciiTheme="minorHAnsi" w:eastAsia="Times New Roman" w:hAnsiTheme="minorHAnsi"/>
                <w:color w:val="000000"/>
                <w:kern w:val="0"/>
                <w:sz w:val="20"/>
                <w:lang w:val="en-IE" w:eastAsia="en-IE"/>
              </w:rPr>
              <w:t xml:space="preserve">Date </w:t>
            </w:r>
            <w:r>
              <w:rPr>
                <w:rFonts w:asciiTheme="minorHAnsi" w:eastAsia="Times New Roman" w:hAnsiTheme="minorHAnsi"/>
                <w:color w:val="000000"/>
                <w:kern w:val="0"/>
                <w:sz w:val="20"/>
                <w:lang w:val="en-IE" w:eastAsia="en-IE"/>
              </w:rPr>
              <w:t xml:space="preserve">of the lastest internal audit report assessing </w:t>
            </w:r>
            <w:r w:rsidR="00D72CA0" w:rsidRPr="00B77CCF">
              <w:rPr>
                <w:rFonts w:asciiTheme="minorHAnsi" w:eastAsia="Times New Roman" w:hAnsiTheme="minorHAnsi"/>
                <w:color w:val="000000"/>
                <w:kern w:val="0"/>
                <w:sz w:val="20"/>
                <w:lang w:val="en-IE" w:eastAsia="en-IE"/>
              </w:rPr>
              <w:t xml:space="preserve">the organisation of the AML/CFT system, governance and reporting to management bodies </w:t>
            </w:r>
            <w:r w:rsidR="00F22E07" w:rsidRPr="7E1DA77F">
              <w:rPr>
                <w:rFonts w:asciiTheme="minorHAnsi" w:eastAsia="Times New Roman" w:hAnsiTheme="minorHAnsi"/>
                <w:color w:val="000000" w:themeColor="text1"/>
                <w:sz w:val="20"/>
                <w:lang w:val="en-IE" w:eastAsia="en-IE"/>
              </w:rPr>
              <w:t xml:space="preserve">– including </w:t>
            </w:r>
            <w:r w:rsidR="00F22E07" w:rsidRPr="42EBAE7A">
              <w:rPr>
                <w:rFonts w:asciiTheme="minorHAnsi" w:eastAsia="Times New Roman" w:hAnsiTheme="minorHAnsi"/>
                <w:color w:val="000000" w:themeColor="text1"/>
                <w:sz w:val="20"/>
                <w:lang w:val="en-IE" w:eastAsia="en-IE"/>
              </w:rPr>
              <w:t xml:space="preserve">tests carried out by an </w:t>
            </w:r>
            <w:r w:rsidR="00F22E07">
              <w:rPr>
                <w:rFonts w:asciiTheme="minorHAnsi" w:eastAsia="Times New Roman" w:hAnsiTheme="minorHAnsi"/>
                <w:color w:val="000000" w:themeColor="text1"/>
                <w:sz w:val="20"/>
                <w:lang w:val="en-IE" w:eastAsia="en-IE"/>
              </w:rPr>
              <w:t>external</w:t>
            </w:r>
            <w:r w:rsidR="00F22E07" w:rsidRPr="42EBAE7A">
              <w:rPr>
                <w:rFonts w:asciiTheme="minorHAnsi" w:eastAsia="Times New Roman" w:hAnsiTheme="minorHAnsi"/>
                <w:color w:val="000000" w:themeColor="text1"/>
                <w:sz w:val="20"/>
                <w:lang w:val="en-IE" w:eastAsia="en-IE"/>
              </w:rPr>
              <w:t xml:space="preserve"> expert </w:t>
            </w:r>
            <w:r w:rsidR="00F22E07" w:rsidRPr="1471CA86">
              <w:rPr>
                <w:rFonts w:asciiTheme="minorHAnsi" w:eastAsia="Times New Roman" w:hAnsiTheme="minorHAnsi"/>
                <w:color w:val="000000" w:themeColor="text1"/>
                <w:sz w:val="20"/>
                <w:lang w:val="en-IE" w:eastAsia="en-IE"/>
              </w:rPr>
              <w:t>as referred to in Article 9</w:t>
            </w:r>
            <w:r w:rsidR="00F22E07" w:rsidRPr="4C1FC6CC">
              <w:rPr>
                <w:rFonts w:asciiTheme="minorHAnsi" w:eastAsia="Times New Roman" w:hAnsiTheme="minorHAnsi"/>
                <w:color w:val="000000" w:themeColor="text1"/>
                <w:sz w:val="20"/>
                <w:lang w:val="en-IE" w:eastAsia="en-IE"/>
              </w:rPr>
              <w:t>(2)(b)</w:t>
            </w:r>
            <w:r w:rsidR="00F22E07">
              <w:rPr>
                <w:rFonts w:asciiTheme="minorHAnsi" w:eastAsia="Times New Roman" w:hAnsiTheme="minorHAnsi"/>
                <w:color w:val="000000" w:themeColor="text1"/>
                <w:sz w:val="20"/>
                <w:lang w:val="en-IE" w:eastAsia="en-IE"/>
              </w:rPr>
              <w:t xml:space="preserve"> AMLR </w:t>
            </w:r>
            <w:r w:rsidR="00F22E07" w:rsidRPr="59450CBB">
              <w:rPr>
                <w:rFonts w:asciiTheme="minorHAnsi" w:eastAsia="Times New Roman" w:hAnsiTheme="minorHAnsi"/>
                <w:color w:val="000000" w:themeColor="text1"/>
                <w:sz w:val="20"/>
                <w:lang w:val="en-IE" w:eastAsia="en-IE"/>
              </w:rPr>
              <w:t xml:space="preserve">in the absence </w:t>
            </w:r>
            <w:r w:rsidR="00F22E07" w:rsidRPr="5F65C223">
              <w:rPr>
                <w:rFonts w:asciiTheme="minorHAnsi" w:eastAsia="Times New Roman" w:hAnsiTheme="minorHAnsi"/>
                <w:color w:val="000000" w:themeColor="text1"/>
                <w:sz w:val="20"/>
                <w:lang w:val="en-IE" w:eastAsia="en-IE"/>
              </w:rPr>
              <w:t>of an independent</w:t>
            </w:r>
            <w:r w:rsidR="00F22E07" w:rsidRPr="7E1DA77F">
              <w:rPr>
                <w:rFonts w:asciiTheme="minorHAnsi" w:eastAsia="Times New Roman" w:hAnsiTheme="minorHAnsi"/>
                <w:color w:val="000000" w:themeColor="text1"/>
                <w:sz w:val="20"/>
                <w:lang w:val="en-IE" w:eastAsia="en-IE"/>
              </w:rPr>
              <w:t xml:space="preserve"> audit</w:t>
            </w:r>
            <w:r w:rsidR="00F22E07" w:rsidRPr="5F65C223">
              <w:rPr>
                <w:rFonts w:asciiTheme="minorHAnsi" w:eastAsia="Times New Roman" w:hAnsiTheme="minorHAnsi"/>
                <w:color w:val="000000" w:themeColor="text1"/>
                <w:sz w:val="20"/>
                <w:lang w:val="en-IE" w:eastAsia="en-IE"/>
              </w:rPr>
              <w:t xml:space="preserve"> function</w:t>
            </w:r>
            <w:r w:rsidR="00F22E07" w:rsidRPr="5F65C223">
              <w:rPr>
                <w:rFonts w:asciiTheme="minorHAnsi" w:eastAsia="Times New Roman" w:hAnsiTheme="minorHAnsi"/>
                <w:color w:val="000000"/>
                <w:kern w:val="0"/>
                <w:sz w:val="20"/>
                <w:lang w:val="en-IE" w:eastAsia="en-IE"/>
              </w:rPr>
              <w:t>.</w:t>
            </w:r>
          </w:p>
          <w:p w14:paraId="2B433B4C" w14:textId="77777777" w:rsidR="0001294C" w:rsidRDefault="0001294C" w:rsidP="00D72CA0">
            <w:pPr>
              <w:spacing w:before="0" w:after="0" w:line="240" w:lineRule="auto"/>
              <w:jc w:val="both"/>
              <w:rPr>
                <w:rFonts w:asciiTheme="minorHAnsi" w:eastAsia="Times New Roman" w:hAnsiTheme="minorHAnsi"/>
                <w:color w:val="000000"/>
                <w:kern w:val="0"/>
                <w:sz w:val="20"/>
                <w:lang w:val="en-IE" w:eastAsia="en-IE"/>
              </w:rPr>
            </w:pPr>
          </w:p>
          <w:p w14:paraId="7DA37561" w14:textId="5035D790" w:rsidR="0001294C" w:rsidRDefault="007B29AC" w:rsidP="00D72CA0">
            <w:pPr>
              <w:spacing w:before="0" w:after="0" w:line="240" w:lineRule="auto"/>
              <w:jc w:val="both"/>
              <w:rPr>
                <w:rFonts w:asciiTheme="minorHAnsi" w:eastAsia="Times New Roman" w:hAnsiTheme="minorHAnsi"/>
                <w:color w:val="000000"/>
                <w:kern w:val="0"/>
                <w:sz w:val="20"/>
                <w:lang w:val="en-IE" w:eastAsia="en-IE"/>
              </w:rPr>
            </w:pPr>
            <w:r>
              <w:rPr>
                <w:rFonts w:asciiTheme="minorHAnsi" w:eastAsia="Times New Roman" w:hAnsiTheme="minorHAnsi"/>
                <w:color w:val="000000"/>
                <w:kern w:val="0"/>
                <w:sz w:val="20"/>
                <w:lang w:eastAsia="en-IE"/>
              </w:rPr>
              <w:t>Indicate</w:t>
            </w:r>
            <w:r w:rsidRPr="00872119">
              <w:rPr>
                <w:rFonts w:asciiTheme="minorHAnsi" w:eastAsia="Times New Roman" w:hAnsiTheme="minorHAnsi"/>
                <w:color w:val="000000"/>
                <w:kern w:val="0"/>
                <w:sz w:val="20"/>
                <w:lang w:eastAsia="en-IE"/>
              </w:rPr>
              <w:t xml:space="preserve"> </w:t>
            </w:r>
            <w:r w:rsidR="0001294C" w:rsidRPr="00611D7A">
              <w:rPr>
                <w:rFonts w:asciiTheme="minorHAnsi" w:eastAsia="Times New Roman" w:hAnsiTheme="minorHAnsi"/>
                <w:color w:val="000000"/>
                <w:kern w:val="0"/>
                <w:sz w:val="20"/>
                <w:lang w:eastAsia="en-IE"/>
              </w:rPr>
              <w:t>the audit report signing date if available or end of the audit period (report its start in case of an ongoing audit).</w:t>
            </w:r>
          </w:p>
          <w:p w14:paraId="0D3FD6EF" w14:textId="77777777" w:rsidR="006B7937" w:rsidRPr="00B77CCF" w:rsidRDefault="006B7937" w:rsidP="007B05F4">
            <w:pPr>
              <w:spacing w:before="0" w:after="0" w:line="240" w:lineRule="auto"/>
              <w:jc w:val="both"/>
              <w:rPr>
                <w:rFonts w:asciiTheme="minorHAnsi" w:eastAsia="Times New Roman" w:hAnsiTheme="minorHAnsi"/>
                <w:color w:val="000000"/>
                <w:kern w:val="0"/>
                <w:sz w:val="20"/>
                <w:lang w:val="en-IE" w:eastAsia="en-IE"/>
              </w:rPr>
            </w:pPr>
          </w:p>
        </w:tc>
      </w:tr>
    </w:tbl>
    <w:p w14:paraId="7B861389" w14:textId="0E5D5702" w:rsidR="006D7237" w:rsidRPr="00F219A2" w:rsidRDefault="001A11CF" w:rsidP="00BD5FAB">
      <w:pPr>
        <w:pStyle w:val="Heading2"/>
        <w:rPr>
          <w:rFonts w:asciiTheme="minorHAnsi" w:hAnsiTheme="minorHAnsi"/>
          <w:lang w:val="en-IE"/>
        </w:rPr>
      </w:pPr>
      <w:bookmarkStart w:id="290" w:name="_Toc223018935"/>
      <w:bookmarkStart w:id="291" w:name="_Toc223021733"/>
      <w:bookmarkStart w:id="292" w:name="_Toc223086599"/>
      <w:bookmarkStart w:id="293" w:name="_Toc223086693"/>
      <w:bookmarkStart w:id="294" w:name="_Toc223086787"/>
      <w:bookmarkStart w:id="295" w:name="_Toc223086881"/>
      <w:bookmarkStart w:id="296" w:name="_Toc221356002"/>
      <w:bookmarkStart w:id="297" w:name="_Toc223104868"/>
      <w:bookmarkEnd w:id="289"/>
      <w:bookmarkEnd w:id="290"/>
      <w:bookmarkEnd w:id="291"/>
      <w:bookmarkEnd w:id="292"/>
      <w:bookmarkEnd w:id="293"/>
      <w:bookmarkEnd w:id="294"/>
      <w:bookmarkEnd w:id="295"/>
      <w:r w:rsidRPr="00F219A2">
        <w:rPr>
          <w:rFonts w:asciiTheme="minorHAnsi" w:hAnsiTheme="minorHAnsi"/>
          <w:lang w:val="en-IE"/>
        </w:rPr>
        <w:t xml:space="preserve">AML.07.03 </w:t>
      </w:r>
      <w:r w:rsidR="006D7237" w:rsidRPr="00F219A2">
        <w:rPr>
          <w:rFonts w:asciiTheme="minorHAnsi" w:hAnsiTheme="minorHAnsi"/>
          <w:lang w:val="en-IE"/>
        </w:rPr>
        <w:t>Risk Assessment</w:t>
      </w:r>
      <w:bookmarkEnd w:id="296"/>
      <w:bookmarkEnd w:id="297"/>
    </w:p>
    <w:p w14:paraId="798B717E" w14:textId="77777777" w:rsidR="008E1D72" w:rsidRPr="00A017EB" w:rsidRDefault="008E1D72" w:rsidP="008E1D72">
      <w:pPr>
        <w:rPr>
          <w:rFonts w:asciiTheme="minorHAnsi" w:hAnsiTheme="minorHAnsi"/>
          <w:b/>
          <w:bCs/>
          <w:iCs/>
        </w:rPr>
      </w:pPr>
      <w:r w:rsidRPr="00A017EB">
        <w:rPr>
          <w:rFonts w:asciiTheme="minorHAnsi" w:hAnsiTheme="minorHAnsi"/>
          <w:b/>
          <w:bCs/>
          <w:iCs/>
        </w:rPr>
        <w:t>Template Remarks</w:t>
      </w:r>
    </w:p>
    <w:p w14:paraId="7E0DDC21" w14:textId="77777777" w:rsidR="001D44BB" w:rsidRPr="00003055" w:rsidRDefault="001D44BB" w:rsidP="00135B9D">
      <w:pPr>
        <w:rPr>
          <w:rFonts w:asciiTheme="minorHAnsi" w:hAnsiTheme="minorHAnsi"/>
          <w:szCs w:val="22"/>
          <w:lang w:val="en-IE"/>
        </w:rPr>
      </w:pPr>
      <w:r w:rsidRPr="00715FE6">
        <w:rPr>
          <w:rFonts w:asciiTheme="minorHAnsi" w:hAnsiTheme="minorHAnsi"/>
          <w:lang w:val="en-IE"/>
        </w:rPr>
        <w:t>This</w:t>
      </w:r>
      <w:r w:rsidRPr="00003055">
        <w:rPr>
          <w:rFonts w:asciiTheme="minorHAnsi" w:hAnsiTheme="minorHAnsi"/>
          <w:szCs w:val="22"/>
          <w:lang w:val="en-IE"/>
        </w:rPr>
        <w:t xml:space="preserve"> template (cluster of datapoints) is applicable for all sectors. </w:t>
      </w:r>
    </w:p>
    <w:p w14:paraId="2F882EBC" w14:textId="70D0E660" w:rsidR="00113084" w:rsidRPr="00F219A2" w:rsidRDefault="00113084" w:rsidP="00113084">
      <w:pPr>
        <w:rPr>
          <w:rFonts w:asciiTheme="minorHAnsi" w:hAnsiTheme="minorHAnsi"/>
          <w:lang w:val="en-IE"/>
        </w:rPr>
      </w:pPr>
      <w:r w:rsidRPr="00F219A2">
        <w:rPr>
          <w:rFonts w:asciiTheme="minorHAnsi" w:hAnsiTheme="minorHAnsi"/>
          <w:lang w:val="en-IE"/>
        </w:rPr>
        <w:t xml:space="preserve">Business Wide Risk Assessment </w:t>
      </w:r>
      <w:r w:rsidR="00F51F18" w:rsidRPr="00F219A2">
        <w:rPr>
          <w:rFonts w:asciiTheme="minorHAnsi" w:hAnsiTheme="minorHAnsi"/>
          <w:lang w:val="en-IE"/>
        </w:rPr>
        <w:t xml:space="preserve">(BWRA) </w:t>
      </w:r>
      <w:r w:rsidRPr="009125C0">
        <w:rPr>
          <w:rFonts w:asciiTheme="minorHAnsi" w:hAnsiTheme="minorHAnsi"/>
          <w:lang w:val="en-IE"/>
        </w:rPr>
        <w:t>as referred to in</w:t>
      </w:r>
      <w:r w:rsidRPr="00F219A2">
        <w:rPr>
          <w:rFonts w:asciiTheme="minorHAnsi" w:hAnsiTheme="minorHAnsi"/>
          <w:lang w:val="en-IE"/>
        </w:rPr>
        <w:t xml:space="preserve"> </w:t>
      </w:r>
      <w:r w:rsidR="00D656A7">
        <w:rPr>
          <w:rFonts w:asciiTheme="minorHAnsi" w:hAnsiTheme="minorHAnsi"/>
          <w:lang w:val="en-IE"/>
        </w:rPr>
        <w:t>Ar</w:t>
      </w:r>
      <w:r w:rsidR="00486835" w:rsidRPr="00F219A2">
        <w:rPr>
          <w:rFonts w:asciiTheme="minorHAnsi" w:hAnsiTheme="minorHAnsi"/>
          <w:lang w:val="en-IE"/>
        </w:rPr>
        <w:t xml:space="preserve">ticle 10 </w:t>
      </w:r>
      <w:r w:rsidR="00632313">
        <w:rPr>
          <w:rFonts w:asciiTheme="minorHAnsi" w:hAnsiTheme="minorHAnsi"/>
          <w:lang w:val="en-GB"/>
        </w:rPr>
        <w:t>AMLR</w:t>
      </w:r>
      <w:r w:rsidR="00C47B48" w:rsidRPr="00F219A2">
        <w:rPr>
          <w:rFonts w:asciiTheme="minorHAnsi" w:hAnsiTheme="minorHAnsi"/>
          <w:lang w:val="en-GB"/>
        </w:rPr>
        <w:t xml:space="preserve">. </w:t>
      </w:r>
    </w:p>
    <w:p w14:paraId="6ACB1EBD" w14:textId="496C9237" w:rsidR="000B57C5" w:rsidRPr="00FF3E96" w:rsidRDefault="00F51F18" w:rsidP="000B57C5">
      <w:pPr>
        <w:spacing w:before="0" w:after="0" w:line="240" w:lineRule="auto"/>
        <w:jc w:val="both"/>
        <w:rPr>
          <w:rFonts w:asciiTheme="minorHAnsi" w:eastAsia="Times New Roman" w:hAnsiTheme="minorHAnsi" w:cs="Calibri"/>
          <w:color w:val="000000"/>
          <w:kern w:val="0"/>
          <w:szCs w:val="22"/>
          <w:lang w:val="en-IE" w:eastAsia="en-IE"/>
        </w:rPr>
      </w:pPr>
      <w:r w:rsidRPr="00FF3E96">
        <w:rPr>
          <w:rFonts w:asciiTheme="minorHAnsi" w:hAnsiTheme="minorHAnsi"/>
          <w:szCs w:val="22"/>
          <w:lang w:val="en-IE"/>
        </w:rPr>
        <w:t>Customer Risk Assessment (CRA)</w:t>
      </w:r>
      <w:r w:rsidR="00701A86" w:rsidRPr="00FF3E96">
        <w:rPr>
          <w:rFonts w:asciiTheme="minorHAnsi" w:hAnsiTheme="minorHAnsi"/>
          <w:szCs w:val="22"/>
          <w:lang w:val="en-IE"/>
        </w:rPr>
        <w:t xml:space="preserve">: </w:t>
      </w:r>
      <w:r w:rsidR="00FF3E96" w:rsidRPr="00FF3E96">
        <w:rPr>
          <w:rFonts w:asciiTheme="minorHAnsi" w:hAnsiTheme="minorHAnsi"/>
          <w:szCs w:val="22"/>
          <w:lang w:val="en-IE"/>
        </w:rPr>
        <w:t xml:space="preserve">Number of customers per ML/TF risk category </w:t>
      </w:r>
      <w:r w:rsidR="00FF3E96">
        <w:rPr>
          <w:rFonts w:asciiTheme="minorHAnsi" w:hAnsiTheme="minorHAnsi"/>
          <w:szCs w:val="22"/>
          <w:lang w:val="en-IE"/>
        </w:rPr>
        <w:t xml:space="preserve">are divided in </w:t>
      </w:r>
      <w:r w:rsidR="004F1145" w:rsidRPr="004F1145">
        <w:rPr>
          <w:rFonts w:asciiTheme="minorHAnsi" w:hAnsiTheme="minorHAnsi"/>
          <w:b/>
          <w:bCs/>
          <w:szCs w:val="22"/>
          <w:lang w:val="en-IE"/>
        </w:rPr>
        <w:t>four</w:t>
      </w:r>
      <w:r w:rsidR="00FF3E96" w:rsidRPr="004F1145">
        <w:rPr>
          <w:rFonts w:asciiTheme="minorHAnsi" w:hAnsiTheme="minorHAnsi"/>
          <w:b/>
          <w:bCs/>
          <w:szCs w:val="22"/>
          <w:lang w:val="en-IE"/>
        </w:rPr>
        <w:t xml:space="preserve"> risk categories</w:t>
      </w:r>
      <w:r w:rsidR="00FF3E96" w:rsidRPr="00FF3E96">
        <w:rPr>
          <w:rFonts w:asciiTheme="minorHAnsi" w:hAnsiTheme="minorHAnsi"/>
          <w:szCs w:val="22"/>
          <w:lang w:val="en-IE"/>
        </w:rPr>
        <w:t xml:space="preserve"> </w:t>
      </w:r>
      <w:r w:rsidR="00FF3E96">
        <w:rPr>
          <w:rFonts w:asciiTheme="minorHAnsi" w:hAnsiTheme="minorHAnsi"/>
          <w:szCs w:val="22"/>
          <w:lang w:val="en-IE"/>
        </w:rPr>
        <w:t xml:space="preserve">this exercise </w:t>
      </w:r>
      <w:r w:rsidR="000B57C5" w:rsidRPr="00FF3E96">
        <w:rPr>
          <w:rFonts w:asciiTheme="minorHAnsi" w:eastAsia="Times New Roman" w:hAnsiTheme="minorHAnsi" w:cs="Calibri"/>
          <w:color w:val="000000"/>
          <w:kern w:val="0"/>
          <w:szCs w:val="22"/>
          <w:lang w:val="en-IE" w:eastAsia="en-IE"/>
        </w:rPr>
        <w:t>(low risk, medium-low risk, medium-high risk, high-risk)</w:t>
      </w:r>
    </w:p>
    <w:p w14:paraId="0D6735F2" w14:textId="77777777" w:rsidR="000B57C5" w:rsidRPr="004F1145" w:rsidRDefault="000B57C5" w:rsidP="000B57C5">
      <w:pPr>
        <w:spacing w:before="0" w:after="0" w:line="240" w:lineRule="auto"/>
        <w:jc w:val="both"/>
        <w:rPr>
          <w:rFonts w:asciiTheme="minorHAnsi" w:eastAsia="Times New Roman" w:hAnsiTheme="minorHAnsi" w:cs="Calibri"/>
          <w:b/>
          <w:bCs/>
          <w:color w:val="000000"/>
          <w:kern w:val="0"/>
          <w:sz w:val="20"/>
          <w:u w:val="single"/>
          <w:lang w:val="en-IE" w:eastAsia="en-IE"/>
        </w:rPr>
      </w:pPr>
    </w:p>
    <w:p w14:paraId="4B8D2D00" w14:textId="77777777" w:rsidR="000B57C5" w:rsidRPr="004F1145" w:rsidRDefault="000B57C5" w:rsidP="000B57C5">
      <w:pPr>
        <w:spacing w:before="0" w:after="0" w:line="240" w:lineRule="auto"/>
        <w:jc w:val="both"/>
        <w:rPr>
          <w:rFonts w:asciiTheme="minorHAnsi" w:eastAsia="Times New Roman" w:hAnsiTheme="minorHAnsi" w:cs="Calibri"/>
          <w:b/>
          <w:bCs/>
          <w:color w:val="000000"/>
          <w:kern w:val="0"/>
          <w:szCs w:val="22"/>
          <w:lang w:val="en-IE" w:eastAsia="en-IE"/>
        </w:rPr>
      </w:pPr>
      <w:r w:rsidRPr="004F1145">
        <w:rPr>
          <w:rFonts w:asciiTheme="minorHAnsi" w:eastAsia="Times New Roman" w:hAnsiTheme="minorHAnsi" w:cs="Calibri"/>
          <w:b/>
          <w:bCs/>
          <w:color w:val="000000"/>
          <w:kern w:val="0"/>
          <w:szCs w:val="22"/>
          <w:lang w:val="en-IE" w:eastAsia="en-IE"/>
        </w:rPr>
        <w:t xml:space="preserve">In case an entity uses three risk categories </w:t>
      </w:r>
    </w:p>
    <w:p w14:paraId="020439A9" w14:textId="77777777" w:rsidR="000B57C5" w:rsidRPr="00FF3E96" w:rsidRDefault="000B57C5" w:rsidP="000B57C5">
      <w:pPr>
        <w:spacing w:before="0" w:after="0" w:line="240" w:lineRule="auto"/>
        <w:jc w:val="both"/>
        <w:rPr>
          <w:rFonts w:asciiTheme="minorHAnsi" w:eastAsia="Times New Roman" w:hAnsiTheme="minorHAnsi" w:cs="Calibri"/>
          <w:color w:val="000000"/>
          <w:kern w:val="0"/>
          <w:szCs w:val="22"/>
          <w:lang w:val="en-IE" w:eastAsia="en-IE"/>
        </w:rPr>
      </w:pPr>
      <w:r w:rsidRPr="00FF3E96">
        <w:rPr>
          <w:rFonts w:asciiTheme="minorHAnsi" w:eastAsia="Times New Roman" w:hAnsiTheme="minorHAnsi" w:cs="Calibri"/>
          <w:color w:val="000000"/>
          <w:kern w:val="0"/>
          <w:szCs w:val="22"/>
          <w:lang w:val="en-IE" w:eastAsia="en-IE"/>
        </w:rPr>
        <w:t>Low risk -&gt; Low risk</w:t>
      </w:r>
    </w:p>
    <w:p w14:paraId="7724C801" w14:textId="77777777" w:rsidR="000B57C5" w:rsidRPr="00FF3E96" w:rsidRDefault="000B57C5" w:rsidP="000B57C5">
      <w:pPr>
        <w:spacing w:before="0" w:after="0" w:line="240" w:lineRule="auto"/>
        <w:jc w:val="both"/>
        <w:rPr>
          <w:rFonts w:asciiTheme="minorHAnsi" w:eastAsia="Times New Roman" w:hAnsiTheme="minorHAnsi" w:cs="Calibri"/>
          <w:color w:val="000000"/>
          <w:kern w:val="0"/>
          <w:szCs w:val="22"/>
          <w:lang w:val="en-IE" w:eastAsia="en-IE"/>
        </w:rPr>
      </w:pPr>
      <w:r w:rsidRPr="00FF3E96">
        <w:rPr>
          <w:rFonts w:asciiTheme="minorHAnsi" w:eastAsia="Times New Roman" w:hAnsiTheme="minorHAnsi" w:cs="Calibri"/>
          <w:color w:val="000000"/>
          <w:kern w:val="0"/>
          <w:szCs w:val="22"/>
          <w:lang w:val="en-IE" w:eastAsia="en-IE"/>
        </w:rPr>
        <w:t>Medium risk -&gt; Medium-low risk</w:t>
      </w:r>
    </w:p>
    <w:p w14:paraId="5919D6BC" w14:textId="77777777" w:rsidR="000B57C5" w:rsidRPr="00FF3E96" w:rsidRDefault="000B57C5" w:rsidP="000B57C5">
      <w:pPr>
        <w:spacing w:before="0" w:after="0" w:line="240" w:lineRule="auto"/>
        <w:jc w:val="both"/>
        <w:rPr>
          <w:rFonts w:asciiTheme="minorHAnsi" w:eastAsia="Times New Roman" w:hAnsiTheme="minorHAnsi" w:cs="Calibri"/>
          <w:color w:val="000000"/>
          <w:kern w:val="0"/>
          <w:szCs w:val="22"/>
          <w:lang w:val="en-IE" w:eastAsia="en-IE"/>
        </w:rPr>
      </w:pPr>
      <w:r w:rsidRPr="00FF3E96">
        <w:rPr>
          <w:rFonts w:asciiTheme="minorHAnsi" w:eastAsia="Times New Roman" w:hAnsiTheme="minorHAnsi" w:cs="Calibri"/>
          <w:color w:val="000000"/>
          <w:kern w:val="0"/>
          <w:szCs w:val="22"/>
          <w:lang w:val="en-IE" w:eastAsia="en-IE"/>
        </w:rPr>
        <w:t>High risk -&gt; High risk</w:t>
      </w:r>
    </w:p>
    <w:p w14:paraId="4F4FCB54" w14:textId="77777777" w:rsidR="000B57C5" w:rsidRPr="00FF3E96" w:rsidRDefault="000B57C5" w:rsidP="000B57C5">
      <w:pPr>
        <w:spacing w:before="0" w:after="0" w:line="240" w:lineRule="auto"/>
        <w:jc w:val="both"/>
        <w:rPr>
          <w:rFonts w:asciiTheme="minorHAnsi" w:eastAsia="Times New Roman" w:hAnsiTheme="minorHAnsi" w:cs="Calibri"/>
          <w:color w:val="000000"/>
          <w:kern w:val="0"/>
          <w:szCs w:val="22"/>
          <w:lang w:val="en-IE" w:eastAsia="en-IE"/>
        </w:rPr>
      </w:pPr>
    </w:p>
    <w:p w14:paraId="433837F9" w14:textId="77777777" w:rsidR="000B57C5" w:rsidRPr="004F1145" w:rsidRDefault="000B57C5" w:rsidP="000B57C5">
      <w:pPr>
        <w:spacing w:before="0" w:after="0" w:line="240" w:lineRule="auto"/>
        <w:jc w:val="both"/>
        <w:rPr>
          <w:rFonts w:asciiTheme="minorHAnsi" w:eastAsia="Times New Roman" w:hAnsiTheme="minorHAnsi" w:cs="Calibri"/>
          <w:b/>
          <w:bCs/>
          <w:color w:val="000000"/>
          <w:kern w:val="0"/>
          <w:szCs w:val="22"/>
          <w:lang w:val="en-IE" w:eastAsia="en-IE"/>
        </w:rPr>
      </w:pPr>
      <w:r w:rsidRPr="004F1145">
        <w:rPr>
          <w:rFonts w:asciiTheme="minorHAnsi" w:eastAsia="Times New Roman" w:hAnsiTheme="minorHAnsi" w:cs="Calibri"/>
          <w:b/>
          <w:bCs/>
          <w:color w:val="000000"/>
          <w:kern w:val="0"/>
          <w:szCs w:val="22"/>
          <w:lang w:val="en-IE" w:eastAsia="en-IE"/>
        </w:rPr>
        <w:t xml:space="preserve">In case an entity uses five risk categories </w:t>
      </w:r>
    </w:p>
    <w:p w14:paraId="5EC818DB" w14:textId="77777777" w:rsidR="000B57C5" w:rsidRPr="00FF3E96" w:rsidRDefault="000B57C5" w:rsidP="000B57C5">
      <w:pPr>
        <w:spacing w:before="0" w:after="0" w:line="240" w:lineRule="auto"/>
        <w:jc w:val="both"/>
        <w:rPr>
          <w:rFonts w:asciiTheme="minorHAnsi" w:eastAsia="Times New Roman" w:hAnsiTheme="minorHAnsi" w:cs="Calibri"/>
          <w:color w:val="000000"/>
          <w:kern w:val="0"/>
          <w:szCs w:val="22"/>
          <w:lang w:val="en-IE" w:eastAsia="en-IE"/>
        </w:rPr>
      </w:pPr>
      <w:r w:rsidRPr="00FF3E96">
        <w:rPr>
          <w:rFonts w:asciiTheme="minorHAnsi" w:eastAsia="Times New Roman" w:hAnsiTheme="minorHAnsi" w:cs="Calibri"/>
          <w:color w:val="000000"/>
          <w:kern w:val="0"/>
          <w:szCs w:val="22"/>
          <w:lang w:val="en-IE" w:eastAsia="en-IE"/>
        </w:rPr>
        <w:t>Low risk -&gt; Low risk</w:t>
      </w:r>
    </w:p>
    <w:p w14:paraId="3D6E7BC0" w14:textId="77777777" w:rsidR="000B57C5" w:rsidRPr="00FF3E96" w:rsidRDefault="000B57C5" w:rsidP="000B57C5">
      <w:pPr>
        <w:spacing w:before="0" w:after="0" w:line="240" w:lineRule="auto"/>
        <w:jc w:val="both"/>
        <w:rPr>
          <w:rFonts w:asciiTheme="minorHAnsi" w:eastAsia="Times New Roman" w:hAnsiTheme="minorHAnsi" w:cs="Calibri"/>
          <w:color w:val="000000"/>
          <w:kern w:val="0"/>
          <w:szCs w:val="22"/>
          <w:lang w:val="en-IE" w:eastAsia="en-IE"/>
        </w:rPr>
      </w:pPr>
      <w:r w:rsidRPr="00FF3E96">
        <w:rPr>
          <w:rFonts w:asciiTheme="minorHAnsi" w:eastAsia="Times New Roman" w:hAnsiTheme="minorHAnsi" w:cs="Calibri"/>
          <w:color w:val="000000"/>
          <w:kern w:val="0"/>
          <w:szCs w:val="22"/>
          <w:lang w:val="en-IE" w:eastAsia="en-IE"/>
        </w:rPr>
        <w:t>Medium-low risk -&gt; Low risk</w:t>
      </w:r>
    </w:p>
    <w:p w14:paraId="528E47B2" w14:textId="77777777" w:rsidR="000B57C5" w:rsidRPr="00FF3E96" w:rsidRDefault="000B57C5" w:rsidP="000B57C5">
      <w:pPr>
        <w:spacing w:before="0" w:after="0" w:line="240" w:lineRule="auto"/>
        <w:jc w:val="both"/>
        <w:rPr>
          <w:rFonts w:asciiTheme="minorHAnsi" w:eastAsia="Times New Roman" w:hAnsiTheme="minorHAnsi" w:cs="Calibri"/>
          <w:color w:val="000000"/>
          <w:kern w:val="0"/>
          <w:szCs w:val="22"/>
          <w:lang w:val="en-IE" w:eastAsia="en-IE"/>
        </w:rPr>
      </w:pPr>
      <w:r w:rsidRPr="00FF3E96">
        <w:rPr>
          <w:rFonts w:asciiTheme="minorHAnsi" w:eastAsia="Times New Roman" w:hAnsiTheme="minorHAnsi" w:cs="Calibri"/>
          <w:color w:val="000000"/>
          <w:kern w:val="0"/>
          <w:szCs w:val="22"/>
          <w:lang w:val="en-IE" w:eastAsia="en-IE"/>
        </w:rPr>
        <w:t>Medium-high risk -&gt; Medium-low risk</w:t>
      </w:r>
    </w:p>
    <w:p w14:paraId="3761546D" w14:textId="77777777" w:rsidR="000B57C5" w:rsidRPr="00FF3E96" w:rsidRDefault="000B57C5" w:rsidP="000B57C5">
      <w:pPr>
        <w:spacing w:before="0" w:after="0" w:line="240" w:lineRule="auto"/>
        <w:jc w:val="both"/>
        <w:rPr>
          <w:rFonts w:asciiTheme="minorHAnsi" w:eastAsia="Times New Roman" w:hAnsiTheme="minorHAnsi" w:cs="Calibri"/>
          <w:color w:val="000000"/>
          <w:kern w:val="0"/>
          <w:szCs w:val="22"/>
          <w:lang w:val="en-IE" w:eastAsia="en-IE"/>
        </w:rPr>
      </w:pPr>
      <w:r w:rsidRPr="00FF3E96">
        <w:rPr>
          <w:rFonts w:asciiTheme="minorHAnsi" w:eastAsia="Times New Roman" w:hAnsiTheme="minorHAnsi" w:cs="Calibri"/>
          <w:color w:val="000000"/>
          <w:kern w:val="0"/>
          <w:szCs w:val="22"/>
          <w:lang w:val="en-IE" w:eastAsia="en-IE"/>
        </w:rPr>
        <w:t>High risk -&gt; Medium-high risk</w:t>
      </w:r>
    </w:p>
    <w:p w14:paraId="3BB3196F" w14:textId="7F1EA5B8" w:rsidR="00206E7D" w:rsidRPr="00FF3E96" w:rsidRDefault="000B57C5" w:rsidP="000B57C5">
      <w:pPr>
        <w:spacing w:before="0" w:after="0" w:line="240" w:lineRule="auto"/>
        <w:jc w:val="both"/>
        <w:rPr>
          <w:rFonts w:asciiTheme="minorHAnsi" w:eastAsia="Times New Roman" w:hAnsiTheme="minorHAnsi" w:cs="Calibri"/>
          <w:color w:val="000000"/>
          <w:kern w:val="0"/>
          <w:szCs w:val="22"/>
          <w:lang w:val="en-IE" w:eastAsia="en-IE"/>
        </w:rPr>
      </w:pPr>
      <w:r w:rsidRPr="00FF3E96">
        <w:rPr>
          <w:rFonts w:asciiTheme="minorHAnsi" w:eastAsia="Times New Roman" w:hAnsiTheme="minorHAnsi" w:cs="Calibri"/>
          <w:color w:val="000000"/>
          <w:kern w:val="0"/>
          <w:szCs w:val="22"/>
          <w:lang w:val="en-IE" w:eastAsia="en-IE"/>
        </w:rPr>
        <w:t>Ultra/very high risk -&gt; High risk</w:t>
      </w:r>
    </w:p>
    <w:p w14:paraId="33783525" w14:textId="4B62E9E5" w:rsidR="00F51F18" w:rsidRPr="00F219A2" w:rsidRDefault="00F51F18" w:rsidP="00135B9D">
      <w:pPr>
        <w:spacing w:before="0" w:after="0" w:line="240" w:lineRule="auto"/>
        <w:jc w:val="both"/>
        <w:rPr>
          <w:rFonts w:asciiTheme="minorHAnsi" w:hAnsiTheme="minorHAnsi"/>
          <w:lang w:val="en-IE"/>
        </w:rPr>
      </w:pPr>
    </w:p>
    <w:tbl>
      <w:tblPr>
        <w:tblW w:w="92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3"/>
        <w:gridCol w:w="7616"/>
      </w:tblGrid>
      <w:tr w:rsidR="005E211E" w:rsidRPr="009B282E" w14:paraId="1BA7230C" w14:textId="77777777">
        <w:tc>
          <w:tcPr>
            <w:tcW w:w="16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80D10E" w14:textId="77777777" w:rsidR="00F17C1D" w:rsidRPr="009275BC" w:rsidRDefault="00F17C1D" w:rsidP="00F32516">
            <w:pPr>
              <w:pStyle w:val="InstructionsText"/>
              <w:rPr>
                <w:rStyle w:val="InstructionsTabelleText"/>
                <w:rFonts w:asciiTheme="minorHAnsi" w:hAnsiTheme="minorHAnsi"/>
                <w:bCs w:val="0"/>
                <w:lang w:eastAsia="en-US"/>
              </w:rPr>
            </w:pPr>
            <w:r w:rsidRPr="009275BC">
              <w:rPr>
                <w:rStyle w:val="InstructionsTabelleText"/>
                <w:rFonts w:asciiTheme="minorHAnsi" w:hAnsiTheme="minorHAnsi"/>
              </w:rPr>
              <w:t>Column code</w:t>
            </w:r>
          </w:p>
        </w:tc>
        <w:tc>
          <w:tcPr>
            <w:tcW w:w="76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E0FF18" w14:textId="77777777" w:rsidR="00F17C1D" w:rsidRPr="009275BC" w:rsidRDefault="00F17C1D" w:rsidP="00F32516">
            <w:pPr>
              <w:pStyle w:val="InstructionsText"/>
              <w:rPr>
                <w:rStyle w:val="InstructionsTabelleText"/>
                <w:rFonts w:asciiTheme="minorHAnsi" w:hAnsiTheme="minorHAnsi"/>
                <w:bCs w:val="0"/>
                <w:lang w:eastAsia="en-US"/>
              </w:rPr>
            </w:pPr>
            <w:r w:rsidRPr="009275BC">
              <w:rPr>
                <w:rStyle w:val="InstructionsTabelleText"/>
                <w:rFonts w:asciiTheme="minorHAnsi" w:hAnsiTheme="minorHAnsi"/>
              </w:rPr>
              <w:t>Legal references and instructions</w:t>
            </w:r>
          </w:p>
        </w:tc>
      </w:tr>
      <w:tr w:rsidR="00A10CBD" w:rsidRPr="009B282E" w14:paraId="33CDC3F8" w14:textId="77777777" w:rsidTr="63745C57">
        <w:tc>
          <w:tcPr>
            <w:tcW w:w="1673" w:type="dxa"/>
            <w:tcBorders>
              <w:top w:val="single" w:sz="4" w:space="0" w:color="auto"/>
              <w:left w:val="single" w:sz="4" w:space="0" w:color="auto"/>
              <w:bottom w:val="single" w:sz="4" w:space="0" w:color="auto"/>
              <w:right w:val="single" w:sz="4" w:space="0" w:color="auto"/>
            </w:tcBorders>
            <w:vAlign w:val="center"/>
          </w:tcPr>
          <w:p w14:paraId="75F84957" w14:textId="5FCEE449" w:rsidR="00360616" w:rsidRPr="009275BC" w:rsidRDefault="009842E1" w:rsidP="00F32516">
            <w:pPr>
              <w:pStyle w:val="InstructionsText"/>
              <w:rPr>
                <w:rStyle w:val="FormatvorlageInstructionsTabelleText"/>
                <w:rFonts w:asciiTheme="minorHAnsi" w:hAnsiTheme="minorHAnsi"/>
              </w:rPr>
            </w:pPr>
            <w:r w:rsidRPr="00A70B3F">
              <w:t>C0010</w:t>
            </w:r>
          </w:p>
        </w:tc>
        <w:tc>
          <w:tcPr>
            <w:tcW w:w="76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DEDE098" w14:textId="77777777" w:rsidR="00360616" w:rsidRPr="00553367" w:rsidRDefault="00360616" w:rsidP="006075C1">
            <w:pPr>
              <w:spacing w:before="0" w:after="0" w:line="240" w:lineRule="auto"/>
              <w:jc w:val="both"/>
              <w:rPr>
                <w:rFonts w:asciiTheme="minorHAnsi" w:eastAsia="Times New Roman" w:hAnsiTheme="minorHAnsi" w:cs="Calibri"/>
                <w:b/>
                <w:bCs/>
                <w:color w:val="000000"/>
                <w:kern w:val="0"/>
                <w:sz w:val="20"/>
                <w:u w:val="single"/>
                <w:lang w:val="en-IE" w:eastAsia="en-IE"/>
              </w:rPr>
            </w:pPr>
            <w:r w:rsidRPr="00553367">
              <w:rPr>
                <w:rFonts w:asciiTheme="minorHAnsi" w:eastAsia="Times New Roman" w:hAnsiTheme="minorHAnsi" w:cs="Calibri"/>
                <w:b/>
                <w:bCs/>
                <w:color w:val="000000"/>
                <w:kern w:val="0"/>
                <w:sz w:val="20"/>
                <w:u w:val="single"/>
                <w:lang w:val="en-IE" w:eastAsia="en-IE"/>
              </w:rPr>
              <w:t>Last approval date of the BWRA</w:t>
            </w:r>
          </w:p>
          <w:p w14:paraId="6319CE63" w14:textId="77777777" w:rsidR="00E6247E" w:rsidRDefault="00E6247E" w:rsidP="006075C1">
            <w:pPr>
              <w:spacing w:before="0" w:after="0" w:line="240" w:lineRule="auto"/>
              <w:jc w:val="both"/>
              <w:rPr>
                <w:rFonts w:asciiTheme="minorHAnsi" w:eastAsia="Times New Roman" w:hAnsiTheme="minorHAnsi" w:cs="Calibri"/>
                <w:color w:val="000000"/>
                <w:kern w:val="0"/>
                <w:sz w:val="20"/>
                <w:lang w:val="en-IE" w:eastAsia="en-IE"/>
              </w:rPr>
            </w:pPr>
          </w:p>
          <w:p w14:paraId="4C339B76" w14:textId="5F78C09F" w:rsidR="00360616" w:rsidRDefault="004F1145" w:rsidP="006075C1">
            <w:pPr>
              <w:spacing w:before="0" w:after="0" w:line="240" w:lineRule="auto"/>
              <w:jc w:val="both"/>
              <w:rPr>
                <w:rFonts w:asciiTheme="minorHAnsi" w:eastAsia="Times New Roman" w:hAnsiTheme="minorHAnsi" w:cs="Calibri"/>
                <w:color w:val="000000"/>
                <w:kern w:val="0"/>
                <w:sz w:val="20"/>
                <w:lang w:eastAsia="en-IE"/>
              </w:rPr>
            </w:pPr>
            <w:r w:rsidRPr="004F1145">
              <w:rPr>
                <w:rFonts w:asciiTheme="minorHAnsi" w:eastAsia="Times New Roman" w:hAnsiTheme="minorHAnsi" w:cs="Calibri"/>
                <w:color w:val="000000"/>
                <w:kern w:val="0"/>
                <w:sz w:val="20"/>
                <w:lang w:val="en-IE" w:eastAsia="en-IE"/>
              </w:rPr>
              <w:t xml:space="preserve">For this exercise, reference can be made to </w:t>
            </w:r>
            <w:r>
              <w:rPr>
                <w:rFonts w:asciiTheme="minorHAnsi" w:eastAsia="Times New Roman" w:hAnsiTheme="minorHAnsi" w:cs="Calibri"/>
                <w:color w:val="000000"/>
                <w:kern w:val="0"/>
                <w:sz w:val="20"/>
                <w:lang w:val="en-IE" w:eastAsia="en-IE"/>
              </w:rPr>
              <w:t>a</w:t>
            </w:r>
            <w:r w:rsidR="00200C32" w:rsidRPr="00553367">
              <w:rPr>
                <w:rFonts w:asciiTheme="minorHAnsi" w:eastAsia="Times New Roman" w:hAnsiTheme="minorHAnsi" w:cs="Calibri"/>
                <w:color w:val="000000"/>
                <w:kern w:val="0"/>
                <w:sz w:val="20"/>
                <w:lang w:val="en-IE" w:eastAsia="en-IE"/>
              </w:rPr>
              <w:t>pproval by the management body in its management function</w:t>
            </w:r>
            <w:r w:rsidR="0028216F">
              <w:rPr>
                <w:rFonts w:asciiTheme="minorHAnsi" w:eastAsia="Times New Roman" w:hAnsiTheme="minorHAnsi" w:cs="Calibri"/>
                <w:color w:val="000000"/>
                <w:kern w:val="0"/>
                <w:sz w:val="20"/>
                <w:lang w:val="en-IE" w:eastAsia="en-IE"/>
              </w:rPr>
              <w:t>.</w:t>
            </w:r>
            <w:r w:rsidR="00200C32" w:rsidRPr="00553367">
              <w:rPr>
                <w:rFonts w:asciiTheme="minorHAnsi" w:eastAsia="Times New Roman" w:hAnsiTheme="minorHAnsi" w:cs="Calibri"/>
                <w:color w:val="000000"/>
                <w:kern w:val="0"/>
                <w:sz w:val="20"/>
                <w:lang w:val="en-IE" w:eastAsia="en-IE"/>
              </w:rPr>
              <w:t xml:space="preserve"> </w:t>
            </w:r>
            <w:r w:rsidR="00200C32" w:rsidRPr="00553367">
              <w:rPr>
                <w:rFonts w:asciiTheme="minorHAnsi" w:eastAsia="Times New Roman" w:hAnsiTheme="minorHAnsi" w:cs="Calibri"/>
                <w:color w:val="000000"/>
                <w:kern w:val="0"/>
                <w:sz w:val="20"/>
                <w:lang w:eastAsia="en-IE"/>
              </w:rPr>
              <w:t xml:space="preserve">Where such body exists </w:t>
            </w:r>
            <w:r w:rsidR="007A26FF">
              <w:rPr>
                <w:rFonts w:asciiTheme="minorHAnsi" w:eastAsia="Times New Roman" w:hAnsiTheme="minorHAnsi" w:cs="Calibri"/>
                <w:color w:val="000000"/>
                <w:kern w:val="0"/>
                <w:sz w:val="20"/>
                <w:lang w:eastAsia="en-IE"/>
              </w:rPr>
              <w:t>reporting obliged entities</w:t>
            </w:r>
            <w:r w:rsidR="007A26FF" w:rsidRPr="00553367">
              <w:rPr>
                <w:rFonts w:asciiTheme="minorHAnsi" w:eastAsia="Times New Roman" w:hAnsiTheme="minorHAnsi" w:cs="Calibri"/>
                <w:color w:val="000000"/>
                <w:kern w:val="0"/>
                <w:sz w:val="20"/>
                <w:lang w:eastAsia="en-IE"/>
              </w:rPr>
              <w:t xml:space="preserve"> </w:t>
            </w:r>
            <w:r w:rsidR="00200C32" w:rsidRPr="00553367">
              <w:rPr>
                <w:rFonts w:asciiTheme="minorHAnsi" w:eastAsia="Times New Roman" w:hAnsiTheme="minorHAnsi" w:cs="Calibri"/>
                <w:color w:val="000000"/>
                <w:kern w:val="0"/>
                <w:sz w:val="20"/>
                <w:lang w:eastAsia="en-IE"/>
              </w:rPr>
              <w:t>should communicate the BWRA to the management body in its supervisory function in line with Article 10(2) AMLR</w:t>
            </w:r>
            <w:r w:rsidR="00DD6922">
              <w:rPr>
                <w:rFonts w:asciiTheme="minorHAnsi" w:eastAsia="Times New Roman" w:hAnsiTheme="minorHAnsi" w:cs="Calibri"/>
                <w:color w:val="000000"/>
                <w:kern w:val="0"/>
                <w:sz w:val="20"/>
                <w:lang w:eastAsia="en-IE"/>
              </w:rPr>
              <w:t>.</w:t>
            </w:r>
          </w:p>
          <w:p w14:paraId="6EB9AC55" w14:textId="77777777" w:rsidR="00DD6922" w:rsidRDefault="00DD6922" w:rsidP="006075C1">
            <w:pPr>
              <w:spacing w:before="0" w:after="0" w:line="240" w:lineRule="auto"/>
              <w:jc w:val="both"/>
              <w:rPr>
                <w:rFonts w:asciiTheme="minorHAnsi" w:eastAsia="Times New Roman" w:hAnsiTheme="minorHAnsi" w:cs="Calibri"/>
                <w:color w:val="000000"/>
                <w:kern w:val="0"/>
                <w:sz w:val="20"/>
                <w:lang w:eastAsia="en-IE"/>
              </w:rPr>
            </w:pPr>
          </w:p>
          <w:p w14:paraId="25A7CCD8" w14:textId="4B5225D9" w:rsidR="00DD6922" w:rsidRDefault="00DD6922" w:rsidP="006075C1">
            <w:pPr>
              <w:spacing w:before="0" w:after="0" w:line="240" w:lineRule="auto"/>
              <w:jc w:val="both"/>
              <w:rPr>
                <w:rFonts w:asciiTheme="minorHAnsi" w:eastAsia="Times New Roman" w:hAnsiTheme="minorHAnsi" w:cs="Calibri"/>
                <w:color w:val="000000"/>
                <w:kern w:val="0"/>
                <w:sz w:val="20"/>
                <w:lang w:eastAsia="en-IE"/>
              </w:rPr>
            </w:pPr>
            <w:r>
              <w:rPr>
                <w:rFonts w:asciiTheme="minorHAnsi" w:eastAsia="Times New Roman" w:hAnsiTheme="minorHAnsi" w:cs="Calibri"/>
                <w:color w:val="000000"/>
                <w:kern w:val="0"/>
                <w:sz w:val="20"/>
                <w:lang w:eastAsia="en-IE"/>
              </w:rPr>
              <w:t xml:space="preserve">Indicate the </w:t>
            </w:r>
            <w:r w:rsidR="00BB7B27">
              <w:rPr>
                <w:rFonts w:asciiTheme="minorHAnsi" w:eastAsia="Times New Roman" w:hAnsiTheme="minorHAnsi" w:cs="Calibri"/>
                <w:color w:val="000000"/>
                <w:kern w:val="0"/>
                <w:sz w:val="20"/>
                <w:lang w:eastAsia="en-IE"/>
              </w:rPr>
              <w:t xml:space="preserve">date of the </w:t>
            </w:r>
            <w:r w:rsidR="00DE3F31">
              <w:rPr>
                <w:rFonts w:asciiTheme="minorHAnsi" w:eastAsia="Times New Roman" w:hAnsiTheme="minorHAnsi" w:cs="Calibri"/>
                <w:color w:val="000000"/>
                <w:kern w:val="0"/>
                <w:sz w:val="20"/>
                <w:lang w:eastAsia="en-IE"/>
              </w:rPr>
              <w:t>last approv</w:t>
            </w:r>
            <w:r w:rsidR="00BB7B27">
              <w:rPr>
                <w:rFonts w:asciiTheme="minorHAnsi" w:eastAsia="Times New Roman" w:hAnsiTheme="minorHAnsi" w:cs="Calibri"/>
                <w:color w:val="000000"/>
                <w:kern w:val="0"/>
                <w:sz w:val="20"/>
                <w:lang w:eastAsia="en-IE"/>
              </w:rPr>
              <w:t>al</w:t>
            </w:r>
            <w:r w:rsidR="00DE3F31">
              <w:rPr>
                <w:rFonts w:asciiTheme="minorHAnsi" w:eastAsia="Times New Roman" w:hAnsiTheme="minorHAnsi" w:cs="Calibri"/>
                <w:color w:val="000000"/>
                <w:kern w:val="0"/>
                <w:sz w:val="20"/>
                <w:lang w:eastAsia="en-IE"/>
              </w:rPr>
              <w:t xml:space="preserve"> of the BWRA.</w:t>
            </w:r>
          </w:p>
          <w:p w14:paraId="51228178" w14:textId="2FAA6997" w:rsidR="0028216F" w:rsidRPr="00553367" w:rsidRDefault="0028216F" w:rsidP="006075C1">
            <w:pPr>
              <w:spacing w:before="0" w:after="0" w:line="240" w:lineRule="auto"/>
              <w:jc w:val="both"/>
              <w:rPr>
                <w:rFonts w:asciiTheme="minorHAnsi" w:eastAsia="Times New Roman" w:hAnsiTheme="minorHAnsi" w:cs="Calibri"/>
                <w:color w:val="000000"/>
                <w:kern w:val="0"/>
                <w:sz w:val="20"/>
                <w:lang w:val="en-IE" w:eastAsia="en-IE"/>
              </w:rPr>
            </w:pPr>
          </w:p>
        </w:tc>
      </w:tr>
      <w:tr w:rsidR="00A10CBD" w:rsidRPr="009B282E" w14:paraId="55D6BF4A" w14:textId="77777777" w:rsidTr="63745C57">
        <w:tc>
          <w:tcPr>
            <w:tcW w:w="1673" w:type="dxa"/>
            <w:tcBorders>
              <w:top w:val="single" w:sz="4" w:space="0" w:color="auto"/>
              <w:left w:val="single" w:sz="4" w:space="0" w:color="auto"/>
              <w:bottom w:val="single" w:sz="4" w:space="0" w:color="auto"/>
              <w:right w:val="single" w:sz="4" w:space="0" w:color="auto"/>
            </w:tcBorders>
            <w:vAlign w:val="center"/>
          </w:tcPr>
          <w:p w14:paraId="77E3BFBB" w14:textId="0E8B8094" w:rsidR="00360616" w:rsidRPr="009275BC" w:rsidRDefault="009842E1" w:rsidP="00F32516">
            <w:pPr>
              <w:pStyle w:val="InstructionsText"/>
              <w:rPr>
                <w:rStyle w:val="FormatvorlageInstructionsTabelleText"/>
                <w:rFonts w:asciiTheme="minorHAnsi" w:hAnsiTheme="minorHAnsi"/>
              </w:rPr>
            </w:pPr>
            <w:r w:rsidRPr="00A70B3F">
              <w:t>C0020</w:t>
            </w:r>
          </w:p>
        </w:tc>
        <w:tc>
          <w:tcPr>
            <w:tcW w:w="7616"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F86BC6A" w14:textId="77777777" w:rsidR="00491899" w:rsidRDefault="00491899" w:rsidP="006075C1">
            <w:pPr>
              <w:spacing w:before="0" w:after="0" w:line="240" w:lineRule="auto"/>
              <w:jc w:val="both"/>
              <w:rPr>
                <w:rFonts w:asciiTheme="minorHAnsi" w:eastAsia="Times New Roman" w:hAnsiTheme="minorHAnsi" w:cs="Calibri"/>
                <w:color w:val="000000"/>
                <w:kern w:val="0"/>
                <w:sz w:val="20"/>
                <w:lang w:val="en-IE" w:eastAsia="en-IE"/>
              </w:rPr>
            </w:pPr>
            <w:r w:rsidRPr="00B97434">
              <w:rPr>
                <w:rFonts w:ascii="Aptos" w:eastAsia="Times New Roman" w:hAnsi="Aptos" w:cs="Calibri"/>
                <w:b/>
                <w:color w:val="000000"/>
                <w:kern w:val="0"/>
                <w:sz w:val="20"/>
                <w:u w:val="single"/>
                <w:lang w:val="en-IE" w:eastAsia="en-IE"/>
              </w:rPr>
              <w:t>Senior Management Approval (BWRA)</w:t>
            </w:r>
          </w:p>
          <w:p w14:paraId="6E3CDAFF" w14:textId="49148C2E" w:rsidR="00500C32" w:rsidRDefault="007246F3" w:rsidP="006075C1">
            <w:pPr>
              <w:spacing w:before="0" w:after="0" w:line="240" w:lineRule="auto"/>
              <w:jc w:val="both"/>
              <w:rPr>
                <w:rFonts w:asciiTheme="minorHAnsi" w:eastAsia="Times New Roman" w:hAnsiTheme="minorHAnsi" w:cs="Calibri"/>
                <w:color w:val="000000"/>
                <w:kern w:val="0"/>
                <w:sz w:val="20"/>
                <w:lang w:eastAsia="en-IE"/>
              </w:rPr>
            </w:pPr>
            <w:r>
              <w:rPr>
                <w:rFonts w:asciiTheme="minorHAnsi" w:eastAsia="Times New Roman" w:hAnsiTheme="minorHAnsi" w:cs="Calibri"/>
                <w:color w:val="000000"/>
                <w:kern w:val="0"/>
                <w:sz w:val="20"/>
                <w:lang w:val="en-IE" w:eastAsia="en-IE"/>
              </w:rPr>
              <w:t xml:space="preserve">For this exercise, </w:t>
            </w:r>
            <w:r w:rsidR="00285BF2">
              <w:rPr>
                <w:rFonts w:asciiTheme="minorHAnsi" w:eastAsia="Times New Roman" w:hAnsiTheme="minorHAnsi" w:cs="Calibri"/>
                <w:color w:val="000000"/>
                <w:kern w:val="0"/>
                <w:sz w:val="20"/>
                <w:lang w:val="en-IE" w:eastAsia="en-IE"/>
              </w:rPr>
              <w:t>reference can be made to a</w:t>
            </w:r>
            <w:r w:rsidR="00461C2D" w:rsidRPr="00553367">
              <w:rPr>
                <w:rFonts w:asciiTheme="minorHAnsi" w:eastAsia="Times New Roman" w:hAnsiTheme="minorHAnsi" w:cs="Calibri"/>
                <w:color w:val="000000"/>
                <w:kern w:val="0"/>
                <w:sz w:val="20"/>
                <w:lang w:val="en-IE" w:eastAsia="en-IE"/>
              </w:rPr>
              <w:t>pproval by the management body in its management function</w:t>
            </w:r>
            <w:r>
              <w:rPr>
                <w:rFonts w:asciiTheme="minorHAnsi" w:eastAsia="Times New Roman" w:hAnsiTheme="minorHAnsi" w:cs="Calibri"/>
                <w:color w:val="000000"/>
                <w:kern w:val="0"/>
                <w:sz w:val="20"/>
                <w:lang w:val="en-IE" w:eastAsia="en-IE"/>
              </w:rPr>
              <w:t>.</w:t>
            </w:r>
            <w:r w:rsidR="00162DD2">
              <w:rPr>
                <w:rFonts w:asciiTheme="minorHAnsi" w:eastAsia="Times New Roman" w:hAnsiTheme="minorHAnsi" w:cs="Calibri"/>
                <w:color w:val="000000"/>
                <w:kern w:val="0"/>
                <w:sz w:val="20"/>
                <w:lang w:val="en-IE" w:eastAsia="en-IE"/>
              </w:rPr>
              <w:t xml:space="preserve"> </w:t>
            </w:r>
            <w:r w:rsidR="00461C2D" w:rsidRPr="00553367">
              <w:rPr>
                <w:rFonts w:asciiTheme="minorHAnsi" w:eastAsia="Times New Roman" w:hAnsiTheme="minorHAnsi" w:cs="Calibri"/>
                <w:color w:val="000000"/>
                <w:kern w:val="0"/>
                <w:sz w:val="20"/>
                <w:lang w:eastAsia="en-IE"/>
              </w:rPr>
              <w:t xml:space="preserve">Where such body exists </w:t>
            </w:r>
            <w:r w:rsidR="007A26FF">
              <w:rPr>
                <w:rFonts w:asciiTheme="minorHAnsi" w:eastAsia="Times New Roman" w:hAnsiTheme="minorHAnsi" w:cs="Calibri"/>
                <w:color w:val="000000"/>
                <w:kern w:val="0"/>
                <w:sz w:val="20"/>
                <w:lang w:eastAsia="en-IE"/>
              </w:rPr>
              <w:t>reporting obliged entities</w:t>
            </w:r>
            <w:r w:rsidR="007A26FF" w:rsidRPr="00553367">
              <w:rPr>
                <w:rFonts w:asciiTheme="minorHAnsi" w:eastAsia="Times New Roman" w:hAnsiTheme="minorHAnsi" w:cs="Calibri"/>
                <w:color w:val="000000"/>
                <w:kern w:val="0"/>
                <w:sz w:val="20"/>
                <w:lang w:eastAsia="en-IE"/>
              </w:rPr>
              <w:t xml:space="preserve"> </w:t>
            </w:r>
            <w:r w:rsidR="00461C2D" w:rsidRPr="00553367">
              <w:rPr>
                <w:rFonts w:asciiTheme="minorHAnsi" w:eastAsia="Times New Roman" w:hAnsiTheme="minorHAnsi" w:cs="Calibri"/>
                <w:color w:val="000000"/>
                <w:kern w:val="0"/>
                <w:sz w:val="20"/>
                <w:lang w:eastAsia="en-IE"/>
              </w:rPr>
              <w:t>should communicate the BWRA to the management body in its supervisory function in line with Article 10(2) AMLR</w:t>
            </w:r>
            <w:r w:rsidR="00856FEB">
              <w:rPr>
                <w:rFonts w:asciiTheme="minorHAnsi" w:eastAsia="Times New Roman" w:hAnsiTheme="minorHAnsi" w:cs="Calibri"/>
                <w:color w:val="000000"/>
                <w:kern w:val="0"/>
                <w:sz w:val="20"/>
                <w:lang w:eastAsia="en-IE"/>
              </w:rPr>
              <w:t>.</w:t>
            </w:r>
          </w:p>
          <w:p w14:paraId="7FF91254" w14:textId="77777777" w:rsidR="00856FEB" w:rsidRDefault="00856FEB" w:rsidP="006075C1">
            <w:pPr>
              <w:spacing w:before="0" w:after="0" w:line="240" w:lineRule="auto"/>
              <w:jc w:val="both"/>
              <w:rPr>
                <w:rFonts w:asciiTheme="minorHAnsi" w:eastAsia="Times New Roman" w:hAnsiTheme="minorHAnsi" w:cs="Calibri"/>
                <w:color w:val="000000"/>
                <w:kern w:val="0"/>
                <w:sz w:val="20"/>
                <w:lang w:eastAsia="en-IE"/>
              </w:rPr>
            </w:pPr>
          </w:p>
          <w:p w14:paraId="610486A8" w14:textId="1302C01C" w:rsidR="00754211" w:rsidRPr="006963A7" w:rsidRDefault="00856FEB" w:rsidP="00754211">
            <w:pPr>
              <w:spacing w:before="0" w:after="0" w:line="240" w:lineRule="auto"/>
              <w:jc w:val="both"/>
              <w:rPr>
                <w:rFonts w:asciiTheme="minorHAnsi" w:eastAsia="Times New Roman" w:hAnsiTheme="minorHAnsi" w:cs="Calibri"/>
                <w:color w:val="000000"/>
                <w:kern w:val="0"/>
                <w:sz w:val="20"/>
                <w:lang w:val="en-IE" w:eastAsia="en-IE"/>
              </w:rPr>
            </w:pPr>
            <w:r>
              <w:rPr>
                <w:rFonts w:asciiTheme="minorHAnsi" w:eastAsia="Times New Roman" w:hAnsiTheme="minorHAnsi" w:cs="Calibri"/>
                <w:color w:val="000000"/>
                <w:kern w:val="0"/>
                <w:sz w:val="20"/>
                <w:lang w:eastAsia="en-IE"/>
              </w:rPr>
              <w:t xml:space="preserve">Indicate whether </w:t>
            </w:r>
            <w:r w:rsidR="004E2125">
              <w:rPr>
                <w:rFonts w:asciiTheme="minorHAnsi" w:eastAsia="Times New Roman" w:hAnsiTheme="minorHAnsi" w:cs="Calibri"/>
                <w:color w:val="000000"/>
                <w:kern w:val="0"/>
                <w:sz w:val="20"/>
                <w:lang w:eastAsia="en-IE"/>
              </w:rPr>
              <w:t>senior management has approved the last</w:t>
            </w:r>
            <w:r w:rsidR="00754211">
              <w:rPr>
                <w:rFonts w:asciiTheme="minorHAnsi" w:eastAsia="Times New Roman" w:hAnsiTheme="minorHAnsi" w:cs="Calibri"/>
                <w:color w:val="000000"/>
                <w:kern w:val="0"/>
                <w:sz w:val="20"/>
                <w:lang w:eastAsia="en-IE"/>
              </w:rPr>
              <w:t xml:space="preserve"> version of the BWRA.</w:t>
            </w:r>
          </w:p>
          <w:p w14:paraId="773F6370" w14:textId="67A919D0" w:rsidR="0028216F" w:rsidRPr="00553367" w:rsidRDefault="0028216F" w:rsidP="006075C1">
            <w:pPr>
              <w:spacing w:before="0" w:after="0" w:line="240" w:lineRule="auto"/>
              <w:jc w:val="both"/>
              <w:rPr>
                <w:rFonts w:asciiTheme="minorHAnsi" w:eastAsia="Times New Roman" w:hAnsiTheme="minorHAnsi" w:cs="Calibri"/>
                <w:color w:val="000000"/>
                <w:kern w:val="0"/>
                <w:sz w:val="20"/>
                <w:lang w:val="en-IE" w:eastAsia="en-IE"/>
              </w:rPr>
            </w:pPr>
          </w:p>
        </w:tc>
      </w:tr>
      <w:tr w:rsidR="00A10CBD" w:rsidRPr="009B282E" w14:paraId="76190352" w14:textId="77777777" w:rsidTr="63745C57">
        <w:tc>
          <w:tcPr>
            <w:tcW w:w="1673" w:type="dxa"/>
            <w:tcBorders>
              <w:top w:val="single" w:sz="4" w:space="0" w:color="auto"/>
              <w:left w:val="single" w:sz="4" w:space="0" w:color="auto"/>
              <w:bottom w:val="single" w:sz="4" w:space="0" w:color="auto"/>
              <w:right w:val="single" w:sz="4" w:space="0" w:color="auto"/>
            </w:tcBorders>
            <w:vAlign w:val="center"/>
          </w:tcPr>
          <w:p w14:paraId="2A75609C" w14:textId="10657436" w:rsidR="00360616" w:rsidRPr="009275BC" w:rsidRDefault="009842E1" w:rsidP="00F32516">
            <w:pPr>
              <w:pStyle w:val="InstructionsText"/>
              <w:rPr>
                <w:rStyle w:val="FormatvorlageInstructionsTabelleText"/>
                <w:rFonts w:asciiTheme="minorHAnsi" w:hAnsiTheme="minorHAnsi"/>
              </w:rPr>
            </w:pPr>
            <w:r w:rsidRPr="00A70B3F">
              <w:t>C0030</w:t>
            </w:r>
          </w:p>
        </w:tc>
        <w:tc>
          <w:tcPr>
            <w:tcW w:w="7616"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0F4CFFF" w14:textId="77777777" w:rsidR="00360616" w:rsidRPr="002328E8" w:rsidRDefault="00360616" w:rsidP="006075C1">
            <w:pPr>
              <w:spacing w:before="0" w:after="0" w:line="240" w:lineRule="auto"/>
              <w:jc w:val="both"/>
              <w:rPr>
                <w:rFonts w:asciiTheme="minorHAnsi" w:eastAsia="Times New Roman" w:hAnsiTheme="minorHAnsi" w:cs="Calibri"/>
                <w:b/>
                <w:bCs/>
                <w:color w:val="000000"/>
                <w:kern w:val="0"/>
                <w:sz w:val="20"/>
                <w:u w:val="single"/>
                <w:lang w:val="en-IE" w:eastAsia="en-IE"/>
              </w:rPr>
            </w:pPr>
            <w:r w:rsidRPr="002328E8">
              <w:rPr>
                <w:rFonts w:asciiTheme="minorHAnsi" w:eastAsia="Times New Roman" w:hAnsiTheme="minorHAnsi" w:cs="Calibri"/>
                <w:b/>
                <w:bCs/>
                <w:color w:val="000000"/>
                <w:kern w:val="0"/>
                <w:sz w:val="20"/>
                <w:u w:val="single"/>
                <w:lang w:val="en-IE" w:eastAsia="en-IE"/>
              </w:rPr>
              <w:t>Date of the last update of the CRA</w:t>
            </w:r>
          </w:p>
          <w:p w14:paraId="52BAB840" w14:textId="0017F80F" w:rsidR="00815A0B" w:rsidRPr="00995F82" w:rsidRDefault="00815A0B" w:rsidP="006075C1">
            <w:pPr>
              <w:spacing w:before="0" w:after="0" w:line="240" w:lineRule="auto"/>
              <w:jc w:val="both"/>
              <w:rPr>
                <w:rFonts w:ascii="Aptos" w:eastAsia="Aptos" w:hAnsi="Aptos" w:cs="Aptos"/>
                <w:color w:val="auto"/>
                <w:kern w:val="0"/>
                <w:sz w:val="20"/>
                <w:lang w:val="en-GB"/>
              </w:rPr>
            </w:pPr>
            <w:r w:rsidRPr="002328E8">
              <w:rPr>
                <w:rFonts w:asciiTheme="minorHAnsi" w:eastAsia="Times New Roman" w:hAnsiTheme="minorHAnsi" w:cs="Calibri"/>
                <w:color w:val="000000"/>
                <w:kern w:val="0"/>
                <w:sz w:val="20"/>
                <w:lang w:val="en-GB" w:eastAsia="en-IE"/>
              </w:rPr>
              <w:t>The update refers to the CRA methodology and not to the update of each customer risk score</w:t>
            </w:r>
            <w:r w:rsidR="1E38A5E5" w:rsidRPr="2F0F8878">
              <w:rPr>
                <w:rFonts w:asciiTheme="minorHAnsi" w:eastAsia="Times New Roman" w:hAnsiTheme="minorHAnsi" w:cs="Calibri"/>
                <w:color w:val="000000"/>
                <w:kern w:val="0"/>
                <w:sz w:val="20"/>
                <w:lang w:val="en-GB" w:eastAsia="en-IE"/>
              </w:rPr>
              <w:t xml:space="preserve">. </w:t>
            </w:r>
            <w:r w:rsidR="1E38A5E5" w:rsidRPr="00995F82">
              <w:rPr>
                <w:rFonts w:ascii="Aptos" w:eastAsia="Aptos" w:hAnsi="Aptos" w:cs="Aptos"/>
                <w:color w:val="auto"/>
                <w:kern w:val="0"/>
                <w:sz w:val="20"/>
                <w:lang w:val="en-GB"/>
              </w:rPr>
              <w:t xml:space="preserve">Minor adjustments do not count as updates. In case of </w:t>
            </w:r>
            <w:r w:rsidR="49A0AC35" w:rsidRPr="00995F82">
              <w:rPr>
                <w:rFonts w:ascii="Aptos" w:eastAsia="Aptos" w:hAnsi="Aptos" w:cs="Aptos"/>
                <w:color w:val="auto"/>
                <w:kern w:val="0"/>
                <w:sz w:val="20"/>
                <w:lang w:val="en-GB"/>
              </w:rPr>
              <w:t>outsourcing</w:t>
            </w:r>
            <w:r w:rsidR="1E38A5E5" w:rsidRPr="00995F82">
              <w:rPr>
                <w:rFonts w:ascii="Aptos" w:eastAsia="Aptos" w:hAnsi="Aptos" w:cs="Aptos"/>
                <w:color w:val="auto"/>
                <w:kern w:val="0"/>
                <w:sz w:val="20"/>
                <w:lang w:val="en-GB"/>
              </w:rPr>
              <w:t xml:space="preserve"> to third parties, report the date of the third party's last CRA update.</w:t>
            </w:r>
          </w:p>
          <w:p w14:paraId="74081BA2" w14:textId="011040F7" w:rsidR="00C5408E" w:rsidRPr="002328E8" w:rsidRDefault="00C5408E" w:rsidP="006075C1">
            <w:pPr>
              <w:spacing w:before="0" w:after="0" w:line="240" w:lineRule="auto"/>
              <w:jc w:val="both"/>
              <w:rPr>
                <w:rFonts w:asciiTheme="minorHAnsi" w:eastAsia="Times New Roman" w:hAnsiTheme="minorHAnsi" w:cs="Calibri"/>
                <w:color w:val="000000"/>
                <w:kern w:val="0"/>
                <w:sz w:val="20"/>
                <w:lang w:val="en-IE" w:eastAsia="en-IE"/>
              </w:rPr>
            </w:pPr>
          </w:p>
        </w:tc>
      </w:tr>
      <w:tr w:rsidR="005E211E" w:rsidRPr="009B282E" w14:paraId="7A66D237" w14:textId="77777777" w:rsidTr="63745C57">
        <w:tc>
          <w:tcPr>
            <w:tcW w:w="1673" w:type="dxa"/>
            <w:tcBorders>
              <w:top w:val="single" w:sz="4" w:space="0" w:color="auto"/>
              <w:left w:val="single" w:sz="4" w:space="0" w:color="auto"/>
              <w:bottom w:val="single" w:sz="4" w:space="0" w:color="auto"/>
              <w:right w:val="single" w:sz="4" w:space="0" w:color="auto"/>
            </w:tcBorders>
            <w:vAlign w:val="center"/>
          </w:tcPr>
          <w:p w14:paraId="277F7242" w14:textId="78EA196C" w:rsidR="009E2351" w:rsidRPr="009275BC" w:rsidDel="009E2351" w:rsidRDefault="00BE6716" w:rsidP="00F32516">
            <w:pPr>
              <w:pStyle w:val="InstructionsText"/>
              <w:rPr>
                <w:rStyle w:val="FormatvorlageInstructionsTabelleText"/>
                <w:rFonts w:asciiTheme="minorHAnsi" w:hAnsiTheme="minorHAnsi"/>
              </w:rPr>
            </w:pPr>
            <w:r w:rsidRPr="00A70B3F">
              <w:t>C0040</w:t>
            </w:r>
          </w:p>
        </w:tc>
        <w:tc>
          <w:tcPr>
            <w:tcW w:w="7616" w:type="dxa"/>
            <w:tcBorders>
              <w:top w:val="nil"/>
              <w:left w:val="single" w:sz="4" w:space="0" w:color="000000" w:themeColor="text1"/>
              <w:bottom w:val="single" w:sz="4" w:space="0" w:color="000000" w:themeColor="text1"/>
              <w:right w:val="single" w:sz="4" w:space="0" w:color="000000" w:themeColor="text1"/>
            </w:tcBorders>
            <w:vAlign w:val="center"/>
          </w:tcPr>
          <w:p w14:paraId="6472C23D" w14:textId="0A232F99" w:rsidR="00491899" w:rsidRDefault="00491899" w:rsidP="00852119">
            <w:pPr>
              <w:spacing w:before="0" w:after="0" w:line="240" w:lineRule="auto"/>
              <w:ind w:left="1440" w:hanging="1440"/>
              <w:jc w:val="both"/>
              <w:rPr>
                <w:rFonts w:asciiTheme="minorHAnsi" w:eastAsia="Times New Roman" w:hAnsiTheme="minorHAnsi" w:cs="Calibri"/>
                <w:b/>
                <w:bCs/>
                <w:color w:val="000000"/>
                <w:kern w:val="0"/>
                <w:sz w:val="20"/>
                <w:u w:val="single"/>
                <w:lang w:val="en-IE" w:eastAsia="en-IE"/>
              </w:rPr>
            </w:pPr>
            <w:r w:rsidRPr="00290521">
              <w:rPr>
                <w:rFonts w:ascii="Aptos" w:eastAsia="Times New Roman" w:hAnsi="Aptos" w:cs="Calibri"/>
                <w:b/>
                <w:bCs/>
                <w:color w:val="000000"/>
                <w:kern w:val="0"/>
                <w:sz w:val="20"/>
                <w:u w:val="single"/>
                <w:lang w:val="en-IE" w:eastAsia="en-IE"/>
              </w:rPr>
              <w:t>Customers - Low Risk</w:t>
            </w:r>
          </w:p>
          <w:p w14:paraId="3AA781CB" w14:textId="77777777" w:rsidR="00491899" w:rsidRDefault="00491899" w:rsidP="00852119">
            <w:pPr>
              <w:spacing w:before="0" w:after="0" w:line="240" w:lineRule="auto"/>
              <w:ind w:left="1440" w:hanging="1440"/>
              <w:jc w:val="both"/>
              <w:rPr>
                <w:rFonts w:asciiTheme="minorHAnsi" w:eastAsia="Times New Roman" w:hAnsiTheme="minorHAnsi" w:cs="Calibri"/>
                <w:b/>
                <w:bCs/>
                <w:color w:val="000000"/>
                <w:kern w:val="0"/>
                <w:sz w:val="20"/>
                <w:u w:val="single"/>
                <w:lang w:val="en-IE" w:eastAsia="en-IE"/>
              </w:rPr>
            </w:pPr>
          </w:p>
          <w:p w14:paraId="5E0B5874" w14:textId="37661840" w:rsidR="00491899" w:rsidRPr="00E02E2C" w:rsidRDefault="00491899" w:rsidP="456EED19">
            <w:pPr>
              <w:spacing w:before="0" w:after="0" w:line="240" w:lineRule="auto"/>
              <w:jc w:val="both"/>
              <w:rPr>
                <w:rFonts w:asciiTheme="minorHAnsi" w:eastAsia="Times New Roman" w:hAnsiTheme="minorHAnsi" w:cs="Calibri"/>
                <w:color w:val="000000"/>
                <w:kern w:val="0"/>
                <w:sz w:val="20"/>
                <w:lang w:val="en-IE" w:eastAsia="en-IE"/>
              </w:rPr>
            </w:pPr>
            <w:r w:rsidRPr="00E02E2C">
              <w:rPr>
                <w:rFonts w:asciiTheme="minorHAnsi" w:eastAsia="Times New Roman" w:hAnsiTheme="minorHAnsi" w:cs="Calibri"/>
                <w:color w:val="000000" w:themeColor="text1"/>
                <w:sz w:val="20"/>
                <w:lang w:val="en-IE" w:eastAsia="en-IE"/>
              </w:rPr>
              <w:t>Number of customers classified as low risk according to the CRA methodology</w:t>
            </w:r>
            <w:r w:rsidR="3E1931F2" w:rsidRPr="0BDA97AB">
              <w:rPr>
                <w:rFonts w:asciiTheme="minorHAnsi" w:eastAsia="Times New Roman" w:hAnsiTheme="minorHAnsi" w:cs="Calibri"/>
                <w:color w:val="000000" w:themeColor="text1"/>
                <w:sz w:val="20"/>
                <w:lang w:val="en-IE" w:eastAsia="en-IE"/>
              </w:rPr>
              <w:t>, as of the end of the reference year</w:t>
            </w:r>
            <w:r w:rsidRPr="00E02E2C">
              <w:rPr>
                <w:rFonts w:asciiTheme="minorHAnsi" w:eastAsia="Times New Roman" w:hAnsiTheme="minorHAnsi" w:cs="Calibri"/>
                <w:color w:val="000000" w:themeColor="text1"/>
                <w:sz w:val="20"/>
                <w:lang w:val="en-IE" w:eastAsia="en-IE"/>
              </w:rPr>
              <w:t>.</w:t>
            </w:r>
          </w:p>
          <w:p w14:paraId="5F4F25B7" w14:textId="472B2A87" w:rsidR="0028216F" w:rsidRPr="00852119" w:rsidRDefault="0028216F" w:rsidP="00852119">
            <w:pPr>
              <w:spacing w:before="0" w:after="0" w:line="240" w:lineRule="auto"/>
              <w:ind w:left="1440" w:hanging="1440"/>
              <w:jc w:val="both"/>
              <w:rPr>
                <w:rFonts w:asciiTheme="minorHAnsi" w:eastAsia="Times New Roman" w:hAnsiTheme="minorHAnsi" w:cs="Calibri"/>
                <w:b/>
                <w:bCs/>
                <w:color w:val="000000"/>
                <w:kern w:val="0"/>
                <w:sz w:val="20"/>
                <w:u w:val="single"/>
                <w:lang w:val="en-IE" w:eastAsia="en-IE"/>
              </w:rPr>
            </w:pPr>
          </w:p>
        </w:tc>
      </w:tr>
      <w:tr w:rsidR="005E211E" w:rsidRPr="009B282E" w14:paraId="08CA5276" w14:textId="77777777" w:rsidTr="63745C57">
        <w:tc>
          <w:tcPr>
            <w:tcW w:w="1673" w:type="dxa"/>
            <w:tcBorders>
              <w:top w:val="single" w:sz="4" w:space="0" w:color="auto"/>
              <w:left w:val="single" w:sz="4" w:space="0" w:color="auto"/>
              <w:bottom w:val="single" w:sz="4" w:space="0" w:color="auto"/>
              <w:right w:val="single" w:sz="4" w:space="0" w:color="auto"/>
            </w:tcBorders>
            <w:vAlign w:val="center"/>
          </w:tcPr>
          <w:p w14:paraId="137F9C50" w14:textId="343696F9" w:rsidR="009E2351" w:rsidRPr="009275BC" w:rsidDel="009E2351" w:rsidRDefault="00BE6716" w:rsidP="00F32516">
            <w:pPr>
              <w:pStyle w:val="InstructionsText"/>
              <w:rPr>
                <w:rStyle w:val="FormatvorlageInstructionsTabelleText"/>
                <w:rFonts w:asciiTheme="minorHAnsi" w:hAnsiTheme="minorHAnsi"/>
              </w:rPr>
            </w:pPr>
            <w:r w:rsidRPr="00A70B3F">
              <w:t>C0050</w:t>
            </w:r>
          </w:p>
        </w:tc>
        <w:tc>
          <w:tcPr>
            <w:tcW w:w="7616" w:type="dxa"/>
            <w:tcBorders>
              <w:top w:val="nil"/>
              <w:left w:val="single" w:sz="4" w:space="0" w:color="000000" w:themeColor="text1"/>
              <w:bottom w:val="single" w:sz="4" w:space="0" w:color="000000" w:themeColor="text1"/>
              <w:right w:val="single" w:sz="4" w:space="0" w:color="000000" w:themeColor="text1"/>
            </w:tcBorders>
            <w:vAlign w:val="center"/>
          </w:tcPr>
          <w:p w14:paraId="54454E06" w14:textId="0DB1E448" w:rsidR="00491899" w:rsidRDefault="00491899" w:rsidP="009E2351">
            <w:pPr>
              <w:spacing w:before="0" w:after="0" w:line="240" w:lineRule="auto"/>
              <w:jc w:val="both"/>
              <w:rPr>
                <w:rFonts w:asciiTheme="minorHAnsi" w:eastAsia="Times New Roman" w:hAnsiTheme="minorHAnsi" w:cs="Calibri"/>
                <w:b/>
                <w:bCs/>
                <w:color w:val="000000"/>
                <w:kern w:val="0"/>
                <w:sz w:val="20"/>
                <w:u w:val="single"/>
                <w:lang w:val="en-IE" w:eastAsia="en-IE"/>
              </w:rPr>
            </w:pPr>
            <w:r w:rsidRPr="00E52D7B">
              <w:rPr>
                <w:rFonts w:ascii="Aptos" w:eastAsia="Times New Roman" w:hAnsi="Aptos" w:cs="Calibri"/>
                <w:b/>
                <w:bCs/>
                <w:color w:val="000000"/>
                <w:kern w:val="0"/>
                <w:sz w:val="20"/>
                <w:u w:val="single"/>
                <w:lang w:val="en-IE" w:eastAsia="en-IE"/>
              </w:rPr>
              <w:t>Customers - Medium-low Risk</w:t>
            </w:r>
          </w:p>
          <w:p w14:paraId="000295B3" w14:textId="77777777" w:rsidR="00491899" w:rsidRDefault="00491899" w:rsidP="009E2351">
            <w:pPr>
              <w:spacing w:before="0" w:after="0" w:line="240" w:lineRule="auto"/>
              <w:jc w:val="both"/>
              <w:rPr>
                <w:rFonts w:asciiTheme="minorHAnsi" w:eastAsia="Times New Roman" w:hAnsiTheme="minorHAnsi" w:cs="Calibri"/>
                <w:b/>
                <w:bCs/>
                <w:color w:val="000000"/>
                <w:kern w:val="0"/>
                <w:sz w:val="20"/>
                <w:u w:val="single"/>
                <w:lang w:val="en-IE" w:eastAsia="en-IE"/>
              </w:rPr>
            </w:pPr>
          </w:p>
          <w:p w14:paraId="6F981089" w14:textId="77777777" w:rsidR="0028216F" w:rsidRDefault="0066413C" w:rsidP="009E2351">
            <w:pPr>
              <w:spacing w:before="0" w:after="0" w:line="240" w:lineRule="auto"/>
              <w:jc w:val="both"/>
              <w:rPr>
                <w:rFonts w:asciiTheme="minorHAnsi" w:eastAsia="Times New Roman" w:hAnsiTheme="minorHAnsi" w:cs="Calibri"/>
                <w:color w:val="000000" w:themeColor="text1"/>
                <w:sz w:val="20"/>
                <w:lang w:val="en-IE" w:eastAsia="en-IE"/>
              </w:rPr>
            </w:pPr>
            <w:r w:rsidRPr="00F571BC">
              <w:rPr>
                <w:rFonts w:asciiTheme="minorHAnsi" w:eastAsia="Times New Roman" w:hAnsiTheme="minorHAnsi" w:cs="Calibri"/>
                <w:color w:val="000000" w:themeColor="text1"/>
                <w:sz w:val="20"/>
                <w:lang w:val="en-IE" w:eastAsia="en-IE"/>
              </w:rPr>
              <w:t>Indicate the n</w:t>
            </w:r>
            <w:r w:rsidR="00491899" w:rsidRPr="00F571BC">
              <w:rPr>
                <w:rFonts w:asciiTheme="minorHAnsi" w:eastAsia="Times New Roman" w:hAnsiTheme="minorHAnsi" w:cs="Calibri"/>
                <w:color w:val="000000" w:themeColor="text1"/>
                <w:sz w:val="20"/>
                <w:lang w:val="en-IE" w:eastAsia="en-IE"/>
              </w:rPr>
              <w:t xml:space="preserve">umber of customers classified as medium-low risk </w:t>
            </w:r>
            <w:r w:rsidR="00491899" w:rsidRPr="1873AE94">
              <w:rPr>
                <w:rFonts w:asciiTheme="minorHAnsi" w:eastAsia="Times New Roman" w:hAnsiTheme="minorHAnsi" w:cs="Calibri"/>
                <w:color w:val="000000" w:themeColor="text1"/>
                <w:sz w:val="20"/>
                <w:lang w:val="en-IE" w:eastAsia="en-IE"/>
              </w:rPr>
              <w:t>according to the CRA methodology</w:t>
            </w:r>
            <w:r w:rsidR="005416EA" w:rsidRPr="1873AE94">
              <w:rPr>
                <w:rFonts w:asciiTheme="minorHAnsi" w:eastAsia="Times New Roman" w:hAnsiTheme="minorHAnsi" w:cs="Calibri"/>
                <w:color w:val="000000" w:themeColor="text1"/>
                <w:sz w:val="20"/>
                <w:lang w:val="en-IE" w:eastAsia="en-IE"/>
              </w:rPr>
              <w:t>, as of the end of the reference year</w:t>
            </w:r>
            <w:r w:rsidR="00491899" w:rsidRPr="1873AE94">
              <w:rPr>
                <w:rFonts w:asciiTheme="minorHAnsi" w:eastAsia="Times New Roman" w:hAnsiTheme="minorHAnsi" w:cs="Calibri"/>
                <w:color w:val="000000" w:themeColor="text1"/>
                <w:sz w:val="20"/>
                <w:lang w:val="en-IE" w:eastAsia="en-IE"/>
              </w:rPr>
              <w:t>.</w:t>
            </w:r>
          </w:p>
          <w:p w14:paraId="219C6B3A" w14:textId="51DE85FC" w:rsidR="0028216F" w:rsidRPr="00852119" w:rsidRDefault="0028216F" w:rsidP="009E2351">
            <w:pPr>
              <w:spacing w:before="0" w:after="0" w:line="240" w:lineRule="auto"/>
              <w:jc w:val="both"/>
              <w:rPr>
                <w:rFonts w:asciiTheme="minorHAnsi" w:eastAsia="Times New Roman" w:hAnsiTheme="minorHAnsi" w:cs="Calibri"/>
                <w:b/>
                <w:bCs/>
                <w:color w:val="000000"/>
                <w:kern w:val="0"/>
                <w:sz w:val="20"/>
                <w:u w:val="single"/>
                <w:lang w:val="en-IE" w:eastAsia="en-IE"/>
              </w:rPr>
            </w:pPr>
          </w:p>
        </w:tc>
      </w:tr>
      <w:tr w:rsidR="005E211E" w:rsidRPr="009B282E" w14:paraId="4C826AEE" w14:textId="77777777" w:rsidTr="63745C57">
        <w:tc>
          <w:tcPr>
            <w:tcW w:w="1673" w:type="dxa"/>
            <w:tcBorders>
              <w:top w:val="single" w:sz="4" w:space="0" w:color="auto"/>
              <w:left w:val="single" w:sz="4" w:space="0" w:color="auto"/>
              <w:bottom w:val="single" w:sz="4" w:space="0" w:color="auto"/>
              <w:right w:val="single" w:sz="4" w:space="0" w:color="auto"/>
            </w:tcBorders>
            <w:vAlign w:val="center"/>
          </w:tcPr>
          <w:p w14:paraId="695CD4DF" w14:textId="1FE5CE4C" w:rsidR="009E2351" w:rsidRPr="009275BC" w:rsidDel="009E2351" w:rsidRDefault="00BE6716" w:rsidP="00F32516">
            <w:pPr>
              <w:pStyle w:val="InstructionsText"/>
              <w:rPr>
                <w:rStyle w:val="FormatvorlageInstructionsTabelleText"/>
                <w:rFonts w:asciiTheme="minorHAnsi" w:hAnsiTheme="minorHAnsi"/>
              </w:rPr>
            </w:pPr>
            <w:r w:rsidRPr="00A70B3F">
              <w:t>C0060</w:t>
            </w:r>
          </w:p>
        </w:tc>
        <w:tc>
          <w:tcPr>
            <w:tcW w:w="7616" w:type="dxa"/>
            <w:tcBorders>
              <w:top w:val="nil"/>
              <w:left w:val="single" w:sz="4" w:space="0" w:color="000000" w:themeColor="text1"/>
              <w:bottom w:val="single" w:sz="4" w:space="0" w:color="000000" w:themeColor="text1"/>
              <w:right w:val="single" w:sz="4" w:space="0" w:color="000000" w:themeColor="text1"/>
            </w:tcBorders>
            <w:vAlign w:val="center"/>
          </w:tcPr>
          <w:p w14:paraId="0D596598" w14:textId="77777777" w:rsidR="00491899" w:rsidRDefault="00491899" w:rsidP="009E2351">
            <w:pPr>
              <w:spacing w:before="0" w:after="0" w:line="240" w:lineRule="auto"/>
              <w:jc w:val="both"/>
              <w:rPr>
                <w:rFonts w:asciiTheme="minorHAnsi" w:eastAsia="Times New Roman" w:hAnsiTheme="minorHAnsi" w:cs="Calibri"/>
                <w:b/>
                <w:bCs/>
                <w:color w:val="000000"/>
                <w:kern w:val="0"/>
                <w:sz w:val="20"/>
                <w:u w:val="single"/>
                <w:lang w:val="en-IE" w:eastAsia="en-IE"/>
              </w:rPr>
            </w:pPr>
            <w:r w:rsidRPr="004311AF">
              <w:rPr>
                <w:rFonts w:ascii="Aptos" w:eastAsia="Times New Roman" w:hAnsi="Aptos" w:cs="Calibri"/>
                <w:b/>
                <w:bCs/>
                <w:color w:val="000000"/>
                <w:kern w:val="0"/>
                <w:sz w:val="20"/>
                <w:u w:val="single"/>
                <w:lang w:val="en-IE" w:eastAsia="en-IE"/>
              </w:rPr>
              <w:t>Customers - Medium-high Risk</w:t>
            </w:r>
          </w:p>
          <w:p w14:paraId="131BC5BB" w14:textId="77777777" w:rsidR="00491899" w:rsidRDefault="00491899" w:rsidP="009E2351">
            <w:pPr>
              <w:spacing w:before="0" w:after="0" w:line="240" w:lineRule="auto"/>
              <w:jc w:val="both"/>
              <w:rPr>
                <w:rFonts w:asciiTheme="minorHAnsi" w:eastAsia="Times New Roman" w:hAnsiTheme="minorHAnsi" w:cs="Calibri"/>
                <w:b/>
                <w:bCs/>
                <w:color w:val="000000"/>
                <w:kern w:val="0"/>
                <w:sz w:val="20"/>
                <w:u w:val="single"/>
                <w:lang w:val="en-IE" w:eastAsia="en-IE"/>
              </w:rPr>
            </w:pPr>
          </w:p>
          <w:p w14:paraId="5A9CCAAF" w14:textId="77777777" w:rsidR="0028216F" w:rsidRDefault="0066413C" w:rsidP="009E2351">
            <w:pPr>
              <w:spacing w:before="0" w:after="0" w:line="240" w:lineRule="auto"/>
              <w:jc w:val="both"/>
              <w:rPr>
                <w:rFonts w:asciiTheme="minorHAnsi" w:eastAsia="Times New Roman" w:hAnsiTheme="minorHAnsi" w:cs="Calibri"/>
                <w:color w:val="000000" w:themeColor="text1"/>
                <w:sz w:val="20"/>
                <w:lang w:val="en-IE" w:eastAsia="en-IE"/>
              </w:rPr>
            </w:pPr>
            <w:r w:rsidRPr="004311AF">
              <w:rPr>
                <w:rFonts w:asciiTheme="minorHAnsi" w:eastAsia="Times New Roman" w:hAnsiTheme="minorHAnsi" w:cs="Calibri"/>
                <w:color w:val="000000" w:themeColor="text1"/>
                <w:sz w:val="20"/>
                <w:lang w:val="en-IE" w:eastAsia="en-IE"/>
              </w:rPr>
              <w:t>Indicate the n</w:t>
            </w:r>
            <w:r w:rsidR="00491899" w:rsidRPr="004311AF">
              <w:rPr>
                <w:rFonts w:asciiTheme="minorHAnsi" w:eastAsia="Times New Roman" w:hAnsiTheme="minorHAnsi" w:cs="Calibri"/>
                <w:color w:val="000000" w:themeColor="text1"/>
                <w:sz w:val="20"/>
                <w:lang w:val="en-IE" w:eastAsia="en-IE"/>
              </w:rPr>
              <w:t>umber of customers classified as medium-</w:t>
            </w:r>
            <w:r w:rsidRPr="1873AE94">
              <w:rPr>
                <w:rFonts w:asciiTheme="minorHAnsi" w:eastAsia="Times New Roman" w:hAnsiTheme="minorHAnsi" w:cs="Calibri"/>
                <w:color w:val="000000" w:themeColor="text1"/>
                <w:sz w:val="20"/>
                <w:lang w:val="en-IE" w:eastAsia="en-IE"/>
              </w:rPr>
              <w:t xml:space="preserve"> </w:t>
            </w:r>
            <w:r w:rsidR="004D2223" w:rsidRPr="1873AE94">
              <w:rPr>
                <w:rFonts w:asciiTheme="minorHAnsi" w:eastAsia="Times New Roman" w:hAnsiTheme="minorHAnsi" w:cs="Calibri"/>
                <w:color w:val="000000" w:themeColor="text1"/>
                <w:sz w:val="20"/>
                <w:lang w:val="en-IE" w:eastAsia="en-IE"/>
              </w:rPr>
              <w:t>hi</w:t>
            </w:r>
            <w:r w:rsidR="00171263" w:rsidRPr="1873AE94">
              <w:rPr>
                <w:rFonts w:asciiTheme="minorHAnsi" w:eastAsia="Times New Roman" w:hAnsiTheme="minorHAnsi" w:cs="Calibri"/>
                <w:color w:val="000000" w:themeColor="text1"/>
                <w:sz w:val="20"/>
                <w:lang w:val="en-IE" w:eastAsia="en-IE"/>
              </w:rPr>
              <w:t>g</w:t>
            </w:r>
            <w:r w:rsidR="004311AF">
              <w:rPr>
                <w:rFonts w:asciiTheme="minorHAnsi" w:eastAsia="Times New Roman" w:hAnsiTheme="minorHAnsi" w:cs="Calibri"/>
                <w:color w:val="000000" w:themeColor="text1"/>
                <w:sz w:val="20"/>
                <w:lang w:val="en-IE" w:eastAsia="en-IE"/>
              </w:rPr>
              <w:t>h</w:t>
            </w:r>
            <w:r w:rsidR="00171263" w:rsidRPr="1873AE94">
              <w:rPr>
                <w:rFonts w:asciiTheme="minorHAnsi" w:eastAsia="Times New Roman" w:hAnsiTheme="minorHAnsi" w:cs="Calibri"/>
                <w:color w:val="000000" w:themeColor="text1"/>
                <w:sz w:val="20"/>
                <w:lang w:val="en-IE" w:eastAsia="en-IE"/>
              </w:rPr>
              <w:t xml:space="preserve"> risk according to the CRA methodology</w:t>
            </w:r>
            <w:r w:rsidR="4D626370" w:rsidRPr="1873AE94">
              <w:rPr>
                <w:rFonts w:asciiTheme="minorHAnsi" w:eastAsia="Times New Roman" w:hAnsiTheme="minorHAnsi" w:cs="Calibri"/>
                <w:color w:val="000000" w:themeColor="text1"/>
                <w:sz w:val="20"/>
                <w:lang w:val="en-IE" w:eastAsia="en-IE"/>
              </w:rPr>
              <w:t>, as of the end of the reference year</w:t>
            </w:r>
            <w:r w:rsidR="00171263" w:rsidRPr="1873AE94">
              <w:rPr>
                <w:rFonts w:asciiTheme="minorHAnsi" w:eastAsia="Times New Roman" w:hAnsiTheme="minorHAnsi" w:cs="Calibri"/>
                <w:color w:val="000000" w:themeColor="text1"/>
                <w:sz w:val="20"/>
                <w:lang w:val="en-IE" w:eastAsia="en-IE"/>
              </w:rPr>
              <w:t>.</w:t>
            </w:r>
          </w:p>
          <w:p w14:paraId="295F6A6C" w14:textId="3FD5E9BE" w:rsidR="0028216F" w:rsidRPr="00852119" w:rsidRDefault="0028216F" w:rsidP="009E2351">
            <w:pPr>
              <w:spacing w:before="0" w:after="0" w:line="240" w:lineRule="auto"/>
              <w:jc w:val="both"/>
              <w:rPr>
                <w:rFonts w:asciiTheme="minorHAnsi" w:eastAsia="Times New Roman" w:hAnsiTheme="minorHAnsi" w:cs="Calibri"/>
                <w:b/>
                <w:bCs/>
                <w:color w:val="000000"/>
                <w:kern w:val="0"/>
                <w:sz w:val="20"/>
                <w:u w:val="single"/>
                <w:lang w:val="en-IE" w:eastAsia="en-IE"/>
              </w:rPr>
            </w:pPr>
          </w:p>
        </w:tc>
      </w:tr>
      <w:tr w:rsidR="005E211E" w:rsidRPr="009B282E" w14:paraId="493290F1" w14:textId="77777777" w:rsidTr="63745C57">
        <w:tc>
          <w:tcPr>
            <w:tcW w:w="1673" w:type="dxa"/>
            <w:tcBorders>
              <w:top w:val="single" w:sz="4" w:space="0" w:color="auto"/>
              <w:left w:val="single" w:sz="4" w:space="0" w:color="auto"/>
              <w:bottom w:val="single" w:sz="4" w:space="0" w:color="auto"/>
              <w:right w:val="single" w:sz="4" w:space="0" w:color="auto"/>
            </w:tcBorders>
            <w:vAlign w:val="center"/>
          </w:tcPr>
          <w:p w14:paraId="38A1492A" w14:textId="7A8BC1FE" w:rsidR="009E2351" w:rsidRPr="009275BC" w:rsidRDefault="00BE6716" w:rsidP="00F32516">
            <w:pPr>
              <w:pStyle w:val="InstructionsText"/>
              <w:rPr>
                <w:rStyle w:val="FormatvorlageInstructionsTabelleText"/>
                <w:rFonts w:asciiTheme="minorHAnsi" w:hAnsiTheme="minorHAnsi"/>
              </w:rPr>
            </w:pPr>
            <w:r w:rsidRPr="00A70B3F">
              <w:t>C0070</w:t>
            </w:r>
          </w:p>
        </w:tc>
        <w:tc>
          <w:tcPr>
            <w:tcW w:w="7616" w:type="dxa"/>
            <w:tcBorders>
              <w:top w:val="nil"/>
              <w:left w:val="single" w:sz="4" w:space="0" w:color="000000" w:themeColor="text1"/>
              <w:bottom w:val="single" w:sz="4" w:space="0" w:color="000000" w:themeColor="text1"/>
              <w:right w:val="single" w:sz="4" w:space="0" w:color="000000" w:themeColor="text1"/>
            </w:tcBorders>
            <w:vAlign w:val="center"/>
          </w:tcPr>
          <w:p w14:paraId="3BD6BE24" w14:textId="1EA390D1" w:rsidR="00491899" w:rsidRDefault="00491899" w:rsidP="009E2351">
            <w:pPr>
              <w:spacing w:before="0" w:after="0" w:line="240" w:lineRule="auto"/>
              <w:jc w:val="both"/>
              <w:rPr>
                <w:rFonts w:asciiTheme="minorHAnsi" w:eastAsia="Times New Roman" w:hAnsiTheme="minorHAnsi" w:cs="Calibri"/>
                <w:b/>
                <w:bCs/>
                <w:color w:val="000000"/>
                <w:kern w:val="0"/>
                <w:sz w:val="20"/>
                <w:u w:val="single"/>
                <w:lang w:val="en-IE" w:eastAsia="en-IE"/>
              </w:rPr>
            </w:pPr>
            <w:r w:rsidRPr="004311AF">
              <w:rPr>
                <w:rFonts w:ascii="Aptos" w:eastAsia="Times New Roman" w:hAnsi="Aptos" w:cs="Calibri"/>
                <w:b/>
                <w:bCs/>
                <w:color w:val="000000"/>
                <w:kern w:val="0"/>
                <w:sz w:val="20"/>
                <w:u w:val="single"/>
                <w:lang w:val="en-IE" w:eastAsia="en-IE"/>
              </w:rPr>
              <w:t>Customers - High Risk</w:t>
            </w:r>
          </w:p>
          <w:p w14:paraId="753F3BBB" w14:textId="7ADED38F" w:rsidR="00491899" w:rsidRPr="004311AF" w:rsidRDefault="009E2351" w:rsidP="009E2351">
            <w:pPr>
              <w:spacing w:before="0" w:after="0" w:line="240" w:lineRule="auto"/>
              <w:jc w:val="both"/>
              <w:rPr>
                <w:rFonts w:asciiTheme="minorHAnsi" w:eastAsia="Times New Roman" w:hAnsiTheme="minorHAnsi" w:cs="Calibri"/>
                <w:color w:val="000000"/>
                <w:kern w:val="0"/>
                <w:sz w:val="20"/>
                <w:lang w:val="en-IE" w:eastAsia="en-IE"/>
              </w:rPr>
            </w:pPr>
            <w:r w:rsidRPr="004311AF" w:rsidDel="009E2351">
              <w:rPr>
                <w:rFonts w:asciiTheme="minorHAnsi" w:eastAsia="Times New Roman" w:hAnsiTheme="minorHAnsi" w:cs="Calibri"/>
                <w:color w:val="000000"/>
                <w:kern w:val="0"/>
                <w:sz w:val="20"/>
                <w:lang w:val="en-IE" w:eastAsia="en-IE"/>
              </w:rPr>
              <w:t xml:space="preserve"> </w:t>
            </w:r>
          </w:p>
          <w:p w14:paraId="26590EDC" w14:textId="77777777" w:rsidR="009E2351" w:rsidRDefault="00E8714A" w:rsidP="009E2351">
            <w:pPr>
              <w:spacing w:before="0" w:after="0" w:line="240" w:lineRule="auto"/>
              <w:jc w:val="both"/>
              <w:rPr>
                <w:rFonts w:asciiTheme="minorHAnsi" w:eastAsia="Times New Roman" w:hAnsiTheme="minorHAnsi" w:cs="Calibri"/>
                <w:color w:val="000000" w:themeColor="text1"/>
                <w:sz w:val="20"/>
                <w:lang w:val="en-IE" w:eastAsia="en-IE"/>
              </w:rPr>
            </w:pPr>
            <w:r w:rsidRPr="004311AF">
              <w:rPr>
                <w:rFonts w:asciiTheme="minorHAnsi" w:eastAsia="Times New Roman" w:hAnsiTheme="minorHAnsi" w:cs="Calibri"/>
                <w:color w:val="000000" w:themeColor="text1"/>
                <w:sz w:val="20"/>
                <w:lang w:val="en-IE" w:eastAsia="en-IE"/>
              </w:rPr>
              <w:t>Indicate the n</w:t>
            </w:r>
            <w:r w:rsidR="00491899" w:rsidRPr="004311AF">
              <w:rPr>
                <w:rFonts w:asciiTheme="minorHAnsi" w:eastAsia="Times New Roman" w:hAnsiTheme="minorHAnsi" w:cs="Calibri"/>
                <w:color w:val="000000" w:themeColor="text1"/>
                <w:sz w:val="20"/>
                <w:lang w:val="en-IE" w:eastAsia="en-IE"/>
              </w:rPr>
              <w:t xml:space="preserve">umber of customers classified as high risk </w:t>
            </w:r>
            <w:r w:rsidR="00491899" w:rsidRPr="1873AE94">
              <w:rPr>
                <w:rFonts w:asciiTheme="minorHAnsi" w:eastAsia="Times New Roman" w:hAnsiTheme="minorHAnsi" w:cs="Calibri"/>
                <w:color w:val="000000" w:themeColor="text1"/>
                <w:sz w:val="20"/>
                <w:lang w:val="en-IE" w:eastAsia="en-IE"/>
              </w:rPr>
              <w:t>according to the CRA methodology</w:t>
            </w:r>
            <w:r w:rsidR="1821A126" w:rsidRPr="1873AE94">
              <w:rPr>
                <w:rFonts w:asciiTheme="minorHAnsi" w:eastAsia="Times New Roman" w:hAnsiTheme="minorHAnsi" w:cs="Calibri"/>
                <w:color w:val="000000" w:themeColor="text1"/>
                <w:sz w:val="20"/>
                <w:lang w:val="en-IE" w:eastAsia="en-IE"/>
              </w:rPr>
              <w:t>, as of the end of the reference year</w:t>
            </w:r>
            <w:r w:rsidR="00491899" w:rsidRPr="1873AE94">
              <w:rPr>
                <w:rFonts w:asciiTheme="minorHAnsi" w:eastAsia="Times New Roman" w:hAnsiTheme="minorHAnsi" w:cs="Calibri"/>
                <w:color w:val="000000" w:themeColor="text1"/>
                <w:sz w:val="20"/>
                <w:lang w:val="en-IE" w:eastAsia="en-IE"/>
              </w:rPr>
              <w:t>.</w:t>
            </w:r>
          </w:p>
          <w:p w14:paraId="1E80AB26" w14:textId="573AFED1" w:rsidR="009E2351" w:rsidRPr="00D3081A" w:rsidRDefault="009E2351" w:rsidP="009E2351">
            <w:pPr>
              <w:spacing w:before="0" w:after="0" w:line="240" w:lineRule="auto"/>
              <w:jc w:val="both"/>
              <w:rPr>
                <w:rFonts w:asciiTheme="minorHAnsi" w:eastAsia="Times New Roman" w:hAnsiTheme="minorHAnsi" w:cs="Calibri"/>
                <w:color w:val="000000"/>
                <w:kern w:val="0"/>
                <w:lang w:val="en-IE" w:eastAsia="en-IE"/>
              </w:rPr>
            </w:pPr>
          </w:p>
        </w:tc>
      </w:tr>
    </w:tbl>
    <w:p w14:paraId="7D9FC67F" w14:textId="1212B0E6" w:rsidR="006D7237" w:rsidRPr="00D3081A" w:rsidRDefault="00A7631E" w:rsidP="00A7631E">
      <w:pPr>
        <w:pStyle w:val="Heading2"/>
        <w:rPr>
          <w:rFonts w:asciiTheme="minorHAnsi" w:hAnsiTheme="minorHAnsi"/>
          <w:lang w:val="en-IE"/>
        </w:rPr>
      </w:pPr>
      <w:bookmarkStart w:id="298" w:name="_Toc221356003"/>
      <w:bookmarkStart w:id="299" w:name="_Toc223104869"/>
      <w:r w:rsidRPr="00D3081A">
        <w:rPr>
          <w:rFonts w:asciiTheme="minorHAnsi" w:hAnsiTheme="minorHAnsi"/>
          <w:lang w:val="en-IE"/>
        </w:rPr>
        <w:t xml:space="preserve">AML.07.04 </w:t>
      </w:r>
      <w:r w:rsidR="006D7237" w:rsidRPr="00D3081A">
        <w:rPr>
          <w:rFonts w:asciiTheme="minorHAnsi" w:hAnsiTheme="minorHAnsi"/>
          <w:lang w:val="en-IE"/>
        </w:rPr>
        <w:t>Customer Due Diligence and Monitoring</w:t>
      </w:r>
      <w:bookmarkEnd w:id="298"/>
      <w:bookmarkEnd w:id="299"/>
    </w:p>
    <w:p w14:paraId="62295E03" w14:textId="77777777" w:rsidR="008E1D72" w:rsidRPr="00A017EB" w:rsidRDefault="008E1D72" w:rsidP="008E1D72">
      <w:pPr>
        <w:rPr>
          <w:rFonts w:asciiTheme="minorHAnsi" w:hAnsiTheme="minorHAnsi"/>
          <w:b/>
          <w:bCs/>
          <w:iCs/>
        </w:rPr>
      </w:pPr>
      <w:r w:rsidRPr="00A017EB">
        <w:rPr>
          <w:rFonts w:asciiTheme="minorHAnsi" w:hAnsiTheme="minorHAnsi"/>
          <w:b/>
          <w:bCs/>
          <w:iCs/>
        </w:rPr>
        <w:t>Template Remarks</w:t>
      </w:r>
    </w:p>
    <w:p w14:paraId="3F1EFF24" w14:textId="6B90AA84" w:rsidR="00CE09DB" w:rsidRDefault="00D35CBC" w:rsidP="00135B9D">
      <w:pPr>
        <w:rPr>
          <w:rFonts w:eastAsiaTheme="minorEastAsia" w:cstheme="minorBidi"/>
          <w:color w:val="auto"/>
          <w:lang w:eastAsia="en-US"/>
        </w:rPr>
      </w:pPr>
      <w:r>
        <w:rPr>
          <w:lang w:eastAsia="en-US"/>
        </w:rPr>
        <w:t>T</w:t>
      </w:r>
      <w:r w:rsidR="00CE09DB" w:rsidRPr="00DD1DD9">
        <w:rPr>
          <w:lang w:eastAsia="en-US"/>
        </w:rPr>
        <w:t>his</w:t>
      </w:r>
      <w:r w:rsidR="00CE09DB">
        <w:rPr>
          <w:lang w:eastAsia="en-US"/>
        </w:rPr>
        <w:t xml:space="preserve"> template (cluster of datapoints) is applicable for all sectors</w:t>
      </w:r>
      <w:r w:rsidR="00CE09DB">
        <w:rPr>
          <w:rFonts w:eastAsiaTheme="minorEastAsia" w:cstheme="minorBidi"/>
          <w:b/>
          <w:color w:val="auto"/>
          <w:lang w:eastAsia="en-US"/>
        </w:rPr>
        <w:t>.</w:t>
      </w:r>
      <w:r w:rsidR="00162DD2">
        <w:rPr>
          <w:rFonts w:eastAsiaTheme="minorEastAsia" w:cstheme="minorBidi"/>
          <w:b/>
          <w:color w:val="auto"/>
          <w:lang w:eastAsia="en-US"/>
        </w:rPr>
        <w:t xml:space="preserve"> </w:t>
      </w:r>
    </w:p>
    <w:p w14:paraId="2C93DD9B" w14:textId="03C4C6B0" w:rsidR="00212606" w:rsidRPr="003E3B44" w:rsidRDefault="00212606" w:rsidP="003E3B44">
      <w:pPr>
        <w:rPr>
          <w:lang w:val="en-IE"/>
        </w:rPr>
      </w:pPr>
      <w:r w:rsidRPr="003E3B44">
        <w:rPr>
          <w:rFonts w:asciiTheme="minorHAnsi" w:hAnsiTheme="minorHAnsi"/>
          <w:lang w:val="en-IE"/>
        </w:rPr>
        <w:t>Please refer to the definition of a customer</w:t>
      </w:r>
      <w:r w:rsidR="00030E88" w:rsidRPr="003E3B44">
        <w:rPr>
          <w:rFonts w:asciiTheme="minorHAnsi" w:hAnsiTheme="minorHAnsi"/>
          <w:lang w:val="en-IE"/>
        </w:rPr>
        <w:t xml:space="preserve"> </w:t>
      </w:r>
      <w:r w:rsidR="005F128E" w:rsidRPr="003E3B44">
        <w:rPr>
          <w:rFonts w:asciiTheme="minorHAnsi" w:hAnsiTheme="minorHAnsi"/>
          <w:lang w:val="en-IE"/>
        </w:rPr>
        <w:t xml:space="preserve">and transaction </w:t>
      </w:r>
      <w:r w:rsidR="00801DCE" w:rsidRPr="003E3B44">
        <w:rPr>
          <w:rFonts w:asciiTheme="minorHAnsi" w:hAnsiTheme="minorHAnsi"/>
          <w:lang w:val="en-IE"/>
        </w:rPr>
        <w:t>provided in</w:t>
      </w:r>
      <w:r w:rsidR="00030E88" w:rsidRPr="003E3B44">
        <w:rPr>
          <w:rFonts w:asciiTheme="minorHAnsi" w:hAnsiTheme="minorHAnsi"/>
          <w:lang w:val="en-IE"/>
        </w:rPr>
        <w:t xml:space="preserve"> the </w:t>
      </w:r>
      <w:r w:rsidR="00CE09DB" w:rsidRPr="003E3B44">
        <w:rPr>
          <w:rFonts w:asciiTheme="minorHAnsi" w:hAnsiTheme="minorHAnsi"/>
          <w:lang w:val="en-IE"/>
        </w:rPr>
        <w:t>annex</w:t>
      </w:r>
      <w:r w:rsidR="00030E88">
        <w:rPr>
          <w:lang w:val="en-IE"/>
        </w:rPr>
        <w:t>.</w:t>
      </w:r>
    </w:p>
    <w:tbl>
      <w:tblPr>
        <w:tblW w:w="92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3"/>
        <w:gridCol w:w="7616"/>
      </w:tblGrid>
      <w:tr w:rsidR="005E211E" w:rsidRPr="009B282E" w14:paraId="0F309150" w14:textId="77777777">
        <w:tc>
          <w:tcPr>
            <w:tcW w:w="16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4B7701" w14:textId="77777777" w:rsidR="00F17C1D" w:rsidRPr="009275BC" w:rsidRDefault="00F17C1D" w:rsidP="00F32516">
            <w:pPr>
              <w:pStyle w:val="InstructionsText"/>
              <w:rPr>
                <w:rStyle w:val="InstructionsTabelleText"/>
                <w:rFonts w:asciiTheme="minorHAnsi" w:hAnsiTheme="minorHAnsi"/>
                <w:bCs w:val="0"/>
                <w:lang w:eastAsia="en-US"/>
              </w:rPr>
            </w:pPr>
            <w:r w:rsidRPr="009275BC">
              <w:rPr>
                <w:rStyle w:val="InstructionsTabelleText"/>
                <w:rFonts w:asciiTheme="minorHAnsi" w:hAnsiTheme="minorHAnsi"/>
              </w:rPr>
              <w:t>Column code</w:t>
            </w:r>
          </w:p>
        </w:tc>
        <w:tc>
          <w:tcPr>
            <w:tcW w:w="76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214A69" w14:textId="77777777" w:rsidR="00F17C1D" w:rsidRPr="009275BC" w:rsidRDefault="00F17C1D" w:rsidP="00F32516">
            <w:pPr>
              <w:pStyle w:val="InstructionsText"/>
              <w:rPr>
                <w:rStyle w:val="InstructionsTabelleText"/>
                <w:rFonts w:asciiTheme="minorHAnsi" w:hAnsiTheme="minorHAnsi"/>
                <w:bCs w:val="0"/>
                <w:lang w:eastAsia="en-US"/>
              </w:rPr>
            </w:pPr>
            <w:r w:rsidRPr="009275BC">
              <w:rPr>
                <w:rStyle w:val="InstructionsTabelleText"/>
                <w:rFonts w:asciiTheme="minorHAnsi" w:hAnsiTheme="minorHAnsi"/>
              </w:rPr>
              <w:t>Legal references and instructions</w:t>
            </w:r>
          </w:p>
        </w:tc>
      </w:tr>
      <w:tr w:rsidR="008E253D" w:rsidRPr="009B282E" w14:paraId="0F52580F" w14:textId="77777777" w:rsidTr="1873AE94">
        <w:tc>
          <w:tcPr>
            <w:tcW w:w="1673" w:type="dxa"/>
            <w:tcBorders>
              <w:top w:val="single" w:sz="4" w:space="0" w:color="auto"/>
              <w:left w:val="single" w:sz="4" w:space="0" w:color="auto"/>
              <w:bottom w:val="single" w:sz="4" w:space="0" w:color="auto"/>
              <w:right w:val="single" w:sz="4" w:space="0" w:color="auto"/>
            </w:tcBorders>
            <w:vAlign w:val="center"/>
          </w:tcPr>
          <w:p w14:paraId="55436481" w14:textId="7E4C27D7" w:rsidR="008E253D" w:rsidRPr="009275BC" w:rsidRDefault="00453630" w:rsidP="00F32516">
            <w:pPr>
              <w:pStyle w:val="InstructionsText"/>
              <w:rPr>
                <w:rStyle w:val="FormatvorlageInstructionsTabelleText"/>
                <w:rFonts w:asciiTheme="minorHAnsi" w:hAnsiTheme="minorHAnsi"/>
              </w:rPr>
            </w:pPr>
            <w:r w:rsidRPr="00A70B3F">
              <w:t>C0010</w:t>
            </w:r>
          </w:p>
        </w:tc>
        <w:tc>
          <w:tcPr>
            <w:tcW w:w="76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912245" w14:textId="6C89A1FD" w:rsidR="00491899" w:rsidRDefault="00491899" w:rsidP="006075C1">
            <w:pPr>
              <w:spacing w:before="0" w:after="0" w:line="240" w:lineRule="auto"/>
              <w:jc w:val="both"/>
              <w:rPr>
                <w:rFonts w:ascii="Aptos" w:eastAsia="Times New Roman" w:hAnsi="Aptos" w:cs="Calibri"/>
                <w:b/>
                <w:color w:val="000000"/>
                <w:kern w:val="0"/>
                <w:sz w:val="20"/>
                <w:u w:val="single"/>
                <w:lang w:val="en-IE" w:eastAsia="en-IE"/>
              </w:rPr>
            </w:pPr>
            <w:r w:rsidRPr="00090FA6">
              <w:rPr>
                <w:rFonts w:ascii="Aptos" w:eastAsia="Times New Roman" w:hAnsi="Aptos" w:cs="Calibri"/>
                <w:b/>
                <w:bCs/>
                <w:color w:val="000000"/>
                <w:kern w:val="0"/>
                <w:sz w:val="20"/>
                <w:u w:val="single"/>
                <w:lang w:val="en-IE" w:eastAsia="en-IE"/>
              </w:rPr>
              <w:t xml:space="preserve">Customers – LE/Trusts </w:t>
            </w:r>
            <w:r w:rsidR="00FD3661">
              <w:rPr>
                <w:rFonts w:ascii="Aptos" w:eastAsia="Times New Roman" w:hAnsi="Aptos" w:cs="Calibri"/>
                <w:b/>
                <w:bCs/>
                <w:color w:val="000000"/>
                <w:kern w:val="0"/>
                <w:sz w:val="20"/>
                <w:u w:val="single"/>
                <w:lang w:val="en-IE" w:eastAsia="en-IE"/>
              </w:rPr>
              <w:t>w</w:t>
            </w:r>
            <w:r w:rsidRPr="00090FA6">
              <w:rPr>
                <w:rFonts w:ascii="Aptos" w:eastAsia="Times New Roman" w:hAnsi="Aptos" w:cs="Calibri"/>
                <w:b/>
                <w:bCs/>
                <w:color w:val="000000"/>
                <w:kern w:val="0"/>
                <w:sz w:val="20"/>
                <w:u w:val="single"/>
                <w:lang w:val="en-IE" w:eastAsia="en-IE"/>
              </w:rPr>
              <w:t>ith BO Not Identified</w:t>
            </w:r>
          </w:p>
          <w:p w14:paraId="2FD0EAED" w14:textId="77777777" w:rsidR="00AF5C31" w:rsidRPr="00DF4E4F" w:rsidRDefault="00AF5C31" w:rsidP="006075C1">
            <w:pPr>
              <w:spacing w:before="0" w:after="0" w:line="240" w:lineRule="auto"/>
              <w:jc w:val="both"/>
              <w:rPr>
                <w:rFonts w:ascii="Aptos" w:eastAsia="Times New Roman" w:hAnsi="Aptos" w:cs="Calibri"/>
                <w:color w:val="000000"/>
                <w:kern w:val="0"/>
                <w:sz w:val="20"/>
                <w:lang w:val="en-IE" w:eastAsia="en-IE"/>
              </w:rPr>
            </w:pPr>
          </w:p>
          <w:p w14:paraId="5AFCDBEF" w14:textId="67A0977E" w:rsidR="00AF5C31" w:rsidRDefault="00AF5C31" w:rsidP="006075C1">
            <w:pPr>
              <w:spacing w:before="0" w:after="0" w:line="240" w:lineRule="auto"/>
              <w:jc w:val="both"/>
              <w:rPr>
                <w:rFonts w:asciiTheme="minorHAnsi" w:eastAsia="Times New Roman" w:hAnsiTheme="minorHAnsi" w:cs="Calibri"/>
                <w:color w:val="000000" w:themeColor="text1"/>
                <w:sz w:val="20"/>
                <w:lang w:val="en-IE" w:eastAsia="en-IE"/>
              </w:rPr>
            </w:pPr>
            <w:r w:rsidRPr="00DF4E4F">
              <w:rPr>
                <w:rFonts w:ascii="Aptos" w:eastAsia="Times New Roman" w:hAnsi="Aptos" w:cs="Calibri"/>
                <w:color w:val="000000" w:themeColor="text1"/>
                <w:sz w:val="20"/>
                <w:lang w:val="en-IE" w:eastAsia="en-IE"/>
              </w:rPr>
              <w:t xml:space="preserve">Indicate the </w:t>
            </w:r>
            <w:r w:rsidRPr="00DF4E4F">
              <w:rPr>
                <w:rFonts w:asciiTheme="minorHAnsi" w:eastAsia="Times New Roman" w:hAnsiTheme="minorHAnsi" w:cs="Calibri"/>
                <w:color w:val="000000" w:themeColor="text1"/>
                <w:sz w:val="20"/>
                <w:lang w:val="en-IE" w:eastAsia="en-IE"/>
              </w:rPr>
              <w:t>number of customers that are legal entities</w:t>
            </w:r>
            <w:r w:rsidR="00333275">
              <w:rPr>
                <w:rFonts w:asciiTheme="minorHAnsi" w:eastAsia="Times New Roman" w:hAnsiTheme="minorHAnsi" w:cs="Calibri"/>
                <w:color w:val="000000" w:themeColor="text1"/>
                <w:sz w:val="20"/>
                <w:lang w:val="en-IE" w:eastAsia="en-IE"/>
              </w:rPr>
              <w:t>, legal arrangements or</w:t>
            </w:r>
            <w:r w:rsidR="00423FB8">
              <w:rPr>
                <w:rFonts w:asciiTheme="minorHAnsi" w:eastAsia="Times New Roman" w:hAnsiTheme="minorHAnsi" w:cs="Calibri"/>
                <w:color w:val="000000" w:themeColor="text1"/>
                <w:sz w:val="20"/>
                <w:lang w:val="en-IE" w:eastAsia="en-IE"/>
              </w:rPr>
              <w:t xml:space="preserve"> </w:t>
            </w:r>
            <w:r w:rsidRPr="00DF4E4F">
              <w:rPr>
                <w:rFonts w:asciiTheme="minorHAnsi" w:eastAsia="Times New Roman" w:hAnsiTheme="minorHAnsi" w:cs="Calibri"/>
                <w:color w:val="000000" w:themeColor="text1"/>
                <w:sz w:val="20"/>
                <w:lang w:val="en-IE" w:eastAsia="en-IE"/>
              </w:rPr>
              <w:t>trusts whose beneficial owners have not been identified</w:t>
            </w:r>
            <w:r w:rsidR="2E90F88B" w:rsidRPr="1873AE94">
              <w:rPr>
                <w:rFonts w:asciiTheme="minorHAnsi" w:eastAsia="Times New Roman" w:hAnsiTheme="minorHAnsi" w:cs="Calibri"/>
                <w:color w:val="000000" w:themeColor="text1"/>
                <w:sz w:val="20"/>
                <w:lang w:val="en-IE" w:eastAsia="en-IE"/>
              </w:rPr>
              <w:t>, as of the end of the reference year</w:t>
            </w:r>
            <w:r w:rsidRPr="00090FA6">
              <w:rPr>
                <w:rFonts w:asciiTheme="minorHAnsi" w:eastAsia="Times New Roman" w:hAnsiTheme="minorHAnsi" w:cs="Calibri"/>
                <w:color w:val="000000" w:themeColor="text1"/>
                <w:sz w:val="20"/>
                <w:lang w:val="en-IE" w:eastAsia="en-IE"/>
              </w:rPr>
              <w:t>.</w:t>
            </w:r>
          </w:p>
          <w:p w14:paraId="067540A7" w14:textId="77777777" w:rsidR="00FD3847" w:rsidRDefault="00FD3847" w:rsidP="006075C1">
            <w:pPr>
              <w:spacing w:before="0" w:after="0" w:line="240" w:lineRule="auto"/>
              <w:jc w:val="both"/>
              <w:rPr>
                <w:rFonts w:asciiTheme="minorHAnsi" w:eastAsia="Times New Roman" w:hAnsiTheme="minorHAnsi" w:cs="Calibri"/>
                <w:color w:val="000000" w:themeColor="text1"/>
                <w:sz w:val="20"/>
                <w:lang w:val="en-IE" w:eastAsia="en-IE"/>
              </w:rPr>
            </w:pPr>
          </w:p>
          <w:p w14:paraId="19BFBEA2" w14:textId="34529E26" w:rsidR="00BE4B78" w:rsidRDefault="00BE4B78" w:rsidP="00BE4B78">
            <w:pPr>
              <w:spacing w:before="0" w:after="0" w:line="240" w:lineRule="auto"/>
              <w:jc w:val="both"/>
              <w:rPr>
                <w:rFonts w:asciiTheme="minorHAnsi" w:eastAsia="Times New Roman" w:hAnsiTheme="minorHAnsi" w:cs="Calibri"/>
                <w:color w:val="000000"/>
                <w:kern w:val="0"/>
                <w:sz w:val="20"/>
                <w:lang w:eastAsia="en-IE"/>
              </w:rPr>
            </w:pPr>
            <w:r>
              <w:rPr>
                <w:rFonts w:asciiTheme="minorHAnsi" w:eastAsia="Times New Roman" w:hAnsiTheme="minorHAnsi" w:cs="Calibri"/>
                <w:color w:val="000000"/>
                <w:kern w:val="0"/>
                <w:sz w:val="20"/>
                <w:lang w:val="en-IE" w:eastAsia="en-IE"/>
              </w:rPr>
              <w:t xml:space="preserve">As per </w:t>
            </w:r>
            <w:r w:rsidR="003D344D">
              <w:rPr>
                <w:rFonts w:asciiTheme="minorHAnsi" w:eastAsia="Times New Roman" w:hAnsiTheme="minorHAnsi" w:cs="Calibri"/>
                <w:color w:val="000000"/>
                <w:kern w:val="0"/>
                <w:sz w:val="20"/>
                <w:lang w:val="en-IE" w:eastAsia="en-IE"/>
              </w:rPr>
              <w:t>Article</w:t>
            </w:r>
            <w:r>
              <w:rPr>
                <w:rFonts w:asciiTheme="minorHAnsi" w:eastAsia="Times New Roman" w:hAnsiTheme="minorHAnsi" w:cs="Calibri"/>
                <w:color w:val="000000"/>
                <w:kern w:val="0"/>
                <w:sz w:val="20"/>
                <w:lang w:val="en-IE" w:eastAsia="en-IE"/>
              </w:rPr>
              <w:t xml:space="preserve"> 2(1)(28) AMLR, </w:t>
            </w:r>
            <w:r w:rsidRPr="00560751">
              <w:rPr>
                <w:rFonts w:asciiTheme="minorHAnsi" w:eastAsia="Times New Roman" w:hAnsiTheme="minorHAnsi" w:cs="Calibri"/>
                <w:color w:val="000000"/>
                <w:kern w:val="0"/>
                <w:sz w:val="20"/>
                <w:lang w:eastAsia="en-IE"/>
              </w:rPr>
              <w:t xml:space="preserve">‘beneficial owner’ means </w:t>
            </w:r>
            <w:r>
              <w:rPr>
                <w:rFonts w:asciiTheme="minorHAnsi" w:eastAsia="Times New Roman" w:hAnsiTheme="minorHAnsi" w:cs="Calibri"/>
                <w:color w:val="000000"/>
                <w:kern w:val="0"/>
                <w:sz w:val="20"/>
                <w:lang w:eastAsia="en-IE"/>
              </w:rPr>
              <w:t>“</w:t>
            </w:r>
            <w:r w:rsidRPr="00560751">
              <w:rPr>
                <w:rFonts w:asciiTheme="minorHAnsi" w:eastAsia="Times New Roman" w:hAnsiTheme="minorHAnsi" w:cs="Calibri"/>
                <w:color w:val="000000"/>
                <w:kern w:val="0"/>
                <w:sz w:val="20"/>
                <w:lang w:eastAsia="en-IE"/>
              </w:rPr>
              <w:t>any natural person who ultimately owns or controls a legal entity or an express trust or similar legal arrangement</w:t>
            </w:r>
            <w:r>
              <w:rPr>
                <w:rFonts w:asciiTheme="minorHAnsi" w:eastAsia="Times New Roman" w:hAnsiTheme="minorHAnsi" w:cs="Calibri"/>
                <w:color w:val="000000"/>
                <w:kern w:val="0"/>
                <w:sz w:val="20"/>
                <w:lang w:eastAsia="en-IE"/>
              </w:rPr>
              <w:t>”.</w:t>
            </w:r>
          </w:p>
          <w:p w14:paraId="6C011A1A" w14:textId="77777777" w:rsidR="00BE4B78" w:rsidRDefault="00BE4B78" w:rsidP="00BE4B78">
            <w:pPr>
              <w:spacing w:before="0" w:after="0" w:line="240" w:lineRule="auto"/>
              <w:jc w:val="both"/>
              <w:rPr>
                <w:rFonts w:asciiTheme="minorHAnsi" w:eastAsia="Times New Roman" w:hAnsiTheme="minorHAnsi" w:cs="Calibri"/>
                <w:color w:val="000000"/>
                <w:kern w:val="0"/>
                <w:sz w:val="20"/>
                <w:lang w:eastAsia="en-IE"/>
              </w:rPr>
            </w:pPr>
          </w:p>
          <w:p w14:paraId="01533BB4" w14:textId="6089DEAF" w:rsidR="00BE4B78" w:rsidRDefault="00BE4B78" w:rsidP="00BE4B78">
            <w:pPr>
              <w:spacing w:before="0" w:after="0" w:line="240" w:lineRule="auto"/>
              <w:jc w:val="both"/>
              <w:rPr>
                <w:rFonts w:asciiTheme="minorHAnsi" w:eastAsia="Times New Roman" w:hAnsiTheme="minorHAnsi" w:cs="Calibri"/>
                <w:color w:val="000000"/>
                <w:kern w:val="0"/>
                <w:sz w:val="20"/>
                <w:lang w:eastAsia="en-IE"/>
              </w:rPr>
            </w:pPr>
            <w:r>
              <w:rPr>
                <w:rFonts w:asciiTheme="minorHAnsi" w:eastAsia="Times New Roman" w:hAnsiTheme="minorHAnsi" w:cs="Calibri"/>
                <w:color w:val="000000"/>
                <w:kern w:val="0"/>
                <w:sz w:val="20"/>
                <w:lang w:eastAsia="en-IE"/>
              </w:rPr>
              <w:t xml:space="preserve">As per recital 125 AMLR, </w:t>
            </w:r>
            <w:r w:rsidRPr="009D2CBB">
              <w:rPr>
                <w:rFonts w:asciiTheme="minorHAnsi" w:eastAsia="Times New Roman" w:hAnsiTheme="minorHAnsi" w:cs="Calibri"/>
                <w:color w:val="000000"/>
                <w:kern w:val="0"/>
                <w:sz w:val="20"/>
                <w:lang w:eastAsia="en-IE"/>
              </w:rPr>
              <w:t>senior managing officials</w:t>
            </w:r>
            <w:r>
              <w:rPr>
                <w:rFonts w:asciiTheme="minorHAnsi" w:eastAsia="Times New Roman" w:hAnsiTheme="minorHAnsi" w:cs="Calibri"/>
                <w:color w:val="000000"/>
                <w:kern w:val="0"/>
                <w:sz w:val="20"/>
                <w:lang w:eastAsia="en-IE"/>
              </w:rPr>
              <w:t xml:space="preserve"> (SMOs) reported instead of the beneficial owners where </w:t>
            </w:r>
            <w:r w:rsidRPr="0074771C">
              <w:rPr>
                <w:rFonts w:asciiTheme="minorHAnsi" w:eastAsia="Times New Roman" w:hAnsiTheme="minorHAnsi" w:cs="Calibri"/>
                <w:color w:val="000000"/>
                <w:kern w:val="0"/>
                <w:sz w:val="20"/>
                <w:lang w:eastAsia="en-IE"/>
              </w:rPr>
              <w:t>no natural person is identifiable</w:t>
            </w:r>
            <w:r>
              <w:rPr>
                <w:rFonts w:asciiTheme="minorHAnsi" w:eastAsia="Times New Roman" w:hAnsiTheme="minorHAnsi" w:cs="Calibri"/>
                <w:color w:val="000000"/>
                <w:kern w:val="0"/>
                <w:sz w:val="20"/>
                <w:lang w:eastAsia="en-IE"/>
              </w:rPr>
              <w:t xml:space="preserve"> </w:t>
            </w:r>
            <w:r w:rsidRPr="0074771C">
              <w:rPr>
                <w:rFonts w:asciiTheme="minorHAnsi" w:eastAsia="Times New Roman" w:hAnsiTheme="minorHAnsi" w:cs="Calibri"/>
                <w:color w:val="000000"/>
                <w:kern w:val="0"/>
                <w:sz w:val="20"/>
                <w:lang w:eastAsia="en-IE"/>
              </w:rPr>
              <w:t>who ultimately owns or exerts control over an entity</w:t>
            </w:r>
            <w:r>
              <w:rPr>
                <w:rFonts w:asciiTheme="minorHAnsi" w:eastAsia="Times New Roman" w:hAnsiTheme="minorHAnsi" w:cs="Calibri"/>
                <w:color w:val="000000"/>
                <w:kern w:val="0"/>
                <w:sz w:val="20"/>
                <w:lang w:eastAsia="en-IE"/>
              </w:rPr>
              <w:t xml:space="preserve"> (as per </w:t>
            </w:r>
            <w:r w:rsidR="003D344D">
              <w:rPr>
                <w:rFonts w:asciiTheme="minorHAnsi" w:eastAsia="Times New Roman" w:hAnsiTheme="minorHAnsi" w:cs="Calibri"/>
                <w:color w:val="000000"/>
                <w:kern w:val="0"/>
                <w:sz w:val="20"/>
                <w:lang w:val="en-IE" w:eastAsia="en-IE"/>
              </w:rPr>
              <w:t>Article</w:t>
            </w:r>
            <w:r>
              <w:rPr>
                <w:rFonts w:asciiTheme="minorHAnsi" w:eastAsia="Times New Roman" w:hAnsiTheme="minorHAnsi" w:cs="Calibri"/>
                <w:color w:val="000000"/>
                <w:kern w:val="0"/>
                <w:sz w:val="20"/>
                <w:lang w:eastAsia="en-IE"/>
              </w:rPr>
              <w:t xml:space="preserve"> 22(2) AMLR)</w:t>
            </w:r>
            <w:r w:rsidRPr="0074771C">
              <w:rPr>
                <w:rFonts w:asciiTheme="minorHAnsi" w:eastAsia="Times New Roman" w:hAnsiTheme="minorHAnsi" w:cs="Calibri"/>
                <w:color w:val="000000"/>
                <w:kern w:val="0"/>
                <w:sz w:val="20"/>
                <w:lang w:eastAsia="en-IE"/>
              </w:rPr>
              <w:t xml:space="preserve"> </w:t>
            </w:r>
            <w:r>
              <w:rPr>
                <w:rFonts w:asciiTheme="minorHAnsi" w:eastAsia="Times New Roman" w:hAnsiTheme="minorHAnsi" w:cs="Calibri"/>
                <w:color w:val="000000"/>
                <w:kern w:val="0"/>
                <w:sz w:val="20"/>
                <w:lang w:eastAsia="en-IE"/>
              </w:rPr>
              <w:t xml:space="preserve">are </w:t>
            </w:r>
            <w:r w:rsidRPr="006436F4">
              <w:rPr>
                <w:rFonts w:asciiTheme="minorHAnsi" w:eastAsia="Times New Roman" w:hAnsiTheme="minorHAnsi" w:cs="Calibri"/>
                <w:color w:val="000000"/>
                <w:kern w:val="0"/>
                <w:sz w:val="20"/>
                <w:u w:val="single"/>
                <w:lang w:eastAsia="en-IE"/>
              </w:rPr>
              <w:t>not</w:t>
            </w:r>
            <w:r>
              <w:rPr>
                <w:rFonts w:asciiTheme="minorHAnsi" w:eastAsia="Times New Roman" w:hAnsiTheme="minorHAnsi" w:cs="Calibri"/>
                <w:color w:val="000000"/>
                <w:kern w:val="0"/>
                <w:sz w:val="20"/>
                <w:lang w:eastAsia="en-IE"/>
              </w:rPr>
              <w:t xml:space="preserve"> beneficial owners, and shall not be counted for the purpose of reporting this datapoint.</w:t>
            </w:r>
          </w:p>
          <w:p w14:paraId="4DD8379C" w14:textId="77777777" w:rsidR="00FD3844" w:rsidRDefault="00FD3844" w:rsidP="00BE4B78">
            <w:pPr>
              <w:spacing w:before="0" w:after="0" w:line="240" w:lineRule="auto"/>
              <w:jc w:val="both"/>
              <w:rPr>
                <w:rFonts w:asciiTheme="minorHAnsi" w:eastAsia="Times New Roman" w:hAnsiTheme="minorHAnsi" w:cs="Calibri"/>
                <w:color w:val="000000"/>
                <w:kern w:val="0"/>
                <w:sz w:val="20"/>
                <w:lang w:eastAsia="en-IE"/>
              </w:rPr>
            </w:pPr>
          </w:p>
          <w:p w14:paraId="1E0B1D85" w14:textId="3764A8DC" w:rsidR="00FD3847" w:rsidRPr="00090FA6" w:rsidRDefault="00925924" w:rsidP="006075C1">
            <w:pPr>
              <w:spacing w:before="0" w:after="0" w:line="240" w:lineRule="auto"/>
              <w:jc w:val="both"/>
              <w:rPr>
                <w:rFonts w:asciiTheme="minorHAnsi" w:eastAsia="Times New Roman" w:hAnsiTheme="minorHAnsi" w:cs="Calibri"/>
                <w:color w:val="000000"/>
                <w:kern w:val="0"/>
                <w:sz w:val="20"/>
                <w:lang w:val="en-IE" w:eastAsia="en-IE"/>
              </w:rPr>
            </w:pPr>
            <w:r>
              <w:rPr>
                <w:rFonts w:asciiTheme="minorHAnsi" w:eastAsia="Times New Roman" w:hAnsiTheme="minorHAnsi" w:cs="Calibri"/>
                <w:color w:val="000000"/>
                <w:kern w:val="0"/>
                <w:sz w:val="20"/>
                <w:lang w:eastAsia="en-IE"/>
              </w:rPr>
              <w:t>B</w:t>
            </w:r>
            <w:r w:rsidR="00F155B9">
              <w:rPr>
                <w:rFonts w:asciiTheme="minorHAnsi" w:eastAsia="Times New Roman" w:hAnsiTheme="minorHAnsi" w:cs="Calibri"/>
                <w:color w:val="000000"/>
                <w:kern w:val="0"/>
                <w:sz w:val="20"/>
                <w:lang w:val="en-IE" w:eastAsia="en-IE"/>
              </w:rPr>
              <w:t xml:space="preserve">eneficial owners identified through </w:t>
            </w:r>
            <w:r w:rsidR="0061741D">
              <w:rPr>
                <w:rFonts w:asciiTheme="minorHAnsi" w:eastAsia="Times New Roman" w:hAnsiTheme="minorHAnsi" w:cs="Calibri"/>
                <w:color w:val="000000"/>
                <w:kern w:val="0"/>
                <w:sz w:val="20"/>
                <w:lang w:val="en-IE" w:eastAsia="en-IE"/>
              </w:rPr>
              <w:t>c</w:t>
            </w:r>
            <w:r w:rsidR="00040044" w:rsidRPr="00040044">
              <w:rPr>
                <w:rFonts w:asciiTheme="minorHAnsi" w:eastAsia="Times New Roman" w:hAnsiTheme="minorHAnsi" w:cs="Calibri"/>
                <w:color w:val="000000"/>
                <w:kern w:val="0"/>
                <w:sz w:val="20"/>
                <w:lang w:val="en-IE" w:eastAsia="en-IE"/>
              </w:rPr>
              <w:t>onsult</w:t>
            </w:r>
            <w:r w:rsidR="00F155B9">
              <w:rPr>
                <w:rFonts w:asciiTheme="minorHAnsi" w:eastAsia="Times New Roman" w:hAnsiTheme="minorHAnsi" w:cs="Calibri"/>
                <w:color w:val="000000"/>
                <w:kern w:val="0"/>
                <w:sz w:val="20"/>
                <w:lang w:val="en-IE" w:eastAsia="en-IE"/>
              </w:rPr>
              <w:t>ation of</w:t>
            </w:r>
            <w:r w:rsidR="00040044" w:rsidRPr="00040044">
              <w:rPr>
                <w:rFonts w:asciiTheme="minorHAnsi" w:eastAsia="Times New Roman" w:hAnsiTheme="minorHAnsi" w:cs="Calibri"/>
                <w:color w:val="000000"/>
                <w:kern w:val="0"/>
                <w:sz w:val="20"/>
                <w:lang w:val="en-IE" w:eastAsia="en-IE"/>
              </w:rPr>
              <w:t xml:space="preserve"> public registers or other reliable national systems</w:t>
            </w:r>
            <w:r w:rsidR="00040044">
              <w:rPr>
                <w:rFonts w:asciiTheme="minorHAnsi" w:eastAsia="Times New Roman" w:hAnsiTheme="minorHAnsi" w:cs="Calibri"/>
                <w:color w:val="000000"/>
                <w:kern w:val="0"/>
                <w:sz w:val="20"/>
                <w:lang w:val="en-IE" w:eastAsia="en-IE"/>
              </w:rPr>
              <w:t xml:space="preserve"> </w:t>
            </w:r>
            <w:r w:rsidR="00040044" w:rsidRPr="00040044">
              <w:rPr>
                <w:rFonts w:asciiTheme="minorHAnsi" w:eastAsia="Times New Roman" w:hAnsiTheme="minorHAnsi" w:cs="Calibri"/>
                <w:color w:val="000000"/>
                <w:kern w:val="0"/>
                <w:sz w:val="20"/>
                <w:lang w:val="en-IE" w:eastAsia="en-IE"/>
              </w:rPr>
              <w:t xml:space="preserve">that contain the </w:t>
            </w:r>
            <w:r w:rsidR="00F155B9">
              <w:rPr>
                <w:rFonts w:asciiTheme="minorHAnsi" w:eastAsia="Times New Roman" w:hAnsiTheme="minorHAnsi" w:cs="Calibri"/>
                <w:color w:val="000000"/>
                <w:kern w:val="0"/>
                <w:sz w:val="20"/>
                <w:lang w:val="en-IE" w:eastAsia="en-IE"/>
              </w:rPr>
              <w:t>necessary information</w:t>
            </w:r>
            <w:r>
              <w:rPr>
                <w:rFonts w:asciiTheme="minorHAnsi" w:eastAsia="Times New Roman" w:hAnsiTheme="minorHAnsi" w:cs="Calibri"/>
                <w:color w:val="000000"/>
                <w:kern w:val="0"/>
                <w:sz w:val="20"/>
                <w:lang w:val="en-IE" w:eastAsia="en-IE"/>
              </w:rPr>
              <w:t xml:space="preserve"> shall be counted</w:t>
            </w:r>
            <w:r w:rsidR="009A6071">
              <w:rPr>
                <w:rFonts w:asciiTheme="minorHAnsi" w:eastAsia="Times New Roman" w:hAnsiTheme="minorHAnsi" w:cs="Calibri"/>
                <w:color w:val="000000"/>
                <w:kern w:val="0"/>
                <w:sz w:val="20"/>
                <w:lang w:val="en-IE" w:eastAsia="en-IE"/>
              </w:rPr>
              <w:t xml:space="preserve"> </w:t>
            </w:r>
            <w:r w:rsidR="00904728">
              <w:rPr>
                <w:rFonts w:asciiTheme="minorHAnsi" w:eastAsia="Times New Roman" w:hAnsiTheme="minorHAnsi" w:cs="Calibri"/>
                <w:color w:val="000000"/>
                <w:kern w:val="0"/>
                <w:sz w:val="20"/>
                <w:lang w:val="en-IE" w:eastAsia="en-IE"/>
              </w:rPr>
              <w:t>as</w:t>
            </w:r>
            <w:r w:rsidR="009A6071">
              <w:rPr>
                <w:rFonts w:asciiTheme="minorHAnsi" w:eastAsia="Times New Roman" w:hAnsiTheme="minorHAnsi" w:cs="Calibri"/>
                <w:color w:val="000000"/>
                <w:kern w:val="0"/>
                <w:sz w:val="20"/>
                <w:lang w:val="en-IE" w:eastAsia="en-IE"/>
              </w:rPr>
              <w:t xml:space="preserve"> </w:t>
            </w:r>
            <w:r w:rsidR="003D4FFB">
              <w:rPr>
                <w:rFonts w:asciiTheme="minorHAnsi" w:eastAsia="Times New Roman" w:hAnsiTheme="minorHAnsi" w:cs="Calibri"/>
                <w:color w:val="000000"/>
                <w:kern w:val="0"/>
                <w:sz w:val="20"/>
                <w:lang w:val="en-IE" w:eastAsia="en-IE"/>
              </w:rPr>
              <w:t>being identified</w:t>
            </w:r>
            <w:r w:rsidR="009A6071">
              <w:rPr>
                <w:rFonts w:asciiTheme="minorHAnsi" w:eastAsia="Times New Roman" w:hAnsiTheme="minorHAnsi" w:cs="Calibri"/>
                <w:color w:val="000000"/>
                <w:kern w:val="0"/>
                <w:sz w:val="20"/>
                <w:lang w:val="en-IE" w:eastAsia="en-IE"/>
              </w:rPr>
              <w:t xml:space="preserve"> for the purpose of reporting this datapoint.</w:t>
            </w:r>
          </w:p>
          <w:p w14:paraId="07EE921D" w14:textId="0AED7AB2" w:rsidR="00A84A3E" w:rsidRPr="00090FA6" w:rsidRDefault="00577790" w:rsidP="006075C1">
            <w:pPr>
              <w:spacing w:before="0" w:after="0" w:line="240" w:lineRule="auto"/>
              <w:jc w:val="both"/>
              <w:rPr>
                <w:rFonts w:asciiTheme="minorHAnsi" w:eastAsia="Times New Roman" w:hAnsiTheme="minorHAnsi" w:cs="Calibri"/>
                <w:color w:val="000000"/>
                <w:kern w:val="0"/>
                <w:sz w:val="20"/>
                <w:lang w:val="en-IE" w:eastAsia="en-IE"/>
              </w:rPr>
            </w:pPr>
            <w:r>
              <w:rPr>
                <w:rFonts w:asciiTheme="minorHAnsi" w:eastAsia="Times New Roman" w:hAnsiTheme="minorHAnsi" w:cs="Calibri"/>
                <w:color w:val="000000"/>
                <w:kern w:val="0"/>
                <w:sz w:val="20"/>
                <w:lang w:val="en-IE" w:eastAsia="en-IE"/>
              </w:rPr>
              <w:t>In case a legal arrangement or trust has several BOs</w:t>
            </w:r>
            <w:r w:rsidR="00F62BE9">
              <w:rPr>
                <w:rFonts w:asciiTheme="minorHAnsi" w:eastAsia="Times New Roman" w:hAnsiTheme="minorHAnsi" w:cs="Calibri"/>
                <w:color w:val="000000"/>
                <w:kern w:val="0"/>
                <w:sz w:val="20"/>
                <w:lang w:val="en-IE" w:eastAsia="en-IE"/>
              </w:rPr>
              <w:t xml:space="preserve"> </w:t>
            </w:r>
            <w:r w:rsidR="00F562B1">
              <w:rPr>
                <w:rFonts w:asciiTheme="minorHAnsi" w:eastAsia="Times New Roman" w:hAnsiTheme="minorHAnsi" w:cs="Calibri"/>
                <w:color w:val="000000"/>
                <w:kern w:val="0"/>
                <w:sz w:val="20"/>
                <w:lang w:val="en-IE" w:eastAsia="en-IE"/>
              </w:rPr>
              <w:t>not all of which have been identified, it shall be reported as</w:t>
            </w:r>
            <w:r w:rsidR="00F62BE9">
              <w:rPr>
                <w:rFonts w:asciiTheme="minorHAnsi" w:eastAsia="Times New Roman" w:hAnsiTheme="minorHAnsi" w:cs="Calibri"/>
                <w:color w:val="000000"/>
                <w:kern w:val="0"/>
                <w:sz w:val="20"/>
                <w:lang w:val="en-IE" w:eastAsia="en-IE"/>
              </w:rPr>
              <w:t xml:space="preserve"> </w:t>
            </w:r>
            <w:r w:rsidR="00324672">
              <w:rPr>
                <w:rFonts w:asciiTheme="minorHAnsi" w:eastAsia="Times New Roman" w:hAnsiTheme="minorHAnsi" w:cs="Calibri"/>
                <w:color w:val="000000"/>
                <w:kern w:val="0"/>
                <w:sz w:val="20"/>
                <w:lang w:val="en-IE" w:eastAsia="en-IE"/>
              </w:rPr>
              <w:t>“BO not identified” for the purpose of this datapoint.</w:t>
            </w:r>
          </w:p>
          <w:p w14:paraId="15739CC8" w14:textId="18F574DE" w:rsidR="008E253D" w:rsidRPr="00BF5F8A" w:rsidRDefault="008E253D" w:rsidP="006075C1">
            <w:pPr>
              <w:spacing w:before="0" w:after="0" w:line="240" w:lineRule="auto"/>
              <w:jc w:val="both"/>
              <w:rPr>
                <w:rFonts w:asciiTheme="minorHAnsi" w:eastAsia="Times New Roman" w:hAnsiTheme="minorHAnsi" w:cs="Calibri"/>
                <w:b/>
                <w:bCs/>
                <w:color w:val="000000"/>
                <w:kern w:val="0"/>
                <w:sz w:val="20"/>
                <w:u w:val="single"/>
                <w:lang w:val="en-IE" w:eastAsia="en-IE"/>
              </w:rPr>
            </w:pPr>
          </w:p>
        </w:tc>
      </w:tr>
      <w:tr w:rsidR="005E211E" w:rsidRPr="009B282E" w14:paraId="305D3410" w14:textId="77777777" w:rsidTr="1873AE94">
        <w:tc>
          <w:tcPr>
            <w:tcW w:w="1673" w:type="dxa"/>
            <w:tcBorders>
              <w:top w:val="single" w:sz="4" w:space="0" w:color="auto"/>
              <w:left w:val="single" w:sz="4" w:space="0" w:color="auto"/>
              <w:bottom w:val="single" w:sz="4" w:space="0" w:color="auto"/>
              <w:right w:val="single" w:sz="4" w:space="0" w:color="auto"/>
            </w:tcBorders>
            <w:vAlign w:val="center"/>
          </w:tcPr>
          <w:p w14:paraId="65090227" w14:textId="6D4D9EEE" w:rsidR="008E253D" w:rsidRPr="009275BC" w:rsidRDefault="00453630" w:rsidP="00F32516">
            <w:pPr>
              <w:pStyle w:val="InstructionsText"/>
              <w:rPr>
                <w:rStyle w:val="FormatvorlageInstructionsTabelleText"/>
                <w:rFonts w:asciiTheme="minorHAnsi" w:hAnsiTheme="minorHAnsi"/>
              </w:rPr>
            </w:pPr>
            <w:r w:rsidRPr="00A70B3F">
              <w:t>C0020</w:t>
            </w:r>
          </w:p>
        </w:tc>
        <w:tc>
          <w:tcPr>
            <w:tcW w:w="7616" w:type="dxa"/>
            <w:tcBorders>
              <w:top w:val="nil"/>
              <w:left w:val="single" w:sz="4" w:space="0" w:color="000000" w:themeColor="text1"/>
              <w:bottom w:val="single" w:sz="4" w:space="0" w:color="000000" w:themeColor="text1"/>
              <w:right w:val="single" w:sz="4" w:space="0" w:color="000000" w:themeColor="text1"/>
            </w:tcBorders>
            <w:vAlign w:val="center"/>
          </w:tcPr>
          <w:p w14:paraId="0AF52D09" w14:textId="77777777" w:rsidR="00491899" w:rsidRDefault="00491899" w:rsidP="006075C1">
            <w:pPr>
              <w:spacing w:before="0" w:after="0" w:line="240" w:lineRule="auto"/>
              <w:jc w:val="both"/>
              <w:rPr>
                <w:rFonts w:ascii="Aptos" w:eastAsia="Times New Roman" w:hAnsi="Aptos" w:cs="Calibri"/>
                <w:b/>
                <w:color w:val="000000"/>
                <w:kern w:val="0"/>
                <w:sz w:val="20"/>
                <w:u w:val="single"/>
                <w:lang w:val="en-IE" w:eastAsia="en-IE"/>
              </w:rPr>
            </w:pPr>
            <w:r w:rsidRPr="00090FA6">
              <w:rPr>
                <w:rFonts w:ascii="Aptos" w:eastAsia="Times New Roman" w:hAnsi="Aptos" w:cs="Calibri"/>
                <w:b/>
                <w:bCs/>
                <w:color w:val="000000"/>
                <w:kern w:val="0"/>
                <w:sz w:val="20"/>
                <w:u w:val="single"/>
                <w:lang w:val="en-IE" w:eastAsia="en-IE"/>
              </w:rPr>
              <w:t>Customers – LE/Trusts With BO Identified Not Verified</w:t>
            </w:r>
          </w:p>
          <w:p w14:paraId="0EDFBBDF" w14:textId="0B4FCD70" w:rsidR="00680D95" w:rsidRDefault="00680D95" w:rsidP="006075C1">
            <w:pPr>
              <w:spacing w:before="0" w:after="0" w:line="240" w:lineRule="auto"/>
              <w:jc w:val="both"/>
              <w:rPr>
                <w:rFonts w:ascii="Aptos" w:eastAsia="Times New Roman" w:hAnsi="Aptos" w:cs="Calibri"/>
                <w:b/>
                <w:bCs/>
                <w:color w:val="000000"/>
                <w:kern w:val="0"/>
                <w:sz w:val="20"/>
                <w:u w:val="single"/>
                <w:lang w:val="en-IE" w:eastAsia="en-IE"/>
              </w:rPr>
            </w:pPr>
          </w:p>
          <w:p w14:paraId="5F5579C7" w14:textId="0721BC67" w:rsidR="00680D95" w:rsidRDefault="00680D95" w:rsidP="00680D95">
            <w:pPr>
              <w:spacing w:before="0" w:after="0" w:line="240" w:lineRule="auto"/>
              <w:jc w:val="both"/>
              <w:rPr>
                <w:rFonts w:asciiTheme="minorHAnsi" w:eastAsia="Times New Roman" w:hAnsiTheme="minorHAnsi" w:cs="Calibri"/>
                <w:color w:val="000000" w:themeColor="text1"/>
                <w:sz w:val="20"/>
                <w:lang w:val="en-IE" w:eastAsia="en-IE"/>
              </w:rPr>
            </w:pPr>
            <w:r w:rsidRPr="00090FA6">
              <w:rPr>
                <w:rFonts w:asciiTheme="minorHAnsi" w:eastAsia="Times New Roman" w:hAnsiTheme="minorHAnsi" w:cs="Calibri"/>
                <w:color w:val="000000" w:themeColor="text1"/>
                <w:sz w:val="20"/>
                <w:lang w:val="en-IE" w:eastAsia="en-IE"/>
              </w:rPr>
              <w:t>Indicate the number of customers that are legal entities</w:t>
            </w:r>
            <w:r w:rsidR="00423FB8">
              <w:rPr>
                <w:rFonts w:asciiTheme="minorHAnsi" w:eastAsia="Times New Roman" w:hAnsiTheme="minorHAnsi" w:cs="Calibri"/>
                <w:color w:val="000000" w:themeColor="text1"/>
                <w:sz w:val="20"/>
                <w:lang w:val="en-IE" w:eastAsia="en-IE"/>
              </w:rPr>
              <w:t xml:space="preserve">, legal arrangements or </w:t>
            </w:r>
            <w:r w:rsidRPr="00090FA6">
              <w:rPr>
                <w:rFonts w:asciiTheme="minorHAnsi" w:eastAsia="Times New Roman" w:hAnsiTheme="minorHAnsi" w:cs="Calibri"/>
                <w:color w:val="000000" w:themeColor="text1"/>
                <w:sz w:val="20"/>
                <w:lang w:val="en-IE" w:eastAsia="en-IE"/>
              </w:rPr>
              <w:t>trusts whose beneficial owner</w:t>
            </w:r>
            <w:r w:rsidR="00827529">
              <w:rPr>
                <w:rFonts w:asciiTheme="minorHAnsi" w:eastAsia="Times New Roman" w:hAnsiTheme="minorHAnsi" w:cs="Calibri"/>
                <w:color w:val="000000" w:themeColor="text1"/>
                <w:sz w:val="20"/>
                <w:lang w:val="en-IE" w:eastAsia="en-IE"/>
              </w:rPr>
              <w:t xml:space="preserve">s </w:t>
            </w:r>
            <w:r w:rsidRPr="00090FA6">
              <w:rPr>
                <w:rFonts w:asciiTheme="minorHAnsi" w:eastAsia="Times New Roman" w:hAnsiTheme="minorHAnsi" w:cs="Calibri"/>
                <w:color w:val="000000" w:themeColor="text1"/>
                <w:sz w:val="20"/>
                <w:lang w:val="en-IE" w:eastAsia="en-IE"/>
              </w:rPr>
              <w:t>ha</w:t>
            </w:r>
            <w:r w:rsidR="006A4B97">
              <w:rPr>
                <w:rFonts w:asciiTheme="minorHAnsi" w:eastAsia="Times New Roman" w:hAnsiTheme="minorHAnsi" w:cs="Calibri"/>
                <w:color w:val="000000" w:themeColor="text1"/>
                <w:sz w:val="20"/>
                <w:lang w:val="en-IE" w:eastAsia="en-IE"/>
              </w:rPr>
              <w:t>ve</w:t>
            </w:r>
            <w:r w:rsidRPr="00090FA6">
              <w:rPr>
                <w:rFonts w:asciiTheme="minorHAnsi" w:eastAsia="Times New Roman" w:hAnsiTheme="minorHAnsi" w:cs="Calibri"/>
                <w:color w:val="000000" w:themeColor="text1"/>
                <w:sz w:val="20"/>
                <w:lang w:val="en-IE" w:eastAsia="en-IE"/>
              </w:rPr>
              <w:t xml:space="preserve"> been identified</w:t>
            </w:r>
            <w:r w:rsidR="000F2BCF">
              <w:rPr>
                <w:rFonts w:asciiTheme="minorHAnsi" w:eastAsia="Times New Roman" w:hAnsiTheme="minorHAnsi" w:cs="Calibri"/>
                <w:color w:val="000000" w:themeColor="text1"/>
                <w:sz w:val="20"/>
                <w:lang w:val="en-IE" w:eastAsia="en-IE"/>
              </w:rPr>
              <w:t xml:space="preserve"> </w:t>
            </w:r>
            <w:r w:rsidRPr="00090FA6">
              <w:rPr>
                <w:rFonts w:asciiTheme="minorHAnsi" w:eastAsia="Times New Roman" w:hAnsiTheme="minorHAnsi" w:cs="Calibri"/>
                <w:color w:val="000000" w:themeColor="text1"/>
                <w:sz w:val="20"/>
                <w:lang w:val="en-IE" w:eastAsia="en-IE"/>
              </w:rPr>
              <w:t>but the identity of whom has not been verified</w:t>
            </w:r>
            <w:r w:rsidR="7E8DC656" w:rsidRPr="1873AE94">
              <w:rPr>
                <w:rFonts w:asciiTheme="minorHAnsi" w:eastAsia="Times New Roman" w:hAnsiTheme="minorHAnsi" w:cs="Calibri"/>
                <w:color w:val="000000" w:themeColor="text1"/>
                <w:sz w:val="20"/>
                <w:lang w:val="en-IE" w:eastAsia="en-IE"/>
              </w:rPr>
              <w:t>, as of the end of the reference year</w:t>
            </w:r>
            <w:r w:rsidRPr="002F4814">
              <w:rPr>
                <w:rFonts w:asciiTheme="minorHAnsi" w:eastAsia="Times New Roman" w:hAnsiTheme="minorHAnsi" w:cs="Calibri"/>
                <w:color w:val="000000" w:themeColor="text1"/>
                <w:sz w:val="20"/>
                <w:lang w:val="en-IE" w:eastAsia="en-IE"/>
              </w:rPr>
              <w:t>.</w:t>
            </w:r>
          </w:p>
          <w:p w14:paraId="2D0593FD" w14:textId="77777777" w:rsidR="00E3267B" w:rsidRDefault="00E3267B" w:rsidP="00680D95">
            <w:pPr>
              <w:spacing w:before="0" w:after="0" w:line="240" w:lineRule="auto"/>
              <w:jc w:val="both"/>
              <w:rPr>
                <w:rFonts w:asciiTheme="minorHAnsi" w:eastAsia="Times New Roman" w:hAnsiTheme="minorHAnsi" w:cs="Calibri"/>
                <w:color w:val="000000" w:themeColor="text1"/>
                <w:sz w:val="20"/>
                <w:lang w:val="en-IE" w:eastAsia="en-IE"/>
              </w:rPr>
            </w:pPr>
          </w:p>
          <w:p w14:paraId="0E584A1D" w14:textId="7A8912D5" w:rsidR="00E3267B" w:rsidRDefault="007A39D4" w:rsidP="00680D95">
            <w:pPr>
              <w:spacing w:before="0" w:after="0" w:line="240" w:lineRule="auto"/>
              <w:jc w:val="both"/>
              <w:rPr>
                <w:rFonts w:asciiTheme="minorHAnsi" w:eastAsia="Times New Roman" w:hAnsiTheme="minorHAnsi" w:cs="Calibri"/>
                <w:color w:val="000000" w:themeColor="text1"/>
                <w:sz w:val="20"/>
                <w:lang w:val="en-IE" w:eastAsia="en-IE"/>
              </w:rPr>
            </w:pPr>
            <w:r>
              <w:rPr>
                <w:rFonts w:asciiTheme="minorHAnsi" w:eastAsia="Times New Roman" w:hAnsiTheme="minorHAnsi" w:cs="Calibri"/>
                <w:color w:val="000000" w:themeColor="text1"/>
                <w:sz w:val="20"/>
                <w:lang w:val="en-IE" w:eastAsia="en-IE"/>
              </w:rPr>
              <w:t>A</w:t>
            </w:r>
            <w:r w:rsidR="00E3267B" w:rsidRPr="00E3267B">
              <w:rPr>
                <w:rFonts w:asciiTheme="minorHAnsi" w:eastAsia="Times New Roman" w:hAnsiTheme="minorHAnsi" w:cs="Calibri"/>
                <w:color w:val="000000" w:themeColor="text1"/>
                <w:sz w:val="20"/>
                <w:lang w:val="en-IE" w:eastAsia="en-IE"/>
              </w:rPr>
              <w:t xml:space="preserve">s per </w:t>
            </w:r>
            <w:r w:rsidR="00D62E2F">
              <w:rPr>
                <w:rFonts w:asciiTheme="minorHAnsi" w:eastAsia="Times New Roman" w:hAnsiTheme="minorHAnsi" w:cs="Calibri"/>
                <w:color w:val="000000" w:themeColor="text1"/>
                <w:sz w:val="20"/>
                <w:lang w:val="en-IE" w:eastAsia="en-IE"/>
              </w:rPr>
              <w:t>Article</w:t>
            </w:r>
            <w:r w:rsidR="00E3267B" w:rsidRPr="00E3267B">
              <w:rPr>
                <w:rFonts w:asciiTheme="minorHAnsi" w:eastAsia="Times New Roman" w:hAnsiTheme="minorHAnsi" w:cs="Calibri"/>
                <w:color w:val="000000" w:themeColor="text1"/>
                <w:sz w:val="20"/>
                <w:lang w:val="en-IE" w:eastAsia="en-IE"/>
              </w:rPr>
              <w:t xml:space="preserve"> 2(1)(28) AMLR, ‘beneficial owner’ means “any natural person who ultimately owns or controls a legal entity or an express trust or similar legal arrangement”.</w:t>
            </w:r>
          </w:p>
          <w:p w14:paraId="33D94A01" w14:textId="77777777" w:rsidR="00E3267B" w:rsidRDefault="00E3267B" w:rsidP="00680D95">
            <w:pPr>
              <w:spacing w:before="0" w:after="0" w:line="240" w:lineRule="auto"/>
              <w:jc w:val="both"/>
              <w:rPr>
                <w:rFonts w:asciiTheme="minorHAnsi" w:eastAsia="Times New Roman" w:hAnsiTheme="minorHAnsi" w:cs="Calibri"/>
                <w:color w:val="000000" w:themeColor="text1"/>
                <w:sz w:val="20"/>
                <w:lang w:val="en-IE" w:eastAsia="en-IE"/>
              </w:rPr>
            </w:pPr>
          </w:p>
          <w:p w14:paraId="385FE401" w14:textId="179F64E5" w:rsidR="001023B6" w:rsidRDefault="001023B6" w:rsidP="00680D95">
            <w:pPr>
              <w:spacing w:before="0" w:after="0" w:line="240" w:lineRule="auto"/>
              <w:jc w:val="both"/>
              <w:rPr>
                <w:rFonts w:asciiTheme="minorHAnsi" w:eastAsia="Times New Roman" w:hAnsiTheme="minorHAnsi" w:cs="Calibri"/>
                <w:color w:val="000000" w:themeColor="text1"/>
                <w:sz w:val="20"/>
                <w:lang w:val="en-IE" w:eastAsia="en-IE"/>
              </w:rPr>
            </w:pPr>
            <w:r w:rsidRPr="001023B6">
              <w:rPr>
                <w:rFonts w:asciiTheme="minorHAnsi" w:eastAsia="Times New Roman" w:hAnsiTheme="minorHAnsi" w:cs="Calibri"/>
                <w:color w:val="000000" w:themeColor="text1"/>
                <w:sz w:val="20"/>
                <w:lang w:val="en-IE" w:eastAsia="en-IE"/>
              </w:rPr>
              <w:t xml:space="preserve">For the purposes of this data point, “verified” means that the </w:t>
            </w:r>
            <w:r w:rsidR="00863B13">
              <w:rPr>
                <w:rFonts w:asciiTheme="minorHAnsi" w:eastAsia="Times New Roman" w:hAnsiTheme="minorHAnsi" w:cs="Calibri"/>
                <w:color w:val="000000" w:themeColor="text1"/>
                <w:sz w:val="20"/>
                <w:lang w:val="en-IE" w:eastAsia="en-IE"/>
              </w:rPr>
              <w:t>reporting obliged entity</w:t>
            </w:r>
            <w:r w:rsidRPr="001023B6">
              <w:rPr>
                <w:rFonts w:asciiTheme="minorHAnsi" w:eastAsia="Times New Roman" w:hAnsiTheme="minorHAnsi" w:cs="Calibri"/>
                <w:color w:val="000000" w:themeColor="text1"/>
                <w:sz w:val="20"/>
                <w:lang w:val="en-IE" w:eastAsia="en-IE"/>
              </w:rPr>
              <w:t xml:space="preserve"> has taken reasonable measures to verify the identity of the beneficial owner, using reliable documents, data or information, in accordance with Article 20(1)(b) and Article 22 AMLR. This includes consultation of the central register(s) as an additional verification step, in accordance with Article 22(7) AMLR.</w:t>
            </w:r>
          </w:p>
          <w:p w14:paraId="474059A2" w14:textId="77777777" w:rsidR="007B15DA" w:rsidRDefault="007B15DA" w:rsidP="00680D95">
            <w:pPr>
              <w:spacing w:before="0" w:after="0" w:line="240" w:lineRule="auto"/>
              <w:jc w:val="both"/>
              <w:rPr>
                <w:rFonts w:asciiTheme="minorHAnsi" w:eastAsia="Times New Roman" w:hAnsiTheme="minorHAnsi" w:cs="Calibri"/>
                <w:color w:val="000000" w:themeColor="text1"/>
                <w:sz w:val="20"/>
                <w:lang w:val="en-IE" w:eastAsia="en-IE"/>
              </w:rPr>
            </w:pPr>
          </w:p>
          <w:p w14:paraId="6B355F3B" w14:textId="51ADB6DD" w:rsidR="007B15DA" w:rsidRDefault="007B15DA" w:rsidP="00680D95">
            <w:pPr>
              <w:spacing w:before="0" w:after="0" w:line="240" w:lineRule="auto"/>
              <w:jc w:val="both"/>
              <w:rPr>
                <w:rFonts w:asciiTheme="minorHAnsi" w:eastAsia="Times New Roman" w:hAnsiTheme="minorHAnsi" w:cs="Calibri"/>
                <w:color w:val="000000" w:themeColor="text1"/>
                <w:sz w:val="20"/>
                <w:lang w:val="en-IE" w:eastAsia="en-IE"/>
              </w:rPr>
            </w:pPr>
            <w:r w:rsidRPr="007B15DA">
              <w:rPr>
                <w:rFonts w:asciiTheme="minorHAnsi" w:eastAsia="Times New Roman" w:hAnsiTheme="minorHAnsi" w:cs="Calibri"/>
                <w:color w:val="000000" w:themeColor="text1"/>
                <w:sz w:val="20"/>
                <w:lang w:val="en-IE" w:eastAsia="en-IE"/>
              </w:rPr>
              <w:t xml:space="preserve">Accordingly, this data point should include customers where the beneficial owner(s) have been identified, but the </w:t>
            </w:r>
            <w:r w:rsidR="00863B13">
              <w:rPr>
                <w:rFonts w:asciiTheme="minorHAnsi" w:eastAsia="Times New Roman" w:hAnsiTheme="minorHAnsi" w:cs="Calibri"/>
                <w:color w:val="000000" w:themeColor="text1"/>
                <w:sz w:val="20"/>
                <w:lang w:val="en-IE" w:eastAsia="en-IE"/>
              </w:rPr>
              <w:t>reporting obliged entity</w:t>
            </w:r>
            <w:r w:rsidRPr="007B15DA">
              <w:rPr>
                <w:rFonts w:asciiTheme="minorHAnsi" w:eastAsia="Times New Roman" w:hAnsiTheme="minorHAnsi" w:cs="Calibri"/>
                <w:color w:val="000000" w:themeColor="text1"/>
                <w:sz w:val="20"/>
                <w:lang w:val="en-IE" w:eastAsia="en-IE"/>
              </w:rPr>
              <w:t xml:space="preserve"> has not yet completed the verification of the beneficial owner’s identity in line with the above requirements, as of the end of the reference year.</w:t>
            </w:r>
          </w:p>
          <w:p w14:paraId="5E021A33" w14:textId="3099640B" w:rsidR="001023B6" w:rsidRDefault="001023B6" w:rsidP="00680D95">
            <w:pPr>
              <w:spacing w:before="0" w:after="0" w:line="240" w:lineRule="auto"/>
              <w:jc w:val="both"/>
              <w:rPr>
                <w:rFonts w:asciiTheme="minorHAnsi" w:eastAsia="Times New Roman" w:hAnsiTheme="minorHAnsi" w:cs="Calibri"/>
                <w:color w:val="000000" w:themeColor="text1"/>
                <w:sz w:val="20"/>
                <w:lang w:val="en-IE" w:eastAsia="en-IE"/>
              </w:rPr>
            </w:pPr>
          </w:p>
          <w:p w14:paraId="540460BA" w14:textId="32CF78C4" w:rsidR="00E3267B" w:rsidRPr="0074606B" w:rsidRDefault="00221864" w:rsidP="00680D95">
            <w:pPr>
              <w:spacing w:before="0" w:after="0" w:line="240" w:lineRule="auto"/>
              <w:jc w:val="both"/>
              <w:rPr>
                <w:rFonts w:asciiTheme="minorHAnsi" w:eastAsia="Times New Roman" w:hAnsiTheme="minorHAnsi" w:cs="Calibri"/>
                <w:color w:val="000000" w:themeColor="text1"/>
                <w:sz w:val="20"/>
                <w:lang w:val="en-IE" w:eastAsia="en-IE"/>
              </w:rPr>
            </w:pPr>
            <w:r>
              <w:rPr>
                <w:rFonts w:asciiTheme="minorHAnsi" w:eastAsia="Times New Roman" w:hAnsiTheme="minorHAnsi" w:cs="Calibri"/>
                <w:color w:val="000000" w:themeColor="text1"/>
                <w:sz w:val="20"/>
                <w:lang w:val="en-IE" w:eastAsia="en-IE"/>
              </w:rPr>
              <w:t>For the purposes of this data point</w:t>
            </w:r>
            <w:r w:rsidR="00E3267B" w:rsidRPr="00E3267B">
              <w:rPr>
                <w:rFonts w:asciiTheme="minorHAnsi" w:eastAsia="Times New Roman" w:hAnsiTheme="minorHAnsi" w:cs="Calibri"/>
                <w:color w:val="000000" w:themeColor="text1"/>
                <w:sz w:val="20"/>
                <w:lang w:val="en-IE" w:eastAsia="en-IE"/>
              </w:rPr>
              <w:t>, senior managing officials (SMOs) reported in</w:t>
            </w:r>
            <w:r w:rsidR="006667CC">
              <w:rPr>
                <w:rFonts w:asciiTheme="minorHAnsi" w:eastAsia="Times New Roman" w:hAnsiTheme="minorHAnsi" w:cs="Calibri"/>
                <w:color w:val="000000" w:themeColor="text1"/>
                <w:sz w:val="20"/>
                <w:lang w:val="en-IE" w:eastAsia="en-IE"/>
              </w:rPr>
              <w:t xml:space="preserve"> place</w:t>
            </w:r>
            <w:r w:rsidR="00E3267B" w:rsidRPr="00E3267B">
              <w:rPr>
                <w:rFonts w:asciiTheme="minorHAnsi" w:eastAsia="Times New Roman" w:hAnsiTheme="minorHAnsi" w:cs="Calibri"/>
                <w:color w:val="000000" w:themeColor="text1"/>
                <w:sz w:val="20"/>
                <w:lang w:val="en-IE" w:eastAsia="en-IE"/>
              </w:rPr>
              <w:t xml:space="preserve"> of the beneficial owners</w:t>
            </w:r>
            <w:r w:rsidR="006667CC">
              <w:rPr>
                <w:rFonts w:asciiTheme="minorHAnsi" w:eastAsia="Times New Roman" w:hAnsiTheme="minorHAnsi" w:cs="Calibri"/>
                <w:color w:val="000000" w:themeColor="text1"/>
                <w:sz w:val="20"/>
                <w:lang w:val="en-IE" w:eastAsia="en-IE"/>
              </w:rPr>
              <w:t xml:space="preserve"> in circumstances</w:t>
            </w:r>
            <w:r w:rsidR="00E3267B" w:rsidRPr="00E3267B">
              <w:rPr>
                <w:rFonts w:asciiTheme="minorHAnsi" w:eastAsia="Times New Roman" w:hAnsiTheme="minorHAnsi" w:cs="Calibri"/>
                <w:color w:val="000000" w:themeColor="text1"/>
                <w:sz w:val="20"/>
                <w:lang w:val="en-IE" w:eastAsia="en-IE"/>
              </w:rPr>
              <w:t xml:space="preserve"> where no natural person is identifiable </w:t>
            </w:r>
            <w:r w:rsidR="00C311F7">
              <w:rPr>
                <w:rFonts w:asciiTheme="minorHAnsi" w:eastAsia="Times New Roman" w:hAnsiTheme="minorHAnsi" w:cs="Calibri"/>
                <w:color w:val="000000" w:themeColor="text1"/>
                <w:sz w:val="20"/>
                <w:lang w:val="en-IE" w:eastAsia="en-IE"/>
              </w:rPr>
              <w:t>as</w:t>
            </w:r>
            <w:r w:rsidR="00E3267B" w:rsidRPr="00E3267B">
              <w:rPr>
                <w:rFonts w:asciiTheme="minorHAnsi" w:eastAsia="Times New Roman" w:hAnsiTheme="minorHAnsi" w:cs="Calibri"/>
                <w:color w:val="000000" w:themeColor="text1"/>
                <w:sz w:val="20"/>
                <w:lang w:val="en-IE" w:eastAsia="en-IE"/>
              </w:rPr>
              <w:t xml:space="preserve"> ultimately own</w:t>
            </w:r>
            <w:r w:rsidR="00F54FBB">
              <w:rPr>
                <w:rFonts w:asciiTheme="minorHAnsi" w:eastAsia="Times New Roman" w:hAnsiTheme="minorHAnsi" w:cs="Calibri"/>
                <w:color w:val="000000" w:themeColor="text1"/>
                <w:sz w:val="20"/>
                <w:lang w:val="en-IE" w:eastAsia="en-IE"/>
              </w:rPr>
              <w:t>ing</w:t>
            </w:r>
            <w:r w:rsidR="00E3267B" w:rsidRPr="00E3267B">
              <w:rPr>
                <w:rFonts w:asciiTheme="minorHAnsi" w:eastAsia="Times New Roman" w:hAnsiTheme="minorHAnsi" w:cs="Calibri"/>
                <w:color w:val="000000" w:themeColor="text1"/>
                <w:sz w:val="20"/>
                <w:lang w:val="en-IE" w:eastAsia="en-IE"/>
              </w:rPr>
              <w:t xml:space="preserve"> or exer</w:t>
            </w:r>
            <w:r w:rsidR="00F54FBB">
              <w:rPr>
                <w:rFonts w:asciiTheme="minorHAnsi" w:eastAsia="Times New Roman" w:hAnsiTheme="minorHAnsi" w:cs="Calibri"/>
                <w:color w:val="000000" w:themeColor="text1"/>
                <w:sz w:val="20"/>
                <w:lang w:val="en-IE" w:eastAsia="en-IE"/>
              </w:rPr>
              <w:t>cising</w:t>
            </w:r>
            <w:r w:rsidR="00E3267B" w:rsidRPr="00E3267B">
              <w:rPr>
                <w:rFonts w:asciiTheme="minorHAnsi" w:eastAsia="Times New Roman" w:hAnsiTheme="minorHAnsi" w:cs="Calibri"/>
                <w:color w:val="000000" w:themeColor="text1"/>
                <w:sz w:val="20"/>
                <w:lang w:val="en-IE" w:eastAsia="en-IE"/>
              </w:rPr>
              <w:t xml:space="preserve"> control over an entity (</w:t>
            </w:r>
            <w:r w:rsidR="00CC2FA0">
              <w:rPr>
                <w:rFonts w:asciiTheme="minorHAnsi" w:eastAsia="Times New Roman" w:hAnsiTheme="minorHAnsi" w:cs="Calibri"/>
                <w:color w:val="000000" w:themeColor="text1"/>
                <w:sz w:val="20"/>
                <w:lang w:val="en-IE" w:eastAsia="en-IE"/>
              </w:rPr>
              <w:t>in accordance</w:t>
            </w:r>
            <w:r w:rsidR="001A5653">
              <w:rPr>
                <w:rFonts w:asciiTheme="minorHAnsi" w:eastAsia="Times New Roman" w:hAnsiTheme="minorHAnsi" w:cs="Calibri"/>
                <w:color w:val="000000" w:themeColor="text1"/>
                <w:sz w:val="20"/>
                <w:lang w:val="en-IE" w:eastAsia="en-IE"/>
              </w:rPr>
              <w:t xml:space="preserve"> with</w:t>
            </w:r>
            <w:r w:rsidR="00E3267B" w:rsidRPr="00E3267B">
              <w:rPr>
                <w:rFonts w:asciiTheme="minorHAnsi" w:eastAsia="Times New Roman" w:hAnsiTheme="minorHAnsi" w:cs="Calibri"/>
                <w:color w:val="000000" w:themeColor="text1"/>
                <w:sz w:val="20"/>
                <w:lang w:val="en-IE" w:eastAsia="en-IE"/>
              </w:rPr>
              <w:t xml:space="preserve"> </w:t>
            </w:r>
            <w:r w:rsidR="001A5653">
              <w:rPr>
                <w:rFonts w:asciiTheme="minorHAnsi" w:eastAsia="Times New Roman" w:hAnsiTheme="minorHAnsi" w:cs="Calibri"/>
                <w:color w:val="000000" w:themeColor="text1"/>
                <w:sz w:val="20"/>
                <w:lang w:val="en-IE" w:eastAsia="en-IE"/>
              </w:rPr>
              <w:t>Article</w:t>
            </w:r>
            <w:r w:rsidR="00E3267B" w:rsidRPr="00E3267B">
              <w:rPr>
                <w:rFonts w:asciiTheme="minorHAnsi" w:eastAsia="Times New Roman" w:hAnsiTheme="minorHAnsi" w:cs="Calibri"/>
                <w:color w:val="000000" w:themeColor="text1"/>
                <w:sz w:val="20"/>
                <w:lang w:val="en-IE" w:eastAsia="en-IE"/>
              </w:rPr>
              <w:t xml:space="preserve"> 22(2) AMLR) </w:t>
            </w:r>
            <w:r w:rsidR="00187844">
              <w:rPr>
                <w:rFonts w:asciiTheme="minorHAnsi" w:eastAsia="Times New Roman" w:hAnsiTheme="minorHAnsi" w:cs="Calibri"/>
                <w:color w:val="000000" w:themeColor="text1"/>
                <w:sz w:val="20"/>
                <w:lang w:val="en-IE" w:eastAsia="en-IE"/>
              </w:rPr>
              <w:t>shall</w:t>
            </w:r>
            <w:r w:rsidR="00E3267B" w:rsidRPr="00E3267B">
              <w:rPr>
                <w:rFonts w:asciiTheme="minorHAnsi" w:eastAsia="Times New Roman" w:hAnsiTheme="minorHAnsi" w:cs="Calibri"/>
                <w:color w:val="000000" w:themeColor="text1"/>
                <w:sz w:val="20"/>
                <w:lang w:val="en-IE" w:eastAsia="en-IE"/>
              </w:rPr>
              <w:t xml:space="preserve"> not</w:t>
            </w:r>
            <w:r w:rsidR="00931557">
              <w:rPr>
                <w:rFonts w:asciiTheme="minorHAnsi" w:eastAsia="Times New Roman" w:hAnsiTheme="minorHAnsi" w:cs="Calibri"/>
                <w:color w:val="000000" w:themeColor="text1"/>
                <w:sz w:val="20"/>
                <w:lang w:val="en-IE" w:eastAsia="en-IE"/>
              </w:rPr>
              <w:t xml:space="preserve"> be treated as</w:t>
            </w:r>
            <w:r w:rsidR="00E3267B" w:rsidRPr="00E3267B">
              <w:rPr>
                <w:rFonts w:asciiTheme="minorHAnsi" w:eastAsia="Times New Roman" w:hAnsiTheme="minorHAnsi" w:cs="Calibri"/>
                <w:color w:val="000000" w:themeColor="text1"/>
                <w:sz w:val="20"/>
                <w:lang w:val="en-IE" w:eastAsia="en-IE"/>
              </w:rPr>
              <w:t xml:space="preserve"> beneficial owners and shall not be counted </w:t>
            </w:r>
            <w:r w:rsidR="00931557">
              <w:rPr>
                <w:rFonts w:asciiTheme="minorHAnsi" w:eastAsia="Times New Roman" w:hAnsiTheme="minorHAnsi" w:cs="Calibri"/>
                <w:color w:val="000000" w:themeColor="text1"/>
                <w:sz w:val="20"/>
                <w:lang w:val="en-IE" w:eastAsia="en-IE"/>
              </w:rPr>
              <w:t xml:space="preserve">under </w:t>
            </w:r>
            <w:r w:rsidR="00E3267B" w:rsidRPr="00E3267B">
              <w:rPr>
                <w:rFonts w:asciiTheme="minorHAnsi" w:eastAsia="Times New Roman" w:hAnsiTheme="minorHAnsi" w:cs="Calibri"/>
                <w:color w:val="000000" w:themeColor="text1"/>
                <w:sz w:val="20"/>
                <w:lang w:val="en-IE" w:eastAsia="en-IE"/>
              </w:rPr>
              <w:t>this datapoint.</w:t>
            </w:r>
            <w:r>
              <w:rPr>
                <w:rFonts w:asciiTheme="minorHAnsi" w:eastAsia="Times New Roman" w:hAnsiTheme="minorHAnsi" w:cs="Calibri"/>
                <w:color w:val="000000" w:themeColor="text1"/>
                <w:sz w:val="20"/>
                <w:lang w:val="en-IE" w:eastAsia="en-IE"/>
              </w:rPr>
              <w:t xml:space="preserve"> </w:t>
            </w:r>
            <w:r w:rsidRPr="00221864">
              <w:rPr>
                <w:rFonts w:asciiTheme="minorHAnsi" w:eastAsia="Times New Roman" w:hAnsiTheme="minorHAnsi" w:cs="Calibri"/>
                <w:color w:val="000000" w:themeColor="text1"/>
                <w:sz w:val="20"/>
                <w:lang w:val="en-IE" w:eastAsia="en-IE"/>
              </w:rPr>
              <w:t>This is consistent with Recital 125 AMLR</w:t>
            </w:r>
            <w:r>
              <w:rPr>
                <w:rFonts w:asciiTheme="minorHAnsi" w:eastAsia="Times New Roman" w:hAnsiTheme="minorHAnsi" w:cs="Calibri"/>
                <w:color w:val="000000" w:themeColor="text1"/>
                <w:sz w:val="20"/>
                <w:lang w:val="en-IE" w:eastAsia="en-IE"/>
              </w:rPr>
              <w:t>.</w:t>
            </w:r>
          </w:p>
          <w:p w14:paraId="25A46FAE" w14:textId="29DC7EB2" w:rsidR="008E253D" w:rsidRPr="00BF5F8A" w:rsidRDefault="008E253D" w:rsidP="006075C1">
            <w:pPr>
              <w:spacing w:before="0" w:after="0" w:line="240" w:lineRule="auto"/>
              <w:jc w:val="both"/>
              <w:rPr>
                <w:rFonts w:asciiTheme="minorHAnsi" w:eastAsia="Times New Roman" w:hAnsiTheme="minorHAnsi" w:cs="Calibri"/>
                <w:b/>
                <w:bCs/>
                <w:color w:val="000000"/>
                <w:kern w:val="0"/>
                <w:sz w:val="20"/>
                <w:u w:val="single"/>
                <w:lang w:val="en-IE" w:eastAsia="en-IE"/>
              </w:rPr>
            </w:pPr>
          </w:p>
        </w:tc>
      </w:tr>
      <w:tr w:rsidR="00A10CBD" w:rsidRPr="009B282E" w14:paraId="790E8369" w14:textId="77777777" w:rsidTr="1873AE94">
        <w:tc>
          <w:tcPr>
            <w:tcW w:w="1673" w:type="dxa"/>
            <w:tcBorders>
              <w:top w:val="single" w:sz="4" w:space="0" w:color="auto"/>
              <w:left w:val="single" w:sz="4" w:space="0" w:color="auto"/>
              <w:bottom w:val="single" w:sz="4" w:space="0" w:color="auto"/>
              <w:right w:val="single" w:sz="4" w:space="0" w:color="auto"/>
            </w:tcBorders>
            <w:vAlign w:val="center"/>
          </w:tcPr>
          <w:p w14:paraId="02A31917" w14:textId="58B3C757" w:rsidR="008E253D" w:rsidRPr="009275BC" w:rsidRDefault="00453630" w:rsidP="00F32516">
            <w:pPr>
              <w:pStyle w:val="InstructionsText"/>
              <w:rPr>
                <w:rStyle w:val="FormatvorlageInstructionsTabelleText"/>
                <w:rFonts w:asciiTheme="minorHAnsi" w:hAnsiTheme="minorHAnsi"/>
              </w:rPr>
            </w:pPr>
            <w:r w:rsidRPr="00A70B3F">
              <w:t>C0030</w:t>
            </w:r>
          </w:p>
        </w:tc>
        <w:tc>
          <w:tcPr>
            <w:tcW w:w="7616"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7A22115" w14:textId="77777777" w:rsidR="00491899" w:rsidRDefault="00491899" w:rsidP="006075C1">
            <w:pPr>
              <w:spacing w:before="0" w:after="0" w:line="240" w:lineRule="auto"/>
              <w:jc w:val="both"/>
              <w:rPr>
                <w:rFonts w:asciiTheme="minorHAnsi" w:eastAsia="Times New Roman" w:hAnsiTheme="minorHAnsi" w:cs="Calibri"/>
                <w:b/>
                <w:bCs/>
                <w:color w:val="000000"/>
                <w:kern w:val="0"/>
                <w:sz w:val="20"/>
                <w:u w:val="single"/>
                <w:lang w:val="en-IE" w:eastAsia="en-IE"/>
              </w:rPr>
            </w:pPr>
            <w:r w:rsidRPr="001C5B60">
              <w:rPr>
                <w:rFonts w:ascii="Aptos" w:eastAsia="Times New Roman" w:hAnsi="Aptos" w:cs="Calibri"/>
                <w:b/>
                <w:bCs/>
                <w:color w:val="000000"/>
                <w:kern w:val="0"/>
                <w:sz w:val="20"/>
                <w:u w:val="single"/>
                <w:lang w:val="en-IE" w:eastAsia="en-IE"/>
              </w:rPr>
              <w:t>Customers – Missing ID/Verification Documentation</w:t>
            </w:r>
          </w:p>
          <w:p w14:paraId="1A36237E" w14:textId="77777777" w:rsidR="008E253D" w:rsidRPr="001C5B60" w:rsidRDefault="008E253D" w:rsidP="006075C1">
            <w:pPr>
              <w:spacing w:before="0" w:after="0" w:line="240" w:lineRule="auto"/>
              <w:jc w:val="both"/>
              <w:rPr>
                <w:rFonts w:asciiTheme="minorHAnsi" w:eastAsia="Times New Roman" w:hAnsiTheme="minorHAnsi" w:cs="Calibri"/>
                <w:color w:val="000000"/>
                <w:kern w:val="0"/>
                <w:sz w:val="20"/>
                <w:lang w:val="en-IE" w:eastAsia="en-IE"/>
              </w:rPr>
            </w:pPr>
          </w:p>
          <w:p w14:paraId="135214B0" w14:textId="752D925C" w:rsidR="00680D95" w:rsidRDefault="00680D95" w:rsidP="006075C1">
            <w:pPr>
              <w:spacing w:before="0" w:after="0" w:line="240" w:lineRule="auto"/>
              <w:jc w:val="both"/>
              <w:rPr>
                <w:rFonts w:asciiTheme="minorHAnsi" w:eastAsia="Times New Roman" w:hAnsiTheme="minorHAnsi" w:cs="Calibri"/>
                <w:color w:val="000000" w:themeColor="text1"/>
                <w:sz w:val="20"/>
                <w:lang w:val="en-IE" w:eastAsia="en-IE"/>
              </w:rPr>
            </w:pPr>
            <w:r w:rsidRPr="001C5B60">
              <w:rPr>
                <w:rFonts w:asciiTheme="minorHAnsi" w:eastAsia="Times New Roman" w:hAnsiTheme="minorHAnsi" w:cs="Calibri"/>
                <w:color w:val="000000" w:themeColor="text1"/>
                <w:sz w:val="20"/>
                <w:lang w:val="en-IE" w:eastAsia="en-IE"/>
              </w:rPr>
              <w:t xml:space="preserve">Indicate the number of customers </w:t>
            </w:r>
            <w:r w:rsidR="00E02DAD" w:rsidRPr="1873AE94">
              <w:rPr>
                <w:rFonts w:asciiTheme="minorHAnsi" w:eastAsia="Times New Roman" w:hAnsiTheme="minorHAnsi" w:cs="Calibri"/>
                <w:color w:val="000000" w:themeColor="text1"/>
                <w:sz w:val="20"/>
                <w:lang w:val="en-IE" w:eastAsia="en-IE"/>
              </w:rPr>
              <w:t xml:space="preserve">(both natural and legal persons) </w:t>
            </w:r>
            <w:r w:rsidR="00095C24">
              <w:rPr>
                <w:rFonts w:asciiTheme="minorHAnsi" w:eastAsia="Times New Roman" w:hAnsiTheme="minorHAnsi" w:cs="Calibri"/>
                <w:color w:val="000000" w:themeColor="text1"/>
                <w:sz w:val="20"/>
                <w:lang w:val="en-IE" w:eastAsia="en-IE"/>
              </w:rPr>
              <w:t>for which no</w:t>
            </w:r>
            <w:r w:rsidR="00101B72">
              <w:rPr>
                <w:rFonts w:asciiTheme="minorHAnsi" w:eastAsia="Times New Roman" w:hAnsiTheme="minorHAnsi" w:cs="Calibri"/>
                <w:color w:val="000000" w:themeColor="text1"/>
                <w:sz w:val="20"/>
                <w:lang w:val="en-IE" w:eastAsia="en-IE"/>
              </w:rPr>
              <w:t xml:space="preserve"> </w:t>
            </w:r>
            <w:r w:rsidR="00095C24">
              <w:rPr>
                <w:rFonts w:asciiTheme="minorHAnsi" w:eastAsia="Times New Roman" w:hAnsiTheme="minorHAnsi" w:cs="Calibri"/>
                <w:color w:val="000000" w:themeColor="text1"/>
                <w:sz w:val="20"/>
                <w:lang w:val="en-IE" w:eastAsia="en-IE"/>
              </w:rPr>
              <w:t xml:space="preserve">identity document (or equivalent document or </w:t>
            </w:r>
            <w:r w:rsidR="00C30929">
              <w:rPr>
                <w:rFonts w:asciiTheme="minorHAnsi" w:eastAsia="Times New Roman" w:hAnsiTheme="minorHAnsi" w:cs="Calibri"/>
                <w:color w:val="000000" w:themeColor="text1"/>
                <w:sz w:val="20"/>
                <w:lang w:val="en-IE" w:eastAsia="en-IE"/>
              </w:rPr>
              <w:t>non-face-to-face</w:t>
            </w:r>
            <w:r w:rsidR="00095C24">
              <w:rPr>
                <w:rFonts w:asciiTheme="minorHAnsi" w:eastAsia="Times New Roman" w:hAnsiTheme="minorHAnsi" w:cs="Calibri"/>
                <w:color w:val="000000" w:themeColor="text1"/>
                <w:sz w:val="20"/>
                <w:lang w:val="en-IE" w:eastAsia="en-IE"/>
              </w:rPr>
              <w:t xml:space="preserve"> measure)</w:t>
            </w:r>
            <w:r w:rsidR="009C3830">
              <w:rPr>
                <w:rFonts w:asciiTheme="minorHAnsi" w:eastAsia="Times New Roman" w:hAnsiTheme="minorHAnsi" w:cs="Calibri"/>
                <w:color w:val="000000" w:themeColor="text1"/>
                <w:sz w:val="20"/>
                <w:lang w:val="en-IE" w:eastAsia="en-IE"/>
              </w:rPr>
              <w:t xml:space="preserve"> </w:t>
            </w:r>
            <w:r w:rsidR="0086302E">
              <w:rPr>
                <w:rFonts w:asciiTheme="minorHAnsi" w:eastAsia="Times New Roman" w:hAnsiTheme="minorHAnsi" w:cs="Calibri"/>
                <w:color w:val="000000" w:themeColor="text1"/>
                <w:sz w:val="20"/>
                <w:lang w:val="en-IE" w:eastAsia="en-IE"/>
              </w:rPr>
              <w:t>is recorded</w:t>
            </w:r>
            <w:r w:rsidR="260BE6C5" w:rsidRPr="1873AE94">
              <w:rPr>
                <w:rFonts w:asciiTheme="minorHAnsi" w:eastAsia="Times New Roman" w:hAnsiTheme="minorHAnsi" w:cs="Calibri"/>
                <w:color w:val="000000" w:themeColor="text1"/>
                <w:sz w:val="20"/>
                <w:lang w:val="en-IE" w:eastAsia="en-IE"/>
              </w:rPr>
              <w:t xml:space="preserve"> as of the end of the reference year</w:t>
            </w:r>
            <w:r w:rsidRPr="001C5B60">
              <w:rPr>
                <w:rFonts w:asciiTheme="minorHAnsi" w:eastAsia="Times New Roman" w:hAnsiTheme="minorHAnsi" w:cs="Calibri"/>
                <w:color w:val="000000" w:themeColor="text1"/>
                <w:sz w:val="20"/>
                <w:lang w:val="en-IE" w:eastAsia="en-IE"/>
              </w:rPr>
              <w:t>.</w:t>
            </w:r>
            <w:r w:rsidR="004D5019">
              <w:rPr>
                <w:rFonts w:asciiTheme="minorHAnsi" w:eastAsia="Times New Roman" w:hAnsiTheme="minorHAnsi" w:cs="Calibri"/>
                <w:color w:val="000000" w:themeColor="text1"/>
                <w:sz w:val="20"/>
                <w:lang w:val="en-IE" w:eastAsia="en-IE"/>
              </w:rPr>
              <w:t xml:space="preserve"> </w:t>
            </w:r>
          </w:p>
          <w:p w14:paraId="735C3F7D" w14:textId="77777777" w:rsidR="00741484" w:rsidRDefault="00741484" w:rsidP="006075C1">
            <w:pPr>
              <w:spacing w:before="0" w:after="0" w:line="240" w:lineRule="auto"/>
              <w:jc w:val="both"/>
              <w:rPr>
                <w:rFonts w:asciiTheme="minorHAnsi" w:eastAsia="Times New Roman" w:hAnsiTheme="minorHAnsi" w:cs="Calibri"/>
                <w:b/>
                <w:bCs/>
                <w:color w:val="000000"/>
                <w:kern w:val="0"/>
                <w:sz w:val="20"/>
                <w:u w:val="single"/>
                <w:lang w:val="en-IE" w:eastAsia="en-IE"/>
              </w:rPr>
            </w:pPr>
          </w:p>
          <w:p w14:paraId="28925258" w14:textId="3B163D19" w:rsidR="008E253D" w:rsidRDefault="00DD27A4" w:rsidP="006075C1">
            <w:pPr>
              <w:spacing w:before="0" w:after="0" w:line="240" w:lineRule="auto"/>
              <w:jc w:val="both"/>
              <w:rPr>
                <w:rFonts w:asciiTheme="minorHAnsi" w:eastAsia="Times New Roman" w:hAnsiTheme="minorHAnsi" w:cs="Calibri"/>
                <w:color w:val="000000"/>
                <w:kern w:val="0"/>
                <w:sz w:val="20"/>
                <w:u w:val="single"/>
                <w:lang w:val="en-IE" w:eastAsia="en-IE"/>
              </w:rPr>
            </w:pPr>
            <w:r>
              <w:rPr>
                <w:rFonts w:asciiTheme="minorHAnsi" w:eastAsia="Times New Roman" w:hAnsiTheme="minorHAnsi" w:cs="Calibri"/>
                <w:color w:val="000000"/>
                <w:kern w:val="0"/>
                <w:sz w:val="20"/>
                <w:u w:val="single"/>
                <w:lang w:val="en-IE" w:eastAsia="en-IE"/>
              </w:rPr>
              <w:t>This includes</w:t>
            </w:r>
            <w:r w:rsidR="000B7401">
              <w:rPr>
                <w:rFonts w:asciiTheme="minorHAnsi" w:eastAsia="Times New Roman" w:hAnsiTheme="minorHAnsi" w:cs="Calibri"/>
                <w:color w:val="000000"/>
                <w:kern w:val="0"/>
                <w:sz w:val="20"/>
                <w:u w:val="single"/>
                <w:lang w:val="en-IE" w:eastAsia="en-IE"/>
              </w:rPr>
              <w:t>:</w:t>
            </w:r>
          </w:p>
          <w:p w14:paraId="605609A9" w14:textId="2C886486" w:rsidR="00634211" w:rsidRDefault="00634211" w:rsidP="00634211">
            <w:pPr>
              <w:pStyle w:val="ListParagraph"/>
              <w:numPr>
                <w:ilvl w:val="0"/>
                <w:numId w:val="136"/>
              </w:numPr>
              <w:spacing w:before="0" w:after="0" w:line="240" w:lineRule="auto"/>
              <w:jc w:val="both"/>
              <w:rPr>
                <w:rFonts w:asciiTheme="minorHAnsi" w:eastAsia="Times New Roman" w:hAnsiTheme="minorHAnsi" w:cs="Calibri"/>
                <w:color w:val="000000"/>
                <w:kern w:val="0"/>
                <w:sz w:val="20"/>
                <w:u w:val="single"/>
                <w:lang w:val="en-IE" w:eastAsia="en-IE"/>
              </w:rPr>
            </w:pPr>
            <w:r>
              <w:rPr>
                <w:rFonts w:asciiTheme="minorHAnsi" w:eastAsia="Times New Roman" w:hAnsiTheme="minorHAnsi" w:cs="Calibri"/>
                <w:color w:val="000000"/>
                <w:kern w:val="0"/>
                <w:sz w:val="20"/>
                <w:u w:val="single"/>
                <w:lang w:val="en-IE" w:eastAsia="en-IE"/>
              </w:rPr>
              <w:t>Out</w:t>
            </w:r>
            <w:r w:rsidR="006C0021">
              <w:rPr>
                <w:rFonts w:asciiTheme="minorHAnsi" w:eastAsia="Times New Roman" w:hAnsiTheme="minorHAnsi" w:cs="Calibri"/>
                <w:color w:val="000000"/>
                <w:kern w:val="0"/>
                <w:sz w:val="20"/>
                <w:u w:val="single"/>
                <w:lang w:val="en-IE" w:eastAsia="en-IE"/>
              </w:rPr>
              <w:t>-of-</w:t>
            </w:r>
            <w:r>
              <w:rPr>
                <w:rFonts w:asciiTheme="minorHAnsi" w:eastAsia="Times New Roman" w:hAnsiTheme="minorHAnsi" w:cs="Calibri"/>
                <w:color w:val="000000"/>
                <w:kern w:val="0"/>
                <w:sz w:val="20"/>
                <w:u w:val="single"/>
                <w:lang w:val="en-IE" w:eastAsia="en-IE"/>
              </w:rPr>
              <w:t>date</w:t>
            </w:r>
            <w:r w:rsidR="00CD72ED">
              <w:rPr>
                <w:rFonts w:asciiTheme="minorHAnsi" w:eastAsia="Times New Roman" w:hAnsiTheme="minorHAnsi" w:cs="Calibri"/>
                <w:color w:val="000000"/>
                <w:kern w:val="0"/>
                <w:sz w:val="20"/>
                <w:u w:val="single"/>
                <w:lang w:val="en-IE" w:eastAsia="en-IE"/>
              </w:rPr>
              <w:t xml:space="preserve"> identity documents (or equivalent document or non-face-to-face masure)</w:t>
            </w:r>
          </w:p>
          <w:p w14:paraId="6BF1C136" w14:textId="666E1BED" w:rsidR="00CD72ED" w:rsidRPr="00135B9D" w:rsidRDefault="0043632B" w:rsidP="00135B9D">
            <w:pPr>
              <w:pStyle w:val="ListParagraph"/>
              <w:numPr>
                <w:ilvl w:val="0"/>
                <w:numId w:val="136"/>
              </w:numPr>
              <w:spacing w:before="0" w:after="0" w:line="240" w:lineRule="auto"/>
              <w:jc w:val="both"/>
              <w:rPr>
                <w:rFonts w:asciiTheme="minorHAnsi" w:eastAsia="Times New Roman" w:hAnsiTheme="minorHAnsi" w:cs="Calibri"/>
                <w:color w:val="000000"/>
                <w:kern w:val="0"/>
                <w:sz w:val="20"/>
                <w:u w:val="single"/>
                <w:lang w:val="en-IE" w:eastAsia="en-IE"/>
              </w:rPr>
            </w:pPr>
            <w:r>
              <w:rPr>
                <w:rFonts w:asciiTheme="minorHAnsi" w:eastAsia="Times New Roman" w:hAnsiTheme="minorHAnsi" w:cs="Calibri"/>
                <w:color w:val="000000"/>
                <w:kern w:val="0"/>
                <w:sz w:val="20"/>
                <w:u w:val="single"/>
                <w:lang w:val="en-IE" w:eastAsia="en-IE"/>
              </w:rPr>
              <w:t xml:space="preserve">Identity </w:t>
            </w:r>
            <w:r w:rsidR="00E60891">
              <w:rPr>
                <w:rFonts w:asciiTheme="minorHAnsi" w:eastAsia="Times New Roman" w:hAnsiTheme="minorHAnsi" w:cs="Calibri"/>
                <w:color w:val="000000"/>
                <w:kern w:val="0"/>
                <w:sz w:val="20"/>
                <w:u w:val="single"/>
                <w:lang w:val="en-IE" w:eastAsia="en-IE"/>
              </w:rPr>
              <w:t xml:space="preserve">documents (or equivalent) </w:t>
            </w:r>
            <w:r w:rsidR="00893F5F">
              <w:rPr>
                <w:rFonts w:asciiTheme="minorHAnsi" w:eastAsia="Times New Roman" w:hAnsiTheme="minorHAnsi" w:cs="Calibri"/>
                <w:color w:val="000000"/>
                <w:kern w:val="0"/>
                <w:sz w:val="20"/>
                <w:u w:val="single"/>
                <w:lang w:val="en-IE" w:eastAsia="en-IE"/>
              </w:rPr>
              <w:t xml:space="preserve">for which the recorded copy </w:t>
            </w:r>
            <w:r w:rsidR="00023C9F">
              <w:rPr>
                <w:rFonts w:asciiTheme="minorHAnsi" w:eastAsia="Times New Roman" w:hAnsiTheme="minorHAnsi" w:cs="Calibri"/>
                <w:color w:val="000000"/>
                <w:kern w:val="0"/>
                <w:sz w:val="20"/>
                <w:u w:val="single"/>
                <w:lang w:val="en-IE" w:eastAsia="en-IE"/>
              </w:rPr>
              <w:t>has been</w:t>
            </w:r>
            <w:r w:rsidR="00863FEF">
              <w:rPr>
                <w:rFonts w:asciiTheme="minorHAnsi" w:eastAsia="Times New Roman" w:hAnsiTheme="minorHAnsi" w:cs="Calibri"/>
                <w:color w:val="000000"/>
                <w:kern w:val="0"/>
                <w:sz w:val="20"/>
                <w:u w:val="single"/>
                <w:lang w:val="en-IE" w:eastAsia="en-IE"/>
              </w:rPr>
              <w:t xml:space="preserve"> found to be</w:t>
            </w:r>
            <w:r w:rsidR="00E60891">
              <w:rPr>
                <w:rFonts w:asciiTheme="minorHAnsi" w:eastAsia="Times New Roman" w:hAnsiTheme="minorHAnsi" w:cs="Calibri"/>
                <w:color w:val="000000"/>
                <w:kern w:val="0"/>
                <w:sz w:val="20"/>
                <w:u w:val="single"/>
                <w:lang w:val="en-IE" w:eastAsia="en-IE"/>
              </w:rPr>
              <w:t xml:space="preserve"> unreadable or otherwise </w:t>
            </w:r>
            <w:r w:rsidR="00893F5F">
              <w:rPr>
                <w:rFonts w:asciiTheme="minorHAnsi" w:eastAsia="Times New Roman" w:hAnsiTheme="minorHAnsi" w:cs="Calibri"/>
                <w:color w:val="000000"/>
                <w:kern w:val="0"/>
                <w:sz w:val="20"/>
                <w:u w:val="single"/>
                <w:lang w:val="en-IE" w:eastAsia="en-IE"/>
              </w:rPr>
              <w:t>corrupted</w:t>
            </w:r>
          </w:p>
          <w:p w14:paraId="46064193" w14:textId="69013B53" w:rsidR="008E253D" w:rsidRPr="00135B9D" w:rsidRDefault="008E253D" w:rsidP="006075C1">
            <w:pPr>
              <w:spacing w:before="0" w:after="0" w:line="240" w:lineRule="auto"/>
              <w:jc w:val="both"/>
              <w:rPr>
                <w:rFonts w:asciiTheme="minorHAnsi" w:eastAsia="Times New Roman" w:hAnsiTheme="minorHAnsi" w:cs="Calibri"/>
                <w:color w:val="000000"/>
                <w:kern w:val="0"/>
                <w:sz w:val="20"/>
                <w:u w:val="single"/>
                <w:lang w:val="en-IE" w:eastAsia="en-IE"/>
              </w:rPr>
            </w:pPr>
          </w:p>
        </w:tc>
      </w:tr>
      <w:tr w:rsidR="00A10CBD" w:rsidRPr="009B282E" w14:paraId="1D387CFB" w14:textId="77777777" w:rsidTr="1873AE94">
        <w:tc>
          <w:tcPr>
            <w:tcW w:w="1673" w:type="dxa"/>
            <w:tcBorders>
              <w:top w:val="single" w:sz="4" w:space="0" w:color="auto"/>
              <w:left w:val="single" w:sz="4" w:space="0" w:color="auto"/>
              <w:bottom w:val="single" w:sz="4" w:space="0" w:color="auto"/>
              <w:right w:val="single" w:sz="4" w:space="0" w:color="auto"/>
            </w:tcBorders>
            <w:vAlign w:val="center"/>
          </w:tcPr>
          <w:p w14:paraId="3CD45046" w14:textId="1B2EBC2C" w:rsidR="008E253D" w:rsidRPr="009275BC" w:rsidRDefault="00453630" w:rsidP="00F32516">
            <w:pPr>
              <w:pStyle w:val="InstructionsText"/>
              <w:rPr>
                <w:rStyle w:val="FormatvorlageInstructionsTabelleText"/>
                <w:rFonts w:asciiTheme="minorHAnsi" w:hAnsiTheme="minorHAnsi"/>
              </w:rPr>
            </w:pPr>
            <w:r w:rsidRPr="00A70B3F">
              <w:t>C0040</w:t>
            </w:r>
          </w:p>
        </w:tc>
        <w:tc>
          <w:tcPr>
            <w:tcW w:w="7616"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D2133E8" w14:textId="6082216F" w:rsidR="00491899" w:rsidRDefault="00491899" w:rsidP="006075C1">
            <w:pPr>
              <w:spacing w:before="0" w:after="0" w:line="240" w:lineRule="auto"/>
              <w:jc w:val="both"/>
              <w:rPr>
                <w:rFonts w:ascii="Aptos" w:eastAsia="Times New Roman" w:hAnsi="Aptos" w:cs="Calibri"/>
                <w:b/>
                <w:color w:val="000000"/>
                <w:kern w:val="0"/>
                <w:sz w:val="20"/>
                <w:u w:val="single"/>
                <w:lang w:val="en-IE" w:eastAsia="en-IE"/>
              </w:rPr>
            </w:pPr>
            <w:r w:rsidRPr="00090FA6">
              <w:rPr>
                <w:rFonts w:ascii="Aptos" w:eastAsia="Times New Roman" w:hAnsi="Aptos" w:cs="Calibri"/>
                <w:b/>
                <w:bCs/>
                <w:color w:val="000000"/>
                <w:kern w:val="0"/>
                <w:sz w:val="20"/>
                <w:u w:val="single"/>
                <w:lang w:val="en-IE" w:eastAsia="en-IE"/>
              </w:rPr>
              <w:t xml:space="preserve">Customers – CDD Not Compliant </w:t>
            </w:r>
            <w:r w:rsidR="00BC6943" w:rsidRPr="00BC6943">
              <w:rPr>
                <w:rFonts w:ascii="Aptos" w:eastAsia="Times New Roman" w:hAnsi="Aptos" w:cs="Calibri"/>
                <w:b/>
                <w:bCs/>
                <w:color w:val="000000"/>
                <w:kern w:val="0"/>
                <w:sz w:val="20"/>
                <w:u w:val="single"/>
                <w:lang w:val="en-IE" w:eastAsia="en-IE"/>
              </w:rPr>
              <w:t>with</w:t>
            </w:r>
            <w:r w:rsidRPr="00090FA6">
              <w:rPr>
                <w:rFonts w:ascii="Aptos" w:eastAsia="Times New Roman" w:hAnsi="Aptos" w:cs="Calibri"/>
                <w:b/>
                <w:bCs/>
                <w:color w:val="000000"/>
                <w:kern w:val="0"/>
                <w:sz w:val="20"/>
                <w:u w:val="single"/>
                <w:lang w:val="en-IE" w:eastAsia="en-IE"/>
              </w:rPr>
              <w:t xml:space="preserve"> Article 20 AMLR</w:t>
            </w:r>
          </w:p>
          <w:p w14:paraId="35078AA3" w14:textId="77777777" w:rsidR="00617C78" w:rsidRDefault="00617C78" w:rsidP="006075C1">
            <w:pPr>
              <w:spacing w:before="0" w:after="0" w:line="240" w:lineRule="auto"/>
              <w:jc w:val="both"/>
              <w:rPr>
                <w:rFonts w:ascii="Aptos" w:eastAsia="Times New Roman" w:hAnsi="Aptos" w:cs="Calibri"/>
                <w:b/>
                <w:bCs/>
                <w:color w:val="000000"/>
                <w:kern w:val="0"/>
                <w:sz w:val="20"/>
                <w:u w:val="single"/>
                <w:lang w:val="en-IE" w:eastAsia="en-IE"/>
              </w:rPr>
            </w:pPr>
          </w:p>
          <w:p w14:paraId="731E7DF0" w14:textId="6F2C845E" w:rsidR="00617C78" w:rsidRDefault="00617C78" w:rsidP="006075C1">
            <w:pPr>
              <w:spacing w:before="0" w:after="0" w:line="240" w:lineRule="auto"/>
              <w:jc w:val="both"/>
              <w:rPr>
                <w:rFonts w:asciiTheme="minorHAnsi" w:eastAsia="Times New Roman" w:hAnsiTheme="minorHAnsi" w:cs="Calibri"/>
                <w:b/>
                <w:bCs/>
                <w:color w:val="000000"/>
                <w:kern w:val="0"/>
                <w:sz w:val="20"/>
                <w:u w:val="single"/>
                <w:lang w:val="en-IE" w:eastAsia="en-IE"/>
              </w:rPr>
            </w:pPr>
            <w:r w:rsidRPr="00387298">
              <w:rPr>
                <w:rFonts w:asciiTheme="minorHAnsi" w:eastAsia="Times New Roman" w:hAnsiTheme="minorHAnsi" w:cs="Calibri"/>
                <w:color w:val="000000" w:themeColor="text1"/>
                <w:sz w:val="20"/>
                <w:lang w:val="en-IE" w:eastAsia="en-IE"/>
              </w:rPr>
              <w:t xml:space="preserve">Indicate the </w:t>
            </w:r>
            <w:r w:rsidR="00F325E5" w:rsidRPr="1873AE94">
              <w:rPr>
                <w:rFonts w:asciiTheme="minorHAnsi" w:eastAsia="Times New Roman" w:hAnsiTheme="minorHAnsi" w:cs="Calibri"/>
                <w:color w:val="000000" w:themeColor="text1"/>
                <w:sz w:val="20"/>
                <w:lang w:val="en-IE" w:eastAsia="en-IE"/>
              </w:rPr>
              <w:t>n</w:t>
            </w:r>
            <w:r w:rsidRPr="00387298">
              <w:rPr>
                <w:rFonts w:asciiTheme="minorHAnsi" w:eastAsia="Times New Roman" w:hAnsiTheme="minorHAnsi" w:cs="Calibri"/>
                <w:color w:val="000000" w:themeColor="text1"/>
                <w:sz w:val="20"/>
                <w:lang w:val="en-IE" w:eastAsia="en-IE"/>
              </w:rPr>
              <w:t xml:space="preserve">umber of customers </w:t>
            </w:r>
            <w:r w:rsidR="002C114E" w:rsidRPr="1873AE94">
              <w:rPr>
                <w:rFonts w:asciiTheme="minorHAnsi" w:eastAsia="Times New Roman" w:hAnsiTheme="minorHAnsi" w:cs="Calibri"/>
                <w:color w:val="000000" w:themeColor="text1"/>
                <w:sz w:val="20"/>
                <w:lang w:val="en-IE" w:eastAsia="en-IE"/>
              </w:rPr>
              <w:t xml:space="preserve">(both natural and legal persons) </w:t>
            </w:r>
            <w:r w:rsidRPr="00387298">
              <w:rPr>
                <w:rFonts w:asciiTheme="minorHAnsi" w:eastAsia="Times New Roman" w:hAnsiTheme="minorHAnsi" w:cs="Calibri"/>
                <w:color w:val="000000" w:themeColor="text1"/>
                <w:sz w:val="20"/>
                <w:lang w:val="en-IE" w:eastAsia="en-IE"/>
              </w:rPr>
              <w:t>whose CDD data and information is not yet in line with the requirements of Article 20 AMLR</w:t>
            </w:r>
            <w:r w:rsidR="00BC34DF" w:rsidRPr="00BC34DF">
              <w:rPr>
                <w:rFonts w:asciiTheme="minorHAnsi" w:eastAsia="Times New Roman" w:hAnsiTheme="minorHAnsi" w:cs="Calibri"/>
                <w:color w:val="000000"/>
                <w:kern w:val="0"/>
                <w:sz w:val="20"/>
                <w:lang w:val="en-IE" w:eastAsia="en-IE"/>
              </w:rPr>
              <w:t xml:space="preserve"> </w:t>
            </w:r>
            <w:r w:rsidR="00BC34DF" w:rsidRPr="00BC34DF">
              <w:rPr>
                <w:rFonts w:asciiTheme="minorHAnsi" w:eastAsia="Times New Roman" w:hAnsiTheme="minorHAnsi" w:cs="Calibri"/>
                <w:color w:val="000000" w:themeColor="text1"/>
                <w:sz w:val="20"/>
                <w:lang w:val="en-IE" w:eastAsia="en-IE"/>
              </w:rPr>
              <w:t>as listed in Section B of Annex I</w:t>
            </w:r>
            <w:r w:rsidR="0FC517C6" w:rsidRPr="1873AE94">
              <w:rPr>
                <w:rFonts w:asciiTheme="minorHAnsi" w:eastAsia="Times New Roman" w:hAnsiTheme="minorHAnsi" w:cs="Calibri"/>
                <w:color w:val="000000" w:themeColor="text1"/>
                <w:sz w:val="20"/>
                <w:lang w:val="en-IE" w:eastAsia="en-IE"/>
              </w:rPr>
              <w:t>, as of the end of the reference year</w:t>
            </w:r>
            <w:r w:rsidR="006E2891" w:rsidRPr="1873AE94">
              <w:rPr>
                <w:rFonts w:asciiTheme="minorHAnsi" w:eastAsia="Times New Roman" w:hAnsiTheme="minorHAnsi" w:cs="Calibri"/>
                <w:color w:val="000000" w:themeColor="text1"/>
                <w:sz w:val="20"/>
                <w:lang w:val="en-IE" w:eastAsia="en-IE"/>
              </w:rPr>
              <w:t>.</w:t>
            </w:r>
          </w:p>
          <w:p w14:paraId="3BA0B86D" w14:textId="77777777" w:rsidR="00420503" w:rsidRDefault="00420503" w:rsidP="00420503">
            <w:pPr>
              <w:spacing w:before="0" w:after="0" w:line="240" w:lineRule="auto"/>
              <w:jc w:val="both"/>
              <w:rPr>
                <w:rFonts w:asciiTheme="minorHAnsi" w:eastAsia="Times New Roman" w:hAnsiTheme="minorHAnsi" w:cs="Calibri"/>
                <w:color w:val="000000"/>
                <w:kern w:val="0"/>
                <w:sz w:val="20"/>
                <w:lang w:val="en-IE" w:eastAsia="en-IE"/>
              </w:rPr>
            </w:pPr>
          </w:p>
          <w:p w14:paraId="3430451D" w14:textId="5EE9FA27" w:rsidR="00420503" w:rsidRPr="00135B9D" w:rsidRDefault="00390568" w:rsidP="00420503">
            <w:pPr>
              <w:spacing w:before="0" w:after="0" w:line="240" w:lineRule="auto"/>
              <w:jc w:val="both"/>
              <w:rPr>
                <w:rFonts w:asciiTheme="minorHAnsi" w:eastAsia="Times New Roman" w:hAnsiTheme="minorHAnsi" w:cs="Calibri"/>
                <w:color w:val="000000"/>
                <w:kern w:val="0"/>
                <w:sz w:val="20"/>
                <w:lang w:val="en-IE" w:eastAsia="en-IE"/>
              </w:rPr>
            </w:pPr>
            <w:r>
              <w:rPr>
                <w:rFonts w:asciiTheme="minorHAnsi" w:eastAsia="Times New Roman" w:hAnsiTheme="minorHAnsi" w:cs="Calibri"/>
                <w:color w:val="000000" w:themeColor="text1"/>
                <w:sz w:val="20"/>
                <w:lang w:eastAsia="en-IE"/>
              </w:rPr>
              <w:t>Be aware that t</w:t>
            </w:r>
            <w:r w:rsidR="00420503" w:rsidRPr="3D3E86F3">
              <w:rPr>
                <w:rFonts w:asciiTheme="minorHAnsi" w:eastAsia="Times New Roman" w:hAnsiTheme="minorHAnsi" w:cs="Calibri"/>
                <w:color w:val="000000" w:themeColor="text1"/>
                <w:sz w:val="20"/>
                <w:lang w:eastAsia="en-IE"/>
              </w:rPr>
              <w:t>his</w:t>
            </w:r>
            <w:r w:rsidR="00420503" w:rsidRPr="00552C55">
              <w:rPr>
                <w:rFonts w:asciiTheme="minorHAnsi" w:eastAsia="Times New Roman" w:hAnsiTheme="minorHAnsi" w:cs="Calibri"/>
                <w:color w:val="000000" w:themeColor="text1"/>
                <w:sz w:val="20"/>
                <w:lang w:eastAsia="en-IE"/>
              </w:rPr>
              <w:t xml:space="preserve"> data points shall not be used for the purpose of the first selection process referred to in Article 13(4) of </w:t>
            </w:r>
            <w:r w:rsidR="00483981">
              <w:rPr>
                <w:rFonts w:asciiTheme="minorHAnsi" w:eastAsia="Times New Roman" w:hAnsiTheme="minorHAnsi" w:cs="Calibri"/>
                <w:color w:val="000000" w:themeColor="text1"/>
                <w:sz w:val="20"/>
                <w:lang w:eastAsia="en-IE"/>
              </w:rPr>
              <w:t>AMLAR</w:t>
            </w:r>
            <w:r w:rsidR="00F969B8" w:rsidRPr="3D3E86F3">
              <w:rPr>
                <w:rFonts w:asciiTheme="minorHAnsi" w:eastAsia="Times New Roman" w:hAnsiTheme="minorHAnsi" w:cs="Calibri"/>
                <w:color w:val="000000" w:themeColor="text1"/>
                <w:sz w:val="20"/>
                <w:lang w:eastAsia="en-IE"/>
              </w:rPr>
              <w:t xml:space="preserve"> (the selection data collection</w:t>
            </w:r>
            <w:r w:rsidR="00420503" w:rsidRPr="3D3E86F3">
              <w:rPr>
                <w:rFonts w:asciiTheme="minorHAnsi" w:eastAsia="Times New Roman" w:hAnsiTheme="minorHAnsi" w:cs="Calibri"/>
                <w:color w:val="000000" w:themeColor="text1"/>
                <w:sz w:val="20"/>
                <w:lang w:eastAsia="en-IE"/>
              </w:rPr>
              <w:t xml:space="preserve"> in </w:t>
            </w:r>
            <w:r w:rsidR="00F969B8" w:rsidRPr="3D3E86F3">
              <w:rPr>
                <w:rFonts w:asciiTheme="minorHAnsi" w:eastAsia="Times New Roman" w:hAnsiTheme="minorHAnsi" w:cs="Calibri"/>
                <w:color w:val="000000" w:themeColor="text1"/>
                <w:sz w:val="20"/>
                <w:lang w:eastAsia="en-IE"/>
              </w:rPr>
              <w:t>2027)</w:t>
            </w:r>
            <w:r w:rsidR="008114DF" w:rsidRPr="3D3E86F3">
              <w:rPr>
                <w:rFonts w:asciiTheme="minorHAnsi" w:eastAsia="Times New Roman" w:hAnsiTheme="minorHAnsi" w:cs="Calibri"/>
                <w:color w:val="000000" w:themeColor="text1"/>
                <w:sz w:val="20"/>
                <w:lang w:eastAsia="en-IE"/>
              </w:rPr>
              <w:t>.</w:t>
            </w:r>
            <w:r w:rsidR="00162DD2">
              <w:rPr>
                <w:rFonts w:asciiTheme="minorHAnsi" w:eastAsia="Times New Roman" w:hAnsiTheme="minorHAnsi" w:cs="Calibri"/>
                <w:color w:val="000000" w:themeColor="text1"/>
                <w:sz w:val="20"/>
                <w:lang w:eastAsia="en-IE"/>
              </w:rPr>
              <w:t xml:space="preserve"> </w:t>
            </w:r>
          </w:p>
          <w:p w14:paraId="38187475" w14:textId="7365AB44" w:rsidR="008E253D" w:rsidRPr="00BF5F8A" w:rsidRDefault="008E253D" w:rsidP="006075C1">
            <w:pPr>
              <w:spacing w:before="0" w:after="0" w:line="240" w:lineRule="auto"/>
              <w:jc w:val="both"/>
              <w:rPr>
                <w:rFonts w:asciiTheme="minorHAnsi" w:eastAsia="Times New Roman" w:hAnsiTheme="minorHAnsi" w:cs="Calibri"/>
                <w:color w:val="000000"/>
                <w:kern w:val="0"/>
                <w:lang w:val="en-IE" w:eastAsia="en-IE"/>
              </w:rPr>
            </w:pPr>
            <w:r w:rsidRPr="00BF5F8A">
              <w:rPr>
                <w:rFonts w:asciiTheme="minorHAnsi" w:eastAsia="Times New Roman" w:hAnsiTheme="minorHAnsi" w:cs="Calibri"/>
                <w:b/>
                <w:bCs/>
                <w:color w:val="000000"/>
                <w:kern w:val="0"/>
                <w:sz w:val="20"/>
                <w:u w:val="single"/>
                <w:lang w:val="en-IE" w:eastAsia="en-IE"/>
              </w:rPr>
              <w:t xml:space="preserve"> </w:t>
            </w:r>
          </w:p>
        </w:tc>
      </w:tr>
      <w:tr w:rsidR="00A10CBD" w:rsidRPr="009B282E" w14:paraId="4F8171F9" w14:textId="77777777" w:rsidTr="1873AE94">
        <w:tc>
          <w:tcPr>
            <w:tcW w:w="1673" w:type="dxa"/>
            <w:tcBorders>
              <w:top w:val="single" w:sz="4" w:space="0" w:color="auto"/>
              <w:left w:val="single" w:sz="4" w:space="0" w:color="auto"/>
              <w:bottom w:val="single" w:sz="4" w:space="0" w:color="auto"/>
              <w:right w:val="single" w:sz="4" w:space="0" w:color="auto"/>
            </w:tcBorders>
            <w:vAlign w:val="center"/>
          </w:tcPr>
          <w:p w14:paraId="1B1F5FCF" w14:textId="29647B78" w:rsidR="008E253D" w:rsidRPr="009275BC" w:rsidRDefault="00453630" w:rsidP="00F32516">
            <w:pPr>
              <w:pStyle w:val="InstructionsText"/>
              <w:rPr>
                <w:rStyle w:val="FormatvorlageInstructionsTabelleText"/>
                <w:rFonts w:asciiTheme="minorHAnsi" w:hAnsiTheme="minorHAnsi"/>
              </w:rPr>
            </w:pPr>
            <w:r w:rsidRPr="00A70B3F">
              <w:t>C0050</w:t>
            </w:r>
          </w:p>
        </w:tc>
        <w:tc>
          <w:tcPr>
            <w:tcW w:w="7616"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7159026" w14:textId="77777777" w:rsidR="00491899" w:rsidRDefault="00491899" w:rsidP="008E253D">
            <w:pPr>
              <w:spacing w:before="0" w:after="0" w:line="240" w:lineRule="auto"/>
              <w:jc w:val="both"/>
              <w:rPr>
                <w:rFonts w:ascii="Aptos" w:eastAsia="Times New Roman" w:hAnsi="Aptos" w:cs="Calibri"/>
                <w:b/>
                <w:color w:val="000000"/>
                <w:kern w:val="0"/>
                <w:sz w:val="20"/>
                <w:u w:val="single"/>
                <w:lang w:val="en-IE" w:eastAsia="en-IE"/>
              </w:rPr>
            </w:pPr>
            <w:r w:rsidRPr="00090FA6">
              <w:rPr>
                <w:rFonts w:ascii="Aptos" w:eastAsia="Times New Roman" w:hAnsi="Aptos" w:cs="Calibri"/>
                <w:b/>
                <w:bCs/>
                <w:color w:val="000000"/>
                <w:kern w:val="0"/>
                <w:sz w:val="20"/>
                <w:u w:val="single"/>
                <w:lang w:val="en-IE" w:eastAsia="en-IE"/>
              </w:rPr>
              <w:t>Customers – Without ML/TF Risk Profile</w:t>
            </w:r>
          </w:p>
          <w:p w14:paraId="1494C775" w14:textId="77777777" w:rsidR="001E2287" w:rsidRDefault="001E2287" w:rsidP="008E253D">
            <w:pPr>
              <w:spacing w:before="0" w:after="0" w:line="240" w:lineRule="auto"/>
              <w:jc w:val="both"/>
              <w:rPr>
                <w:rFonts w:ascii="Aptos" w:eastAsia="Times New Roman" w:hAnsi="Aptos" w:cs="Calibri"/>
                <w:b/>
                <w:bCs/>
                <w:color w:val="000000"/>
                <w:kern w:val="0"/>
                <w:sz w:val="20"/>
                <w:u w:val="single"/>
                <w:lang w:val="en-IE" w:eastAsia="en-IE"/>
              </w:rPr>
            </w:pPr>
          </w:p>
          <w:p w14:paraId="6C51D741" w14:textId="309F8BC6" w:rsidR="008E253D" w:rsidRDefault="001E2287" w:rsidP="006E2891">
            <w:pPr>
              <w:spacing w:before="0" w:after="0" w:line="240" w:lineRule="auto"/>
              <w:jc w:val="both"/>
              <w:rPr>
                <w:rFonts w:asciiTheme="minorHAnsi" w:eastAsia="Times New Roman" w:hAnsiTheme="minorHAnsi" w:cs="Calibri"/>
                <w:b/>
                <w:bCs/>
                <w:color w:val="000000"/>
                <w:kern w:val="0"/>
                <w:sz w:val="20"/>
                <w:u w:val="single"/>
                <w:lang w:val="en-IE" w:eastAsia="en-IE"/>
              </w:rPr>
            </w:pPr>
            <w:r w:rsidRPr="00090FA6">
              <w:rPr>
                <w:rFonts w:ascii="Aptos" w:eastAsia="Times New Roman" w:hAnsi="Aptos" w:cs="Calibri"/>
                <w:color w:val="000000" w:themeColor="text1"/>
                <w:sz w:val="20"/>
                <w:lang w:val="en-IE" w:eastAsia="en-IE"/>
              </w:rPr>
              <w:t>Indicate the n</w:t>
            </w:r>
            <w:r w:rsidRPr="00090FA6">
              <w:rPr>
                <w:rFonts w:asciiTheme="minorHAnsi" w:eastAsia="Times New Roman" w:hAnsiTheme="minorHAnsi" w:cs="Calibri"/>
                <w:color w:val="000000" w:themeColor="text1"/>
                <w:sz w:val="20"/>
                <w:lang w:val="en-IE" w:eastAsia="en-IE"/>
              </w:rPr>
              <w:t xml:space="preserve">umber of customers </w:t>
            </w:r>
            <w:r w:rsidR="002C114E" w:rsidRPr="1873AE94">
              <w:rPr>
                <w:rFonts w:asciiTheme="minorHAnsi" w:eastAsia="Times New Roman" w:hAnsiTheme="minorHAnsi" w:cs="Calibri"/>
                <w:color w:val="000000" w:themeColor="text1"/>
                <w:sz w:val="20"/>
                <w:lang w:val="en-IE" w:eastAsia="en-IE"/>
              </w:rPr>
              <w:t xml:space="preserve">(both natural and legal persons) </w:t>
            </w:r>
            <w:r w:rsidRPr="005538C9">
              <w:rPr>
                <w:rFonts w:asciiTheme="minorHAnsi" w:eastAsia="Times New Roman" w:hAnsiTheme="minorHAnsi" w:cs="Calibri"/>
                <w:color w:val="000000" w:themeColor="text1"/>
                <w:sz w:val="20"/>
                <w:lang w:val="en-IE" w:eastAsia="en-IE"/>
              </w:rPr>
              <w:t xml:space="preserve">without ML/TF risk profile (excluding customers with whom the </w:t>
            </w:r>
            <w:r w:rsidR="00863B13">
              <w:rPr>
                <w:rFonts w:asciiTheme="minorHAnsi" w:eastAsia="Times New Roman" w:hAnsiTheme="minorHAnsi" w:cs="Calibri"/>
                <w:color w:val="000000" w:themeColor="text1"/>
                <w:sz w:val="20"/>
                <w:lang w:val="en-IE" w:eastAsia="en-IE"/>
              </w:rPr>
              <w:t>reporting obliged entity</w:t>
            </w:r>
            <w:r w:rsidRPr="005538C9">
              <w:rPr>
                <w:rFonts w:asciiTheme="minorHAnsi" w:eastAsia="Times New Roman" w:hAnsiTheme="minorHAnsi" w:cs="Calibri"/>
                <w:color w:val="000000" w:themeColor="text1"/>
                <w:sz w:val="20"/>
                <w:lang w:val="en-IE" w:eastAsia="en-IE"/>
              </w:rPr>
              <w:t xml:space="preserve"> does not have a business relationship</w:t>
            </w:r>
            <w:r w:rsidR="62A624BB" w:rsidRPr="005538C9">
              <w:rPr>
                <w:rFonts w:asciiTheme="minorHAnsi" w:eastAsia="Times New Roman" w:hAnsiTheme="minorHAnsi" w:cs="Calibri"/>
                <w:color w:val="000000" w:themeColor="text1"/>
                <w:sz w:val="20"/>
                <w:lang w:val="en-IE" w:eastAsia="en-IE"/>
              </w:rPr>
              <w:t>)</w:t>
            </w:r>
            <w:r w:rsidR="2D8687B3" w:rsidRPr="1873AE94">
              <w:rPr>
                <w:rFonts w:asciiTheme="minorHAnsi" w:eastAsia="Times New Roman" w:hAnsiTheme="minorHAnsi" w:cs="Calibri"/>
                <w:color w:val="000000" w:themeColor="text1"/>
                <w:sz w:val="20"/>
                <w:lang w:val="en-IE" w:eastAsia="en-IE"/>
              </w:rPr>
              <w:t>, as of the end of the reference year</w:t>
            </w:r>
            <w:r w:rsidR="679E3C31" w:rsidRPr="1873AE94">
              <w:rPr>
                <w:rFonts w:asciiTheme="minorHAnsi" w:eastAsia="Times New Roman" w:hAnsiTheme="minorHAnsi" w:cs="Calibri"/>
                <w:color w:val="000000"/>
                <w:kern w:val="0"/>
                <w:sz w:val="20"/>
                <w:lang w:val="en-IE" w:eastAsia="en-IE"/>
              </w:rPr>
              <w:t>.</w:t>
            </w:r>
          </w:p>
          <w:p w14:paraId="1DAB4BA3" w14:textId="52B2F95F" w:rsidR="008E253D" w:rsidRPr="0092136A" w:rsidRDefault="008E253D" w:rsidP="008E253D">
            <w:pPr>
              <w:spacing w:before="0" w:after="0" w:line="240" w:lineRule="auto"/>
              <w:jc w:val="both"/>
              <w:rPr>
                <w:rFonts w:asciiTheme="minorHAnsi" w:eastAsia="Times New Roman" w:hAnsiTheme="minorHAnsi" w:cs="Calibri"/>
                <w:b/>
                <w:bCs/>
                <w:color w:val="000000"/>
                <w:kern w:val="0"/>
                <w:sz w:val="20"/>
                <w:u w:val="single"/>
                <w:lang w:val="en-IE" w:eastAsia="en-IE"/>
              </w:rPr>
            </w:pPr>
          </w:p>
        </w:tc>
      </w:tr>
      <w:tr w:rsidR="00A10CBD" w:rsidRPr="00583C94" w14:paraId="4615D388" w14:textId="77777777" w:rsidTr="1873AE94">
        <w:tc>
          <w:tcPr>
            <w:tcW w:w="1673" w:type="dxa"/>
            <w:tcBorders>
              <w:top w:val="single" w:sz="4" w:space="0" w:color="auto"/>
              <w:left w:val="single" w:sz="4" w:space="0" w:color="auto"/>
              <w:bottom w:val="single" w:sz="4" w:space="0" w:color="auto"/>
              <w:right w:val="single" w:sz="4" w:space="0" w:color="auto"/>
            </w:tcBorders>
            <w:vAlign w:val="center"/>
          </w:tcPr>
          <w:p w14:paraId="33FE3B6B" w14:textId="0BD61322" w:rsidR="008E253D" w:rsidRPr="009275BC" w:rsidRDefault="00453630" w:rsidP="00F32516">
            <w:pPr>
              <w:pStyle w:val="InstructionsText"/>
              <w:rPr>
                <w:rStyle w:val="FormatvorlageInstructionsTabelleText"/>
                <w:rFonts w:asciiTheme="minorHAnsi" w:hAnsiTheme="minorHAnsi"/>
                <w:bCs/>
              </w:rPr>
            </w:pPr>
            <w:r w:rsidRPr="00A70B3F">
              <w:t>C0060</w:t>
            </w:r>
          </w:p>
        </w:tc>
        <w:tc>
          <w:tcPr>
            <w:tcW w:w="7616"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960E18A" w14:textId="7163D798" w:rsidR="00491899" w:rsidRDefault="00491899" w:rsidP="008E253D">
            <w:pPr>
              <w:spacing w:before="0" w:after="0" w:line="240" w:lineRule="auto"/>
              <w:jc w:val="both"/>
              <w:rPr>
                <w:rFonts w:asciiTheme="minorHAnsi" w:eastAsia="Times New Roman" w:hAnsiTheme="minorHAnsi" w:cs="Calibri"/>
                <w:b/>
                <w:bCs/>
                <w:color w:val="000000"/>
                <w:kern w:val="0"/>
                <w:sz w:val="20"/>
                <w:u w:val="single"/>
                <w:lang w:val="en-IE" w:eastAsia="en-IE"/>
              </w:rPr>
            </w:pPr>
            <w:r w:rsidRPr="00A27DE7">
              <w:rPr>
                <w:rFonts w:ascii="Aptos" w:eastAsia="Times New Roman" w:hAnsi="Aptos" w:cs="Calibri"/>
                <w:b/>
                <w:bCs/>
                <w:color w:val="000000"/>
                <w:kern w:val="0"/>
                <w:sz w:val="20"/>
                <w:u w:val="single"/>
                <w:lang w:val="en-IE" w:eastAsia="en-IE"/>
              </w:rPr>
              <w:t xml:space="preserve">Customers – Information </w:t>
            </w:r>
            <w:r w:rsidR="00BE3D95">
              <w:rPr>
                <w:rFonts w:ascii="Aptos" w:eastAsia="Times New Roman" w:hAnsi="Aptos" w:cs="Calibri"/>
                <w:b/>
                <w:bCs/>
                <w:color w:val="000000"/>
                <w:kern w:val="0"/>
                <w:sz w:val="20"/>
                <w:u w:val="single"/>
                <w:lang w:val="en-IE" w:eastAsia="en-IE"/>
              </w:rPr>
              <w:t>Reviews</w:t>
            </w:r>
            <w:r w:rsidRPr="00A27DE7">
              <w:rPr>
                <w:rFonts w:ascii="Aptos" w:eastAsia="Times New Roman" w:hAnsi="Aptos" w:cs="Calibri"/>
                <w:b/>
                <w:bCs/>
                <w:color w:val="000000"/>
                <w:kern w:val="0"/>
                <w:sz w:val="20"/>
                <w:u w:val="single"/>
                <w:lang w:val="en-IE" w:eastAsia="en-IE"/>
              </w:rPr>
              <w:t xml:space="preserve"> Due </w:t>
            </w:r>
          </w:p>
          <w:p w14:paraId="3C0A40C2" w14:textId="5147C517" w:rsidR="00F725D9" w:rsidRDefault="00F725D9" w:rsidP="008E253D">
            <w:pPr>
              <w:spacing w:before="0" w:after="0" w:line="240" w:lineRule="auto"/>
              <w:jc w:val="both"/>
              <w:rPr>
                <w:rFonts w:asciiTheme="minorHAnsi" w:eastAsia="Times New Roman" w:hAnsiTheme="minorHAnsi" w:cs="Calibri"/>
                <w:b/>
                <w:bCs/>
                <w:color w:val="000000"/>
                <w:kern w:val="0"/>
                <w:sz w:val="20"/>
                <w:u w:val="single"/>
                <w:lang w:val="en-IE" w:eastAsia="en-IE"/>
              </w:rPr>
            </w:pPr>
          </w:p>
          <w:p w14:paraId="0C3B9F06" w14:textId="3E897D10" w:rsidR="00491899" w:rsidRPr="00A27DE7" w:rsidRDefault="00B37F5D" w:rsidP="008E253D">
            <w:pPr>
              <w:spacing w:before="0" w:after="0" w:line="240" w:lineRule="auto"/>
              <w:jc w:val="both"/>
              <w:rPr>
                <w:rFonts w:asciiTheme="minorHAnsi" w:eastAsia="Times New Roman" w:hAnsiTheme="minorHAnsi" w:cs="Calibri"/>
                <w:color w:val="000000"/>
                <w:kern w:val="0"/>
                <w:sz w:val="20"/>
                <w:lang w:val="en-IE" w:eastAsia="en-IE"/>
              </w:rPr>
            </w:pPr>
            <w:r w:rsidRPr="00A27DE7">
              <w:rPr>
                <w:rFonts w:asciiTheme="minorHAnsi" w:eastAsia="Times New Roman" w:hAnsiTheme="minorHAnsi" w:cs="Calibri"/>
                <w:color w:val="000000"/>
                <w:kern w:val="0"/>
                <w:sz w:val="20"/>
                <w:lang w:val="en-IE" w:eastAsia="en-IE"/>
              </w:rPr>
              <w:t xml:space="preserve">Indicate the number of customers </w:t>
            </w:r>
            <w:r w:rsidR="001B77D6">
              <w:rPr>
                <w:rFonts w:asciiTheme="minorHAnsi" w:eastAsia="Times New Roman" w:hAnsiTheme="minorHAnsi" w:cs="Calibri"/>
                <w:color w:val="000000"/>
                <w:kern w:val="0"/>
                <w:sz w:val="20"/>
                <w:lang w:val="en-IE" w:eastAsia="en-IE"/>
              </w:rPr>
              <w:t xml:space="preserve">(both natural </w:t>
            </w:r>
            <w:r w:rsidR="00B652DE">
              <w:rPr>
                <w:rFonts w:asciiTheme="minorHAnsi" w:eastAsia="Times New Roman" w:hAnsiTheme="minorHAnsi" w:cs="Calibri"/>
                <w:color w:val="000000"/>
                <w:kern w:val="0"/>
                <w:sz w:val="20"/>
                <w:lang w:val="en-IE" w:eastAsia="en-IE"/>
              </w:rPr>
              <w:t xml:space="preserve">persons </w:t>
            </w:r>
            <w:r w:rsidR="001B77D6">
              <w:rPr>
                <w:rFonts w:asciiTheme="minorHAnsi" w:eastAsia="Times New Roman" w:hAnsiTheme="minorHAnsi" w:cs="Calibri"/>
                <w:color w:val="000000"/>
                <w:kern w:val="0"/>
                <w:sz w:val="20"/>
                <w:lang w:val="en-IE" w:eastAsia="en-IE"/>
              </w:rPr>
              <w:t xml:space="preserve">and legal </w:t>
            </w:r>
            <w:r w:rsidR="00B652DE">
              <w:rPr>
                <w:rFonts w:asciiTheme="minorHAnsi" w:eastAsia="Times New Roman" w:hAnsiTheme="minorHAnsi" w:cs="Calibri"/>
                <w:color w:val="000000"/>
                <w:kern w:val="0"/>
                <w:sz w:val="20"/>
                <w:lang w:val="en-IE" w:eastAsia="en-IE"/>
              </w:rPr>
              <w:t>entities</w:t>
            </w:r>
            <w:r w:rsidR="001B77D6">
              <w:rPr>
                <w:rFonts w:asciiTheme="minorHAnsi" w:eastAsia="Times New Roman" w:hAnsiTheme="minorHAnsi" w:cs="Calibri"/>
                <w:color w:val="000000"/>
                <w:kern w:val="0"/>
                <w:sz w:val="20"/>
                <w:lang w:val="en-IE" w:eastAsia="en-IE"/>
              </w:rPr>
              <w:t xml:space="preserve">) </w:t>
            </w:r>
            <w:r w:rsidRPr="00A27DE7">
              <w:rPr>
                <w:rFonts w:asciiTheme="minorHAnsi" w:eastAsia="Times New Roman" w:hAnsiTheme="minorHAnsi" w:cs="Calibri"/>
                <w:color w:val="000000"/>
                <w:kern w:val="0"/>
                <w:sz w:val="20"/>
                <w:lang w:val="en-IE" w:eastAsia="en-IE"/>
              </w:rPr>
              <w:t xml:space="preserve">for whom </w:t>
            </w:r>
            <w:r w:rsidR="00765915">
              <w:rPr>
                <w:rFonts w:asciiTheme="minorHAnsi" w:eastAsia="Times New Roman" w:hAnsiTheme="minorHAnsi" w:cs="Calibri"/>
                <w:color w:val="000000"/>
                <w:kern w:val="0"/>
                <w:sz w:val="20"/>
                <w:lang w:val="en-IE" w:eastAsia="en-IE"/>
              </w:rPr>
              <w:t>a</w:t>
            </w:r>
            <w:r w:rsidR="00D66663">
              <w:rPr>
                <w:rFonts w:asciiTheme="minorHAnsi" w:eastAsia="Times New Roman" w:hAnsiTheme="minorHAnsi" w:cs="Calibri"/>
                <w:color w:val="000000"/>
                <w:kern w:val="0"/>
                <w:sz w:val="20"/>
                <w:lang w:val="en-IE" w:eastAsia="en-IE"/>
              </w:rPr>
              <w:t xml:space="preserve"> review</w:t>
            </w:r>
            <w:r w:rsidRPr="00A27DE7">
              <w:rPr>
                <w:rFonts w:asciiTheme="minorHAnsi" w:eastAsia="Times New Roman" w:hAnsiTheme="minorHAnsi" w:cs="Calibri"/>
                <w:color w:val="000000"/>
                <w:kern w:val="0"/>
                <w:sz w:val="20"/>
                <w:lang w:val="en-IE" w:eastAsia="en-IE"/>
              </w:rPr>
              <w:t xml:space="preserve"> of customer information w</w:t>
            </w:r>
            <w:r w:rsidR="00765915">
              <w:rPr>
                <w:rFonts w:asciiTheme="minorHAnsi" w:eastAsia="Times New Roman" w:hAnsiTheme="minorHAnsi" w:cs="Calibri"/>
                <w:color w:val="000000"/>
                <w:kern w:val="0"/>
                <w:sz w:val="20"/>
                <w:lang w:val="en-IE" w:eastAsia="en-IE"/>
              </w:rPr>
              <w:t>as</w:t>
            </w:r>
            <w:r w:rsidRPr="00A27DE7">
              <w:rPr>
                <w:rFonts w:asciiTheme="minorHAnsi" w:eastAsia="Times New Roman" w:hAnsiTheme="minorHAnsi" w:cs="Calibri"/>
                <w:color w:val="000000"/>
                <w:kern w:val="0"/>
                <w:sz w:val="20"/>
                <w:lang w:val="en-IE" w:eastAsia="en-IE"/>
              </w:rPr>
              <w:t xml:space="preserve"> due, in accordance with the </w:t>
            </w:r>
            <w:r w:rsidR="00863B13">
              <w:rPr>
                <w:rFonts w:asciiTheme="minorHAnsi" w:eastAsia="Times New Roman" w:hAnsiTheme="minorHAnsi" w:cs="Calibri"/>
                <w:color w:val="000000"/>
                <w:kern w:val="0"/>
                <w:sz w:val="20"/>
                <w:lang w:val="en-IE" w:eastAsia="en-IE"/>
              </w:rPr>
              <w:t xml:space="preserve">reporting obliged </w:t>
            </w:r>
            <w:r w:rsidRPr="00A27DE7">
              <w:rPr>
                <w:rFonts w:asciiTheme="minorHAnsi" w:eastAsia="Times New Roman" w:hAnsiTheme="minorHAnsi" w:cs="Calibri"/>
                <w:color w:val="000000"/>
                <w:kern w:val="0"/>
                <w:sz w:val="20"/>
                <w:lang w:val="en-IE" w:eastAsia="en-IE"/>
              </w:rPr>
              <w:t xml:space="preserve">entity's </w:t>
            </w:r>
            <w:r w:rsidR="00DA55D1">
              <w:rPr>
                <w:rFonts w:asciiTheme="minorHAnsi" w:eastAsia="Times New Roman" w:hAnsiTheme="minorHAnsi" w:cs="Calibri"/>
                <w:color w:val="000000"/>
                <w:kern w:val="0"/>
                <w:sz w:val="20"/>
                <w:lang w:val="en-IE" w:eastAsia="en-IE"/>
              </w:rPr>
              <w:t xml:space="preserve">AML/CFT </w:t>
            </w:r>
            <w:r w:rsidRPr="00A27DE7">
              <w:rPr>
                <w:rFonts w:asciiTheme="minorHAnsi" w:eastAsia="Times New Roman" w:hAnsiTheme="minorHAnsi" w:cs="Calibri"/>
                <w:color w:val="000000"/>
                <w:kern w:val="0"/>
                <w:sz w:val="20"/>
                <w:lang w:val="en-IE" w:eastAsia="en-IE"/>
              </w:rPr>
              <w:t>policies and procedures</w:t>
            </w:r>
            <w:r w:rsidR="004B3A7F">
              <w:rPr>
                <w:rFonts w:asciiTheme="minorHAnsi" w:eastAsia="Times New Roman" w:hAnsiTheme="minorHAnsi" w:cs="Calibri"/>
                <w:color w:val="000000"/>
                <w:kern w:val="0"/>
                <w:sz w:val="20"/>
                <w:lang w:val="en-IE" w:eastAsia="en-IE"/>
              </w:rPr>
              <w:t xml:space="preserve"> regarding ong</w:t>
            </w:r>
            <w:r w:rsidR="00260568">
              <w:rPr>
                <w:rFonts w:asciiTheme="minorHAnsi" w:eastAsia="Times New Roman" w:hAnsiTheme="minorHAnsi" w:cs="Calibri"/>
                <w:color w:val="000000"/>
                <w:kern w:val="0"/>
                <w:sz w:val="20"/>
                <w:lang w:val="en-IE" w:eastAsia="en-IE"/>
              </w:rPr>
              <w:t>oing monitoring obligations</w:t>
            </w:r>
            <w:r w:rsidR="001E2287" w:rsidRPr="00A27DE7">
              <w:rPr>
                <w:rFonts w:asciiTheme="minorHAnsi" w:eastAsia="Times New Roman" w:hAnsiTheme="minorHAnsi" w:cs="Calibri"/>
                <w:color w:val="000000"/>
                <w:kern w:val="0"/>
                <w:sz w:val="20"/>
                <w:lang w:val="en-IE" w:eastAsia="en-IE"/>
              </w:rPr>
              <w:t>,</w:t>
            </w:r>
            <w:r w:rsidR="00C73073" w:rsidRPr="00A27DE7">
              <w:rPr>
                <w:rFonts w:asciiTheme="minorHAnsi" w:eastAsia="Times New Roman" w:hAnsiTheme="minorHAnsi" w:cs="Calibri"/>
                <w:color w:val="000000"/>
                <w:kern w:val="0"/>
                <w:sz w:val="20"/>
                <w:lang w:val="en-IE" w:eastAsia="en-IE"/>
              </w:rPr>
              <w:t xml:space="preserve"> </w:t>
            </w:r>
            <w:r w:rsidR="00491899" w:rsidRPr="00A27DE7">
              <w:rPr>
                <w:rFonts w:asciiTheme="minorHAnsi" w:eastAsia="Times New Roman" w:hAnsiTheme="minorHAnsi" w:cs="Calibri"/>
                <w:color w:val="000000"/>
                <w:kern w:val="0"/>
                <w:sz w:val="20"/>
                <w:lang w:val="en-IE" w:eastAsia="en-IE"/>
              </w:rPr>
              <w:t>during the reference year.</w:t>
            </w:r>
          </w:p>
          <w:p w14:paraId="50D6F440" w14:textId="77777777" w:rsidR="005C26BF" w:rsidRDefault="005C26BF" w:rsidP="008E253D">
            <w:pPr>
              <w:spacing w:before="0" w:after="0" w:line="240" w:lineRule="auto"/>
              <w:jc w:val="both"/>
              <w:rPr>
                <w:rFonts w:asciiTheme="minorHAnsi" w:eastAsia="Times New Roman" w:hAnsiTheme="minorHAnsi" w:cs="Calibri"/>
                <w:color w:val="000000"/>
                <w:kern w:val="0"/>
                <w:sz w:val="20"/>
                <w:lang w:val="en-IE" w:eastAsia="en-IE"/>
              </w:rPr>
            </w:pPr>
          </w:p>
          <w:p w14:paraId="4461CE8E" w14:textId="1F9D037D" w:rsidR="00AA55EE" w:rsidRPr="00A27DE7" w:rsidRDefault="00AA55EE" w:rsidP="00AA55EE">
            <w:pPr>
              <w:spacing w:before="0" w:after="0" w:line="240" w:lineRule="auto"/>
              <w:jc w:val="both"/>
              <w:rPr>
                <w:rFonts w:asciiTheme="minorHAnsi" w:eastAsia="Times New Roman" w:hAnsiTheme="minorHAnsi" w:cs="Calibri"/>
                <w:color w:val="000000"/>
                <w:kern w:val="0"/>
                <w:sz w:val="20"/>
                <w:lang w:val="en-IE" w:eastAsia="en-IE"/>
              </w:rPr>
            </w:pPr>
            <w:r w:rsidRPr="00AA55EE">
              <w:rPr>
                <w:rFonts w:asciiTheme="minorHAnsi" w:eastAsia="Times New Roman" w:hAnsiTheme="minorHAnsi" w:cs="Calibri"/>
                <w:color w:val="000000"/>
                <w:kern w:val="0"/>
                <w:sz w:val="20"/>
                <w:lang w:val="en-IE" w:eastAsia="en-IE"/>
              </w:rPr>
              <w:t xml:space="preserve">For the purposes of this exercise, </w:t>
            </w:r>
            <w:r w:rsidR="00B70B27">
              <w:rPr>
                <w:rFonts w:asciiTheme="minorHAnsi" w:eastAsia="Times New Roman" w:hAnsiTheme="minorHAnsi" w:cs="Calibri"/>
                <w:color w:val="000000"/>
                <w:kern w:val="0"/>
                <w:sz w:val="20"/>
                <w:lang w:val="en-IE" w:eastAsia="en-IE"/>
              </w:rPr>
              <w:t xml:space="preserve">and in accordance with Article </w:t>
            </w:r>
            <w:r w:rsidR="00177DBE">
              <w:rPr>
                <w:rFonts w:asciiTheme="minorHAnsi" w:eastAsia="Times New Roman" w:hAnsiTheme="minorHAnsi" w:cs="Calibri"/>
                <w:color w:val="000000"/>
                <w:kern w:val="0"/>
                <w:sz w:val="20"/>
                <w:lang w:val="en-IE" w:eastAsia="en-IE"/>
              </w:rPr>
              <w:t>26(2)</w:t>
            </w:r>
            <w:r w:rsidR="00D70570">
              <w:rPr>
                <w:rFonts w:asciiTheme="minorHAnsi" w:eastAsia="Times New Roman" w:hAnsiTheme="minorHAnsi" w:cs="Calibri"/>
                <w:color w:val="000000"/>
                <w:kern w:val="0"/>
                <w:sz w:val="20"/>
                <w:lang w:val="en-IE" w:eastAsia="en-IE"/>
              </w:rPr>
              <w:t>-(3</w:t>
            </w:r>
            <w:r w:rsidR="00177DBE">
              <w:rPr>
                <w:rFonts w:asciiTheme="minorHAnsi" w:eastAsia="Times New Roman" w:hAnsiTheme="minorHAnsi" w:cs="Calibri"/>
                <w:color w:val="000000"/>
                <w:kern w:val="0"/>
                <w:sz w:val="20"/>
                <w:lang w:val="en-IE" w:eastAsia="en-IE"/>
              </w:rPr>
              <w:t xml:space="preserve">) </w:t>
            </w:r>
            <w:r w:rsidR="00632313">
              <w:rPr>
                <w:rFonts w:asciiTheme="minorHAnsi" w:eastAsia="Times New Roman" w:hAnsiTheme="minorHAnsi" w:cs="Calibri"/>
                <w:color w:val="000000"/>
                <w:kern w:val="0"/>
                <w:sz w:val="20"/>
                <w:lang w:val="en-IE" w:eastAsia="en-IE"/>
              </w:rPr>
              <w:t>AMLR</w:t>
            </w:r>
            <w:r w:rsidR="00DF1698">
              <w:rPr>
                <w:rFonts w:asciiTheme="minorHAnsi" w:eastAsia="Times New Roman" w:hAnsiTheme="minorHAnsi" w:cs="Calibri"/>
                <w:color w:val="000000"/>
                <w:kern w:val="0"/>
                <w:sz w:val="20"/>
                <w:lang w:val="en-IE" w:eastAsia="en-IE"/>
              </w:rPr>
              <w:t xml:space="preserve">, </w:t>
            </w:r>
            <w:r w:rsidR="00B952C5">
              <w:rPr>
                <w:rFonts w:asciiTheme="minorHAnsi" w:eastAsia="Times New Roman" w:hAnsiTheme="minorHAnsi" w:cs="Calibri"/>
                <w:color w:val="000000"/>
                <w:kern w:val="0"/>
                <w:sz w:val="20"/>
                <w:lang w:val="en-IE" w:eastAsia="en-IE"/>
              </w:rPr>
              <w:t xml:space="preserve">this </w:t>
            </w:r>
            <w:r w:rsidR="00D75830">
              <w:rPr>
                <w:rFonts w:asciiTheme="minorHAnsi" w:eastAsia="Times New Roman" w:hAnsiTheme="minorHAnsi" w:cs="Calibri"/>
                <w:color w:val="000000"/>
                <w:kern w:val="0"/>
                <w:sz w:val="20"/>
                <w:lang w:val="en-IE" w:eastAsia="en-IE"/>
              </w:rPr>
              <w:t>data point</w:t>
            </w:r>
            <w:r w:rsidRPr="00AA55EE">
              <w:rPr>
                <w:rFonts w:asciiTheme="minorHAnsi" w:eastAsia="Times New Roman" w:hAnsiTheme="minorHAnsi" w:cs="Calibri"/>
                <w:color w:val="000000"/>
                <w:kern w:val="0"/>
                <w:sz w:val="20"/>
                <w:lang w:val="en-IE" w:eastAsia="en-IE"/>
              </w:rPr>
              <w:t xml:space="preserve"> should capture both periodic (risk-based) </w:t>
            </w:r>
            <w:r w:rsidR="00A72C1A">
              <w:rPr>
                <w:rFonts w:asciiTheme="minorHAnsi" w:eastAsia="Times New Roman" w:hAnsiTheme="minorHAnsi" w:cs="Calibri"/>
                <w:color w:val="000000"/>
                <w:kern w:val="0"/>
                <w:sz w:val="20"/>
                <w:lang w:val="en-IE" w:eastAsia="en-IE"/>
              </w:rPr>
              <w:t>reviews</w:t>
            </w:r>
            <w:r w:rsidRPr="00AA55EE">
              <w:rPr>
                <w:rFonts w:asciiTheme="minorHAnsi" w:eastAsia="Times New Roman" w:hAnsiTheme="minorHAnsi" w:cs="Calibri"/>
                <w:color w:val="000000"/>
                <w:kern w:val="0"/>
                <w:sz w:val="20"/>
                <w:lang w:val="en-IE" w:eastAsia="en-IE"/>
              </w:rPr>
              <w:t xml:space="preserve"> and event-driven reviews/updates triggered by relevant changes or </w:t>
            </w:r>
            <w:r w:rsidRPr="007E0FA1">
              <w:rPr>
                <w:rFonts w:asciiTheme="minorHAnsi" w:eastAsia="Times New Roman" w:hAnsiTheme="minorHAnsi" w:cs="Calibri"/>
                <w:color w:val="000000"/>
                <w:kern w:val="0"/>
                <w:sz w:val="20"/>
                <w:lang w:eastAsia="en-IE"/>
              </w:rPr>
              <w:t xml:space="preserve">newly </w:t>
            </w:r>
            <w:r w:rsidR="007E0FA1" w:rsidRPr="007E0FA1">
              <w:rPr>
                <w:rFonts w:asciiTheme="minorHAnsi" w:eastAsia="Times New Roman" w:hAnsiTheme="minorHAnsi" w:cs="Calibri"/>
                <w:color w:val="000000"/>
                <w:kern w:val="0"/>
                <w:sz w:val="20"/>
                <w:lang w:eastAsia="en-IE"/>
              </w:rPr>
              <w:t>acquired relevant</w:t>
            </w:r>
            <w:r w:rsidRPr="007E0FA1">
              <w:rPr>
                <w:rFonts w:asciiTheme="minorHAnsi" w:eastAsia="Times New Roman" w:hAnsiTheme="minorHAnsi" w:cs="Calibri"/>
                <w:color w:val="000000"/>
                <w:kern w:val="0"/>
                <w:sz w:val="20"/>
                <w:lang w:eastAsia="en-IE"/>
              </w:rPr>
              <w:t xml:space="preserve"> information</w:t>
            </w:r>
            <w:r w:rsidRPr="00AA55EE">
              <w:rPr>
                <w:rFonts w:asciiTheme="minorHAnsi" w:eastAsia="Times New Roman" w:hAnsiTheme="minorHAnsi" w:cs="Calibri"/>
                <w:color w:val="000000"/>
                <w:kern w:val="0"/>
                <w:sz w:val="20"/>
                <w:lang w:val="en-IE" w:eastAsia="en-IE"/>
              </w:rPr>
              <w:t>.</w:t>
            </w:r>
          </w:p>
          <w:p w14:paraId="3B3A492B" w14:textId="5FA65C9B" w:rsidR="008E253D" w:rsidRPr="0092136A" w:rsidRDefault="008E253D" w:rsidP="008E253D">
            <w:pPr>
              <w:spacing w:before="0" w:after="0" w:line="240" w:lineRule="auto"/>
              <w:jc w:val="both"/>
              <w:rPr>
                <w:rFonts w:asciiTheme="minorHAnsi" w:eastAsia="Times New Roman" w:hAnsiTheme="minorHAnsi" w:cs="Calibri"/>
                <w:b/>
                <w:bCs/>
                <w:color w:val="000000"/>
                <w:kern w:val="0"/>
                <w:sz w:val="20"/>
                <w:u w:val="single"/>
                <w:lang w:val="en-IE" w:eastAsia="en-IE"/>
              </w:rPr>
            </w:pPr>
          </w:p>
        </w:tc>
      </w:tr>
      <w:tr w:rsidR="00A10CBD" w:rsidRPr="009B282E" w14:paraId="1FF15638" w14:textId="77777777" w:rsidTr="1873AE94">
        <w:tc>
          <w:tcPr>
            <w:tcW w:w="1673" w:type="dxa"/>
            <w:tcBorders>
              <w:top w:val="single" w:sz="4" w:space="0" w:color="auto"/>
              <w:left w:val="single" w:sz="4" w:space="0" w:color="auto"/>
              <w:bottom w:val="single" w:sz="4" w:space="0" w:color="auto"/>
              <w:right w:val="single" w:sz="4" w:space="0" w:color="auto"/>
            </w:tcBorders>
            <w:vAlign w:val="center"/>
          </w:tcPr>
          <w:p w14:paraId="4E60EB3C" w14:textId="3B567140" w:rsidR="008E253D" w:rsidRPr="009275BC" w:rsidRDefault="00453630" w:rsidP="00F32516">
            <w:pPr>
              <w:pStyle w:val="InstructionsText"/>
              <w:rPr>
                <w:rStyle w:val="FormatvorlageInstructionsTabelleText"/>
                <w:rFonts w:asciiTheme="minorHAnsi" w:hAnsiTheme="minorHAnsi"/>
                <w:bCs/>
              </w:rPr>
            </w:pPr>
            <w:r w:rsidRPr="00A70B3F">
              <w:t>C0070</w:t>
            </w:r>
          </w:p>
        </w:tc>
        <w:tc>
          <w:tcPr>
            <w:tcW w:w="7616"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1D4A3AA" w14:textId="77777777" w:rsidR="00491899" w:rsidRDefault="00491899" w:rsidP="008E253D">
            <w:pPr>
              <w:spacing w:before="0" w:after="0" w:line="240" w:lineRule="auto"/>
              <w:jc w:val="both"/>
              <w:rPr>
                <w:rFonts w:asciiTheme="minorHAnsi" w:eastAsia="Times New Roman" w:hAnsiTheme="minorHAnsi" w:cs="Calibri"/>
                <w:b/>
                <w:bCs/>
                <w:color w:val="000000"/>
                <w:kern w:val="0"/>
                <w:sz w:val="20"/>
                <w:u w:val="single"/>
                <w:lang w:val="en-IE" w:eastAsia="en-IE"/>
              </w:rPr>
            </w:pPr>
            <w:r w:rsidRPr="00D572A8">
              <w:rPr>
                <w:rFonts w:ascii="Aptos" w:eastAsia="Times New Roman" w:hAnsi="Aptos" w:cs="Calibri"/>
                <w:b/>
                <w:bCs/>
                <w:color w:val="000000"/>
                <w:kern w:val="0"/>
                <w:sz w:val="20"/>
                <w:u w:val="single"/>
                <w:lang w:val="en-IE" w:eastAsia="en-IE"/>
              </w:rPr>
              <w:t>Customers – Information Updates Completed</w:t>
            </w:r>
          </w:p>
          <w:p w14:paraId="5767AD98" w14:textId="66504E31" w:rsidR="00F725D9" w:rsidRDefault="00F725D9" w:rsidP="008E253D">
            <w:pPr>
              <w:spacing w:before="0" w:after="0" w:line="240" w:lineRule="auto"/>
              <w:jc w:val="both"/>
              <w:rPr>
                <w:rFonts w:asciiTheme="minorHAnsi" w:eastAsia="Times New Roman" w:hAnsiTheme="minorHAnsi" w:cs="Calibri"/>
                <w:b/>
                <w:bCs/>
                <w:color w:val="000000"/>
                <w:kern w:val="0"/>
                <w:sz w:val="20"/>
                <w:u w:val="single"/>
                <w:lang w:val="en-IE" w:eastAsia="en-IE"/>
              </w:rPr>
            </w:pPr>
          </w:p>
          <w:p w14:paraId="304E4108" w14:textId="1091FC13" w:rsidR="00491899" w:rsidRPr="00FB3778" w:rsidRDefault="009F3177" w:rsidP="008E253D">
            <w:pPr>
              <w:spacing w:before="0" w:after="0" w:line="240" w:lineRule="auto"/>
              <w:jc w:val="both"/>
              <w:rPr>
                <w:rFonts w:asciiTheme="minorHAnsi" w:eastAsia="Times New Roman" w:hAnsiTheme="minorHAnsi" w:cs="Calibri"/>
                <w:color w:val="000000"/>
                <w:kern w:val="0"/>
                <w:sz w:val="20"/>
                <w:lang w:val="en-IE" w:eastAsia="en-IE"/>
              </w:rPr>
            </w:pPr>
            <w:r w:rsidRPr="00B507FA">
              <w:rPr>
                <w:rFonts w:asciiTheme="minorHAnsi" w:eastAsia="Times New Roman" w:hAnsiTheme="minorHAnsi" w:cs="Calibri"/>
                <w:color w:val="000000"/>
                <w:kern w:val="0"/>
                <w:sz w:val="20"/>
                <w:lang w:val="en-IE" w:eastAsia="en-IE"/>
              </w:rPr>
              <w:t xml:space="preserve">Indicate the number of customers </w:t>
            </w:r>
            <w:r w:rsidR="001B77D6">
              <w:rPr>
                <w:rFonts w:asciiTheme="minorHAnsi" w:eastAsia="Times New Roman" w:hAnsiTheme="minorHAnsi" w:cs="Calibri"/>
                <w:color w:val="000000"/>
                <w:kern w:val="0"/>
                <w:sz w:val="20"/>
                <w:lang w:val="en-IE" w:eastAsia="en-IE"/>
              </w:rPr>
              <w:t xml:space="preserve">(both natural </w:t>
            </w:r>
            <w:r w:rsidR="00AD0032">
              <w:rPr>
                <w:rFonts w:asciiTheme="minorHAnsi" w:eastAsia="Times New Roman" w:hAnsiTheme="minorHAnsi" w:cs="Calibri"/>
                <w:color w:val="000000"/>
                <w:kern w:val="0"/>
                <w:sz w:val="20"/>
                <w:lang w:val="en-IE" w:eastAsia="en-IE"/>
              </w:rPr>
              <w:t>persons</w:t>
            </w:r>
            <w:r w:rsidR="001B77D6">
              <w:rPr>
                <w:rFonts w:asciiTheme="minorHAnsi" w:eastAsia="Times New Roman" w:hAnsiTheme="minorHAnsi" w:cs="Calibri"/>
                <w:color w:val="000000"/>
                <w:kern w:val="0"/>
                <w:sz w:val="20"/>
                <w:lang w:val="en-IE" w:eastAsia="en-IE"/>
              </w:rPr>
              <w:t xml:space="preserve"> and legal </w:t>
            </w:r>
            <w:r w:rsidR="00AD0032">
              <w:rPr>
                <w:rFonts w:asciiTheme="minorHAnsi" w:eastAsia="Times New Roman" w:hAnsiTheme="minorHAnsi" w:cs="Calibri"/>
                <w:color w:val="000000"/>
                <w:kern w:val="0"/>
                <w:sz w:val="20"/>
                <w:lang w:val="en-IE" w:eastAsia="en-IE"/>
              </w:rPr>
              <w:t>entities</w:t>
            </w:r>
            <w:r w:rsidR="001B77D6">
              <w:rPr>
                <w:rFonts w:asciiTheme="minorHAnsi" w:eastAsia="Times New Roman" w:hAnsiTheme="minorHAnsi" w:cs="Calibri"/>
                <w:color w:val="000000"/>
                <w:kern w:val="0"/>
                <w:sz w:val="20"/>
                <w:lang w:val="en-IE" w:eastAsia="en-IE"/>
              </w:rPr>
              <w:t xml:space="preserve">) </w:t>
            </w:r>
            <w:r w:rsidR="00765915">
              <w:rPr>
                <w:rFonts w:asciiTheme="minorHAnsi" w:eastAsia="Times New Roman" w:hAnsiTheme="minorHAnsi" w:cs="Calibri"/>
                <w:color w:val="000000"/>
                <w:kern w:val="0"/>
                <w:sz w:val="20"/>
                <w:lang w:val="en-IE" w:eastAsia="en-IE"/>
              </w:rPr>
              <w:t>for whom a</w:t>
            </w:r>
            <w:r w:rsidR="009749C1">
              <w:rPr>
                <w:rFonts w:asciiTheme="minorHAnsi" w:eastAsia="Times New Roman" w:hAnsiTheme="minorHAnsi" w:cs="Calibri"/>
                <w:color w:val="000000"/>
                <w:kern w:val="0"/>
                <w:sz w:val="20"/>
                <w:lang w:val="en-IE" w:eastAsia="en-IE"/>
              </w:rPr>
              <w:t xml:space="preserve"> review</w:t>
            </w:r>
            <w:r w:rsidR="00765915">
              <w:rPr>
                <w:rFonts w:asciiTheme="minorHAnsi" w:eastAsia="Times New Roman" w:hAnsiTheme="minorHAnsi" w:cs="Calibri"/>
                <w:color w:val="000000"/>
                <w:kern w:val="0"/>
                <w:sz w:val="20"/>
                <w:lang w:val="en-IE" w:eastAsia="en-IE"/>
              </w:rPr>
              <w:t xml:space="preserve"> of customer information </w:t>
            </w:r>
            <w:r w:rsidR="00022ECC" w:rsidRPr="00022ECC">
              <w:rPr>
                <w:rFonts w:asciiTheme="minorHAnsi" w:eastAsia="Times New Roman" w:hAnsiTheme="minorHAnsi" w:cs="Calibri"/>
                <w:color w:val="000000"/>
                <w:kern w:val="0"/>
                <w:sz w:val="20"/>
                <w:lang w:val="en-IE" w:eastAsia="en-IE"/>
              </w:rPr>
              <w:t xml:space="preserve">was </w:t>
            </w:r>
            <w:r w:rsidR="00CD0B25">
              <w:rPr>
                <w:rFonts w:asciiTheme="minorHAnsi" w:eastAsia="Times New Roman" w:hAnsiTheme="minorHAnsi" w:cs="Calibri"/>
                <w:color w:val="000000"/>
                <w:kern w:val="0"/>
                <w:sz w:val="20"/>
                <w:lang w:val="en-IE" w:eastAsia="en-IE"/>
              </w:rPr>
              <w:t>due</w:t>
            </w:r>
            <w:r w:rsidR="0019596F">
              <w:rPr>
                <w:rFonts w:asciiTheme="minorHAnsi" w:eastAsia="Times New Roman" w:hAnsiTheme="minorHAnsi" w:cs="Calibri"/>
                <w:color w:val="000000"/>
                <w:kern w:val="0"/>
                <w:sz w:val="20"/>
                <w:lang w:val="en-IE" w:eastAsia="en-IE"/>
              </w:rPr>
              <w:t xml:space="preserve"> </w:t>
            </w:r>
            <w:r w:rsidR="00022ECC" w:rsidRPr="00022ECC">
              <w:rPr>
                <w:rFonts w:asciiTheme="minorHAnsi" w:eastAsia="Times New Roman" w:hAnsiTheme="minorHAnsi" w:cs="Calibri"/>
                <w:color w:val="000000"/>
                <w:kern w:val="0"/>
                <w:sz w:val="20"/>
                <w:lang w:val="en-IE" w:eastAsia="en-IE"/>
              </w:rPr>
              <w:t>during the reference year</w:t>
            </w:r>
            <w:r w:rsidR="00DC4C53">
              <w:rPr>
                <w:rFonts w:asciiTheme="minorHAnsi" w:eastAsia="Times New Roman" w:hAnsiTheme="minorHAnsi" w:cs="Calibri"/>
                <w:color w:val="000000"/>
                <w:kern w:val="0"/>
                <w:sz w:val="20"/>
                <w:lang w:val="en-IE" w:eastAsia="en-IE"/>
              </w:rPr>
              <w:t xml:space="preserve"> (as per data point C0060 above)</w:t>
            </w:r>
            <w:r w:rsidR="00022ECC" w:rsidRPr="00022ECC">
              <w:rPr>
                <w:rFonts w:asciiTheme="minorHAnsi" w:eastAsia="Times New Roman" w:hAnsiTheme="minorHAnsi" w:cs="Calibri"/>
                <w:color w:val="000000"/>
                <w:kern w:val="0"/>
                <w:sz w:val="20"/>
                <w:lang w:val="en-IE" w:eastAsia="en-IE"/>
              </w:rPr>
              <w:t xml:space="preserve">, in accordance with the </w:t>
            </w:r>
            <w:r w:rsidR="00863B13">
              <w:rPr>
                <w:rFonts w:asciiTheme="minorHAnsi" w:eastAsia="Times New Roman" w:hAnsiTheme="minorHAnsi" w:cs="Calibri"/>
                <w:color w:val="000000"/>
                <w:kern w:val="0"/>
                <w:sz w:val="20"/>
                <w:lang w:val="en-IE" w:eastAsia="en-IE"/>
              </w:rPr>
              <w:t xml:space="preserve">reporting obliged </w:t>
            </w:r>
            <w:r w:rsidR="00022ECC" w:rsidRPr="00022ECC">
              <w:rPr>
                <w:rFonts w:asciiTheme="minorHAnsi" w:eastAsia="Times New Roman" w:hAnsiTheme="minorHAnsi" w:cs="Calibri"/>
                <w:color w:val="000000"/>
                <w:kern w:val="0"/>
                <w:sz w:val="20"/>
                <w:lang w:val="en-IE" w:eastAsia="en-IE"/>
              </w:rPr>
              <w:t xml:space="preserve">entity’s </w:t>
            </w:r>
            <w:r w:rsidR="007D0F01">
              <w:rPr>
                <w:rFonts w:asciiTheme="minorHAnsi" w:eastAsia="Times New Roman" w:hAnsiTheme="minorHAnsi" w:cs="Calibri"/>
                <w:color w:val="000000"/>
                <w:kern w:val="0"/>
                <w:sz w:val="20"/>
                <w:lang w:val="en-IE" w:eastAsia="en-IE"/>
              </w:rPr>
              <w:t xml:space="preserve">AML/CFT </w:t>
            </w:r>
            <w:r w:rsidR="00022ECC" w:rsidRPr="00022ECC">
              <w:rPr>
                <w:rFonts w:asciiTheme="minorHAnsi" w:eastAsia="Times New Roman" w:hAnsiTheme="minorHAnsi" w:cs="Calibri"/>
                <w:color w:val="000000"/>
                <w:kern w:val="0"/>
                <w:sz w:val="20"/>
                <w:lang w:val="en-IE" w:eastAsia="en-IE"/>
              </w:rPr>
              <w:t>policies and procedures</w:t>
            </w:r>
            <w:r w:rsidR="005D0A21">
              <w:rPr>
                <w:rFonts w:asciiTheme="minorHAnsi" w:eastAsia="Times New Roman" w:hAnsiTheme="minorHAnsi" w:cs="Calibri"/>
                <w:color w:val="000000"/>
                <w:kern w:val="0"/>
                <w:sz w:val="20"/>
                <w:lang w:val="en-IE" w:eastAsia="en-IE"/>
              </w:rPr>
              <w:t xml:space="preserve"> regarding ongoing monitoring obligations</w:t>
            </w:r>
            <w:r w:rsidR="00022ECC" w:rsidRPr="00022ECC">
              <w:rPr>
                <w:rFonts w:asciiTheme="minorHAnsi" w:eastAsia="Times New Roman" w:hAnsiTheme="minorHAnsi" w:cs="Calibri"/>
                <w:color w:val="000000"/>
                <w:kern w:val="0"/>
                <w:sz w:val="20"/>
                <w:lang w:val="en-IE" w:eastAsia="en-IE"/>
              </w:rPr>
              <w:t xml:space="preserve">, and </w:t>
            </w:r>
            <w:r w:rsidR="003039FF">
              <w:rPr>
                <w:rFonts w:asciiTheme="minorHAnsi" w:eastAsia="Times New Roman" w:hAnsiTheme="minorHAnsi" w:cs="Calibri"/>
                <w:color w:val="000000"/>
                <w:kern w:val="0"/>
                <w:sz w:val="20"/>
                <w:lang w:val="en-IE" w:eastAsia="en-IE"/>
              </w:rPr>
              <w:t>whose information</w:t>
            </w:r>
            <w:r w:rsidR="00022ECC" w:rsidRPr="00022ECC">
              <w:rPr>
                <w:rFonts w:asciiTheme="minorHAnsi" w:eastAsia="Times New Roman" w:hAnsiTheme="minorHAnsi" w:cs="Calibri"/>
                <w:color w:val="000000"/>
                <w:kern w:val="0"/>
                <w:sz w:val="20"/>
                <w:lang w:val="en-IE" w:eastAsia="en-IE"/>
              </w:rPr>
              <w:t xml:space="preserve"> was effectively</w:t>
            </w:r>
            <w:r w:rsidR="00E177BA">
              <w:rPr>
                <w:rFonts w:asciiTheme="minorHAnsi" w:eastAsia="Times New Roman" w:hAnsiTheme="minorHAnsi" w:cs="Calibri"/>
                <w:color w:val="000000"/>
                <w:kern w:val="0"/>
                <w:sz w:val="20"/>
                <w:lang w:val="en-IE" w:eastAsia="en-IE"/>
              </w:rPr>
              <w:t xml:space="preserve"> </w:t>
            </w:r>
            <w:r w:rsidRPr="00B507FA">
              <w:rPr>
                <w:rFonts w:asciiTheme="minorHAnsi" w:eastAsia="Times New Roman" w:hAnsiTheme="minorHAnsi" w:cs="Calibri"/>
                <w:color w:val="000000"/>
                <w:kern w:val="0"/>
                <w:sz w:val="20"/>
                <w:lang w:val="en-IE" w:eastAsia="en-IE"/>
              </w:rPr>
              <w:t>reviewed and</w:t>
            </w:r>
            <w:r w:rsidR="00B46453">
              <w:rPr>
                <w:rFonts w:asciiTheme="minorHAnsi" w:eastAsia="Times New Roman" w:hAnsiTheme="minorHAnsi" w:cs="Calibri"/>
                <w:color w:val="000000"/>
                <w:kern w:val="0"/>
                <w:sz w:val="20"/>
                <w:lang w:val="en-IE" w:eastAsia="en-IE"/>
              </w:rPr>
              <w:t xml:space="preserve">, where </w:t>
            </w:r>
            <w:r w:rsidR="00F45F7D">
              <w:rPr>
                <w:rFonts w:asciiTheme="minorHAnsi" w:eastAsia="Times New Roman" w:hAnsiTheme="minorHAnsi" w:cs="Calibri"/>
                <w:color w:val="000000"/>
                <w:kern w:val="0"/>
                <w:sz w:val="20"/>
                <w:lang w:val="en-IE" w:eastAsia="en-IE"/>
              </w:rPr>
              <w:t>relevant,</w:t>
            </w:r>
            <w:r w:rsidRPr="00B507FA">
              <w:rPr>
                <w:rFonts w:asciiTheme="minorHAnsi" w:eastAsia="Times New Roman" w:hAnsiTheme="minorHAnsi" w:cs="Calibri"/>
                <w:color w:val="000000"/>
                <w:kern w:val="0"/>
                <w:sz w:val="20"/>
                <w:lang w:val="en-IE" w:eastAsia="en-IE"/>
              </w:rPr>
              <w:t xml:space="preserve"> updated </w:t>
            </w:r>
            <w:r w:rsidR="00B37F5D" w:rsidRPr="00B507FA">
              <w:rPr>
                <w:rFonts w:asciiTheme="minorHAnsi" w:eastAsia="Times New Roman" w:hAnsiTheme="minorHAnsi" w:cs="Calibri"/>
                <w:color w:val="000000"/>
                <w:kern w:val="0"/>
                <w:sz w:val="20"/>
                <w:lang w:val="en-IE" w:eastAsia="en-IE"/>
              </w:rPr>
              <w:t>d</w:t>
            </w:r>
            <w:r w:rsidR="00491899" w:rsidRPr="00B507FA">
              <w:rPr>
                <w:rFonts w:asciiTheme="minorHAnsi" w:eastAsia="Times New Roman" w:hAnsiTheme="minorHAnsi" w:cs="Calibri"/>
                <w:color w:val="000000"/>
                <w:kern w:val="0"/>
                <w:sz w:val="20"/>
                <w:lang w:val="en-IE" w:eastAsia="en-IE"/>
              </w:rPr>
              <w:t>uring the reference year.</w:t>
            </w:r>
          </w:p>
          <w:p w14:paraId="25B88E55" w14:textId="77777777" w:rsidR="00971DF7" w:rsidRDefault="00971DF7" w:rsidP="008E253D">
            <w:pPr>
              <w:spacing w:before="0" w:after="0" w:line="240" w:lineRule="auto"/>
              <w:jc w:val="both"/>
              <w:rPr>
                <w:rFonts w:asciiTheme="minorHAnsi" w:eastAsia="Times New Roman" w:hAnsiTheme="minorHAnsi" w:cs="Calibri"/>
                <w:color w:val="000000"/>
                <w:kern w:val="0"/>
                <w:sz w:val="20"/>
                <w:lang w:val="en-IE" w:eastAsia="en-IE"/>
              </w:rPr>
            </w:pPr>
          </w:p>
          <w:p w14:paraId="67B4FB82" w14:textId="4CBA8253" w:rsidR="00971DF7" w:rsidRPr="00FB3778" w:rsidRDefault="00971DF7" w:rsidP="008E253D">
            <w:pPr>
              <w:spacing w:before="0" w:after="0" w:line="240" w:lineRule="auto"/>
              <w:jc w:val="both"/>
              <w:rPr>
                <w:rFonts w:asciiTheme="minorHAnsi" w:eastAsia="Times New Roman" w:hAnsiTheme="minorHAnsi" w:cs="Calibri"/>
                <w:color w:val="000000"/>
                <w:kern w:val="0"/>
                <w:sz w:val="20"/>
                <w:lang w:val="en-IE" w:eastAsia="en-IE"/>
              </w:rPr>
            </w:pPr>
            <w:r w:rsidRPr="00AA55EE">
              <w:rPr>
                <w:rFonts w:asciiTheme="minorHAnsi" w:eastAsia="Times New Roman" w:hAnsiTheme="minorHAnsi" w:cs="Calibri"/>
                <w:color w:val="000000"/>
                <w:kern w:val="0"/>
                <w:sz w:val="20"/>
                <w:lang w:val="en-IE" w:eastAsia="en-IE"/>
              </w:rPr>
              <w:t>For the purposes of this exercise,</w:t>
            </w:r>
            <w:r>
              <w:rPr>
                <w:rFonts w:asciiTheme="minorHAnsi" w:eastAsia="Times New Roman" w:hAnsiTheme="minorHAnsi" w:cs="Calibri"/>
                <w:color w:val="000000"/>
                <w:kern w:val="0"/>
                <w:sz w:val="20"/>
                <w:lang w:val="en-IE" w:eastAsia="en-IE"/>
              </w:rPr>
              <w:t xml:space="preserve"> and in accordance with Article 26(2)-(3) </w:t>
            </w:r>
            <w:r w:rsidR="00632313">
              <w:rPr>
                <w:rFonts w:asciiTheme="minorHAnsi" w:eastAsia="Times New Roman" w:hAnsiTheme="minorHAnsi" w:cs="Calibri"/>
                <w:color w:val="000000"/>
                <w:kern w:val="0"/>
                <w:sz w:val="20"/>
                <w:lang w:val="en-IE" w:eastAsia="en-IE"/>
              </w:rPr>
              <w:t>AMLR</w:t>
            </w:r>
            <w:r>
              <w:rPr>
                <w:rFonts w:asciiTheme="minorHAnsi" w:eastAsia="Times New Roman" w:hAnsiTheme="minorHAnsi" w:cs="Calibri"/>
                <w:color w:val="000000"/>
                <w:kern w:val="0"/>
                <w:sz w:val="20"/>
                <w:lang w:val="en-IE" w:eastAsia="en-IE"/>
              </w:rPr>
              <w:t>, this data point</w:t>
            </w:r>
            <w:r w:rsidRPr="00AA55EE">
              <w:rPr>
                <w:rFonts w:asciiTheme="minorHAnsi" w:eastAsia="Times New Roman" w:hAnsiTheme="minorHAnsi" w:cs="Calibri"/>
                <w:color w:val="000000"/>
                <w:kern w:val="0"/>
                <w:sz w:val="20"/>
                <w:lang w:val="en-IE" w:eastAsia="en-IE"/>
              </w:rPr>
              <w:t xml:space="preserve"> should capture both periodic (risk-based) </w:t>
            </w:r>
            <w:r w:rsidR="00A72C1A">
              <w:rPr>
                <w:rFonts w:asciiTheme="minorHAnsi" w:eastAsia="Times New Roman" w:hAnsiTheme="minorHAnsi" w:cs="Calibri"/>
                <w:color w:val="000000"/>
                <w:kern w:val="0"/>
                <w:sz w:val="20"/>
                <w:lang w:val="en-IE" w:eastAsia="en-IE"/>
              </w:rPr>
              <w:t>reviews</w:t>
            </w:r>
            <w:r w:rsidRPr="00AA55EE">
              <w:rPr>
                <w:rFonts w:asciiTheme="minorHAnsi" w:eastAsia="Times New Roman" w:hAnsiTheme="minorHAnsi" w:cs="Calibri"/>
                <w:color w:val="000000"/>
                <w:kern w:val="0"/>
                <w:sz w:val="20"/>
                <w:lang w:val="en-IE" w:eastAsia="en-IE"/>
              </w:rPr>
              <w:t xml:space="preserve"> and event-driven reviews/updates triggered by relevant changes or </w:t>
            </w:r>
            <w:r w:rsidRPr="007E0FA1">
              <w:rPr>
                <w:rFonts w:asciiTheme="minorHAnsi" w:eastAsia="Times New Roman" w:hAnsiTheme="minorHAnsi" w:cs="Calibri"/>
                <w:color w:val="000000"/>
                <w:kern w:val="0"/>
                <w:sz w:val="20"/>
                <w:lang w:eastAsia="en-IE"/>
              </w:rPr>
              <w:t xml:space="preserve">newly </w:t>
            </w:r>
            <w:r w:rsidR="007E0FA1" w:rsidRPr="007E0FA1">
              <w:rPr>
                <w:rFonts w:asciiTheme="minorHAnsi" w:eastAsia="Times New Roman" w:hAnsiTheme="minorHAnsi" w:cs="Calibri"/>
                <w:color w:val="000000"/>
                <w:kern w:val="0"/>
                <w:sz w:val="20"/>
                <w:lang w:eastAsia="en-IE"/>
              </w:rPr>
              <w:t>acquired relevant</w:t>
            </w:r>
            <w:r w:rsidRPr="007E0FA1">
              <w:rPr>
                <w:rFonts w:asciiTheme="minorHAnsi" w:eastAsia="Times New Roman" w:hAnsiTheme="minorHAnsi" w:cs="Calibri"/>
                <w:color w:val="000000"/>
                <w:kern w:val="0"/>
                <w:sz w:val="20"/>
                <w:lang w:eastAsia="en-IE"/>
              </w:rPr>
              <w:t xml:space="preserve"> information</w:t>
            </w:r>
            <w:r w:rsidRPr="00AA55EE">
              <w:rPr>
                <w:rFonts w:asciiTheme="minorHAnsi" w:eastAsia="Times New Roman" w:hAnsiTheme="minorHAnsi" w:cs="Calibri"/>
                <w:color w:val="000000"/>
                <w:kern w:val="0"/>
                <w:sz w:val="20"/>
                <w:lang w:val="en-IE" w:eastAsia="en-IE"/>
              </w:rPr>
              <w:t>.</w:t>
            </w:r>
          </w:p>
          <w:p w14:paraId="772D4D09" w14:textId="2D97B6D8" w:rsidR="008E253D" w:rsidRPr="0092136A" w:rsidRDefault="008E253D" w:rsidP="008E253D">
            <w:pPr>
              <w:spacing w:before="0" w:after="0" w:line="240" w:lineRule="auto"/>
              <w:jc w:val="both"/>
              <w:rPr>
                <w:rFonts w:asciiTheme="minorHAnsi" w:eastAsia="Times New Roman" w:hAnsiTheme="minorHAnsi" w:cs="Calibri"/>
                <w:b/>
                <w:bCs/>
                <w:color w:val="000000"/>
                <w:kern w:val="0"/>
                <w:sz w:val="20"/>
                <w:u w:val="single"/>
                <w:lang w:val="en-IE" w:eastAsia="en-IE"/>
              </w:rPr>
            </w:pPr>
          </w:p>
        </w:tc>
      </w:tr>
    </w:tbl>
    <w:p w14:paraId="2D1E55E3" w14:textId="024398AC" w:rsidR="006D7237" w:rsidRPr="00BF5F8A" w:rsidRDefault="00A7631E" w:rsidP="00A7631E">
      <w:pPr>
        <w:pStyle w:val="Heading2"/>
        <w:rPr>
          <w:rFonts w:asciiTheme="minorHAnsi" w:hAnsiTheme="minorHAnsi"/>
          <w:lang w:val="en-IE"/>
        </w:rPr>
      </w:pPr>
      <w:bookmarkStart w:id="300" w:name="_Toc223018938"/>
      <w:bookmarkStart w:id="301" w:name="_Toc223021736"/>
      <w:bookmarkStart w:id="302" w:name="_Toc223086602"/>
      <w:bookmarkStart w:id="303" w:name="_Toc223086696"/>
      <w:bookmarkStart w:id="304" w:name="_Toc223086790"/>
      <w:bookmarkStart w:id="305" w:name="_Toc223086884"/>
      <w:bookmarkStart w:id="306" w:name="_Toc221356004"/>
      <w:bookmarkStart w:id="307" w:name="_Toc223104870"/>
      <w:bookmarkEnd w:id="300"/>
      <w:bookmarkEnd w:id="301"/>
      <w:bookmarkEnd w:id="302"/>
      <w:bookmarkEnd w:id="303"/>
      <w:bookmarkEnd w:id="304"/>
      <w:bookmarkEnd w:id="305"/>
      <w:r w:rsidRPr="00BF5F8A">
        <w:rPr>
          <w:rFonts w:asciiTheme="minorHAnsi" w:hAnsiTheme="minorHAnsi"/>
          <w:lang w:val="en-IE"/>
        </w:rPr>
        <w:t xml:space="preserve">AML.07.05 </w:t>
      </w:r>
      <w:r w:rsidR="000973FE" w:rsidRPr="00BF5F8A">
        <w:rPr>
          <w:rFonts w:asciiTheme="minorHAnsi" w:hAnsiTheme="minorHAnsi"/>
          <w:lang w:val="en-IE"/>
        </w:rPr>
        <w:t xml:space="preserve">Transaction Monitoring and Suspicious Activity </w:t>
      </w:r>
      <w:bookmarkEnd w:id="306"/>
      <w:r w:rsidR="001B2469">
        <w:rPr>
          <w:rFonts w:asciiTheme="minorHAnsi" w:hAnsiTheme="minorHAnsi"/>
          <w:lang w:val="en-IE"/>
        </w:rPr>
        <w:t>Reporting</w:t>
      </w:r>
      <w:bookmarkEnd w:id="307"/>
    </w:p>
    <w:p w14:paraId="41C410B3" w14:textId="77777777" w:rsidR="008E1D72" w:rsidRPr="00A017EB" w:rsidRDefault="008E1D72" w:rsidP="008E1D72">
      <w:pPr>
        <w:rPr>
          <w:rFonts w:asciiTheme="minorHAnsi" w:hAnsiTheme="minorHAnsi"/>
          <w:b/>
          <w:bCs/>
          <w:iCs/>
        </w:rPr>
      </w:pPr>
      <w:r w:rsidRPr="00A017EB">
        <w:rPr>
          <w:rFonts w:asciiTheme="minorHAnsi" w:hAnsiTheme="minorHAnsi"/>
          <w:b/>
          <w:bCs/>
          <w:iCs/>
        </w:rPr>
        <w:t>Template Remarks</w:t>
      </w:r>
    </w:p>
    <w:p w14:paraId="59F89A92" w14:textId="77777777" w:rsidR="00CE09DB" w:rsidRPr="00135B9D" w:rsidRDefault="00CE09DB" w:rsidP="00135B9D">
      <w:pPr>
        <w:jc w:val="both"/>
        <w:rPr>
          <w:b/>
          <w:lang w:val="en-GB"/>
        </w:rPr>
      </w:pPr>
      <w:r w:rsidRPr="00135B9D">
        <w:rPr>
          <w:rFonts w:asciiTheme="minorHAnsi" w:hAnsiTheme="minorHAnsi"/>
          <w:lang w:val="en-GB"/>
        </w:rPr>
        <w:t xml:space="preserve">This template (cluster of datapoints) is applicable for all sectors (unless it is mentioned in the datapoint otherwise). </w:t>
      </w:r>
    </w:p>
    <w:p w14:paraId="1B608CFB" w14:textId="43367A7A" w:rsidR="005564E1" w:rsidRPr="00BF5F8A" w:rsidRDefault="00806E4E" w:rsidP="00135B9D">
      <w:pPr>
        <w:jc w:val="both"/>
        <w:rPr>
          <w:rFonts w:asciiTheme="minorHAnsi" w:hAnsiTheme="minorHAnsi"/>
          <w:lang w:val="en-IE"/>
        </w:rPr>
      </w:pPr>
      <w:r w:rsidRPr="00BF5F8A">
        <w:rPr>
          <w:rFonts w:asciiTheme="minorHAnsi" w:hAnsiTheme="minorHAnsi"/>
          <w:lang w:val="en-GB"/>
        </w:rPr>
        <w:t>A transaction monitoring system</w:t>
      </w:r>
      <w:r w:rsidR="00AA01DF" w:rsidRPr="00BF5F8A">
        <w:rPr>
          <w:rFonts w:asciiTheme="minorHAnsi" w:hAnsiTheme="minorHAnsi"/>
          <w:lang w:val="en-GB"/>
        </w:rPr>
        <w:t xml:space="preserve"> is a system</w:t>
      </w:r>
      <w:r w:rsidRPr="00BF5F8A">
        <w:rPr>
          <w:rFonts w:asciiTheme="minorHAnsi" w:hAnsiTheme="minorHAnsi"/>
          <w:lang w:val="en-GB"/>
        </w:rPr>
        <w:t xml:space="preserve"> used by the obliged entity to ensure compliance with its obligation to conduct ongoing monitoring of transactions</w:t>
      </w:r>
      <w:r w:rsidRPr="00BF5F8A">
        <w:rPr>
          <w:rFonts w:asciiTheme="minorHAnsi" w:hAnsiTheme="minorHAnsi"/>
        </w:rPr>
        <w:t xml:space="preserve"> </w:t>
      </w:r>
      <w:r w:rsidR="00813E3E" w:rsidRPr="00BF5F8A">
        <w:rPr>
          <w:rFonts w:asciiTheme="minorHAnsi" w:hAnsiTheme="minorHAnsi"/>
        </w:rPr>
        <w:t xml:space="preserve">and other relevant activities, </w:t>
      </w:r>
      <w:r w:rsidR="000744CD" w:rsidRPr="00BF5F8A">
        <w:rPr>
          <w:rFonts w:asciiTheme="minorHAnsi" w:hAnsiTheme="minorHAnsi"/>
        </w:rPr>
        <w:t>including situations where obliged entities do not process transactions or have limited transaction visibility</w:t>
      </w:r>
      <w:r w:rsidRPr="00BF5F8A">
        <w:rPr>
          <w:rFonts w:asciiTheme="minorHAnsi" w:hAnsiTheme="minorHAnsi"/>
          <w:lang w:val="en-GB"/>
        </w:rPr>
        <w:t xml:space="preserve"> performed by the customer throughout the course of a business relationship in accordance with Article 26 AMLR</w:t>
      </w:r>
      <w:r w:rsidR="002569AF">
        <w:rPr>
          <w:rFonts w:asciiTheme="minorHAnsi" w:hAnsiTheme="minorHAnsi"/>
          <w:lang w:val="en-GB"/>
        </w:rPr>
        <w:t>.</w:t>
      </w:r>
    </w:p>
    <w:tbl>
      <w:tblPr>
        <w:tblW w:w="92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3"/>
        <w:gridCol w:w="7616"/>
      </w:tblGrid>
      <w:tr w:rsidR="005E211E" w:rsidRPr="009B282E" w14:paraId="4850AA59" w14:textId="77777777">
        <w:tc>
          <w:tcPr>
            <w:tcW w:w="16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108B93" w14:textId="77777777" w:rsidR="00F17C1D" w:rsidRPr="009275BC" w:rsidRDefault="00F17C1D" w:rsidP="00F32516">
            <w:pPr>
              <w:pStyle w:val="InstructionsText"/>
              <w:rPr>
                <w:rStyle w:val="InstructionsTabelleText"/>
                <w:rFonts w:asciiTheme="minorHAnsi" w:hAnsiTheme="minorHAnsi"/>
                <w:bCs w:val="0"/>
                <w:lang w:eastAsia="en-US"/>
              </w:rPr>
            </w:pPr>
            <w:r w:rsidRPr="009275BC">
              <w:rPr>
                <w:rStyle w:val="InstructionsTabelleText"/>
                <w:rFonts w:asciiTheme="minorHAnsi" w:hAnsiTheme="minorHAnsi"/>
              </w:rPr>
              <w:t>Column code</w:t>
            </w:r>
          </w:p>
        </w:tc>
        <w:tc>
          <w:tcPr>
            <w:tcW w:w="76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C76A95" w14:textId="77777777" w:rsidR="00F17C1D" w:rsidRPr="009275BC" w:rsidRDefault="00F17C1D" w:rsidP="00F32516">
            <w:pPr>
              <w:pStyle w:val="InstructionsText"/>
              <w:rPr>
                <w:rStyle w:val="InstructionsTabelleText"/>
                <w:rFonts w:asciiTheme="minorHAnsi" w:hAnsiTheme="minorHAnsi"/>
                <w:bCs w:val="0"/>
                <w:lang w:eastAsia="en-US"/>
              </w:rPr>
            </w:pPr>
            <w:r w:rsidRPr="009275BC">
              <w:rPr>
                <w:rStyle w:val="InstructionsTabelleText"/>
                <w:rFonts w:asciiTheme="minorHAnsi" w:hAnsiTheme="minorHAnsi"/>
              </w:rPr>
              <w:t>Legal references and instructions</w:t>
            </w:r>
          </w:p>
        </w:tc>
      </w:tr>
      <w:tr w:rsidR="00A10CBD" w:rsidRPr="009B282E" w14:paraId="7B46EC3C" w14:textId="77777777" w:rsidTr="008F67F3">
        <w:tc>
          <w:tcPr>
            <w:tcW w:w="1673" w:type="dxa"/>
            <w:tcBorders>
              <w:top w:val="single" w:sz="4" w:space="0" w:color="auto"/>
              <w:left w:val="single" w:sz="4" w:space="0" w:color="auto"/>
              <w:bottom w:val="single" w:sz="4" w:space="0" w:color="auto"/>
              <w:right w:val="single" w:sz="4" w:space="0" w:color="auto"/>
            </w:tcBorders>
            <w:vAlign w:val="center"/>
          </w:tcPr>
          <w:p w14:paraId="59A3F877" w14:textId="19D4FBB5" w:rsidR="00CA527A" w:rsidRPr="00B407FB" w:rsidRDefault="006D5D76" w:rsidP="00F32516">
            <w:pPr>
              <w:pStyle w:val="InstructionsText"/>
              <w:rPr>
                <w:rStyle w:val="FormatvorlageInstructionsTabelleText"/>
                <w:rFonts w:asciiTheme="minorHAnsi" w:hAnsiTheme="minorHAnsi"/>
              </w:rPr>
            </w:pPr>
            <w:r w:rsidRPr="00B407FB">
              <w:t>C0010</w:t>
            </w:r>
          </w:p>
        </w:tc>
        <w:tc>
          <w:tcPr>
            <w:tcW w:w="76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2E22AF4" w14:textId="043402F4" w:rsidR="00491899" w:rsidRDefault="00491899" w:rsidP="006075C1">
            <w:pPr>
              <w:spacing w:before="0" w:after="0" w:line="240" w:lineRule="auto"/>
              <w:jc w:val="both"/>
              <w:rPr>
                <w:rFonts w:asciiTheme="minorHAnsi" w:eastAsia="Times New Roman" w:hAnsiTheme="minorHAnsi" w:cs="Calibri"/>
                <w:b/>
                <w:bCs/>
                <w:color w:val="000000"/>
                <w:kern w:val="0"/>
                <w:sz w:val="20"/>
                <w:u w:val="single"/>
                <w:lang w:val="en-IE" w:eastAsia="en-IE"/>
              </w:rPr>
            </w:pPr>
            <w:r w:rsidRPr="00190FE7">
              <w:rPr>
                <w:rFonts w:ascii="Aptos" w:eastAsia="Times New Roman" w:hAnsi="Aptos" w:cs="Calibri"/>
                <w:b/>
                <w:bCs/>
                <w:color w:val="000000"/>
                <w:kern w:val="0"/>
                <w:sz w:val="20"/>
                <w:u w:val="single"/>
                <w:lang w:val="en-IE" w:eastAsia="en-IE"/>
              </w:rPr>
              <w:t>The Obliged Entity Has a Transaction/ Monitoring System in Place</w:t>
            </w:r>
          </w:p>
          <w:p w14:paraId="076B8A3D" w14:textId="77777777" w:rsidR="00491899" w:rsidRDefault="00491899" w:rsidP="006075C1">
            <w:pPr>
              <w:spacing w:before="0" w:after="0" w:line="240" w:lineRule="auto"/>
              <w:jc w:val="both"/>
              <w:rPr>
                <w:rFonts w:asciiTheme="minorHAnsi" w:eastAsia="Times New Roman" w:hAnsiTheme="minorHAnsi" w:cs="Calibri"/>
                <w:b/>
                <w:bCs/>
                <w:color w:val="000000"/>
                <w:kern w:val="0"/>
                <w:sz w:val="20"/>
                <w:u w:val="single"/>
                <w:lang w:val="en-IE" w:eastAsia="en-IE"/>
              </w:rPr>
            </w:pPr>
          </w:p>
          <w:p w14:paraId="41B8CD98" w14:textId="5454A829" w:rsidR="00CA527A" w:rsidRDefault="00491899" w:rsidP="006075C1">
            <w:pPr>
              <w:spacing w:before="0" w:after="0" w:line="240" w:lineRule="auto"/>
              <w:jc w:val="both"/>
              <w:rPr>
                <w:rFonts w:asciiTheme="minorHAnsi" w:eastAsia="Times New Roman" w:hAnsiTheme="minorHAnsi" w:cs="Calibri"/>
                <w:b/>
                <w:bCs/>
                <w:color w:val="000000"/>
                <w:kern w:val="0"/>
                <w:sz w:val="20"/>
                <w:u w:val="single"/>
                <w:lang w:val="en-IE" w:eastAsia="en-IE"/>
              </w:rPr>
            </w:pPr>
            <w:r w:rsidRPr="00190FE7">
              <w:rPr>
                <w:rFonts w:asciiTheme="minorHAnsi" w:eastAsia="Times New Roman" w:hAnsiTheme="minorHAnsi" w:cs="Calibri"/>
                <w:color w:val="000000"/>
                <w:kern w:val="0"/>
                <w:sz w:val="20"/>
                <w:lang w:val="en-IE" w:eastAsia="en-IE"/>
              </w:rPr>
              <w:t xml:space="preserve">Indicate whether the </w:t>
            </w:r>
            <w:r w:rsidR="00863B13">
              <w:rPr>
                <w:rFonts w:asciiTheme="minorHAnsi" w:eastAsia="Times New Roman" w:hAnsiTheme="minorHAnsi" w:cs="Calibri"/>
                <w:color w:val="000000"/>
                <w:kern w:val="0"/>
                <w:sz w:val="20"/>
                <w:lang w:val="en-IE" w:eastAsia="en-IE"/>
              </w:rPr>
              <w:t>reporting obliged entity</w:t>
            </w:r>
            <w:r w:rsidRPr="00190FE7">
              <w:rPr>
                <w:rFonts w:asciiTheme="minorHAnsi" w:eastAsia="Times New Roman" w:hAnsiTheme="minorHAnsi" w:cs="Calibri"/>
                <w:color w:val="000000"/>
                <w:kern w:val="0"/>
                <w:sz w:val="20"/>
                <w:lang w:val="en-IE" w:eastAsia="en-IE"/>
              </w:rPr>
              <w:t xml:space="preserve"> </w:t>
            </w:r>
            <w:r w:rsidR="5A05A0B2" w:rsidRPr="3DF695E3">
              <w:rPr>
                <w:rFonts w:asciiTheme="minorHAnsi" w:eastAsia="Times New Roman" w:hAnsiTheme="minorHAnsi" w:cs="Calibri"/>
                <w:color w:val="000000" w:themeColor="text1"/>
                <w:sz w:val="20"/>
                <w:lang w:val="en-IE" w:eastAsia="en-IE"/>
              </w:rPr>
              <w:t>conducts</w:t>
            </w:r>
            <w:r w:rsidRPr="00190FE7">
              <w:rPr>
                <w:rFonts w:asciiTheme="minorHAnsi" w:eastAsia="Times New Roman" w:hAnsiTheme="minorHAnsi" w:cs="Calibri"/>
                <w:color w:val="000000"/>
                <w:kern w:val="0"/>
                <w:sz w:val="20"/>
                <w:lang w:val="en-IE" w:eastAsia="en-IE"/>
              </w:rPr>
              <w:t xml:space="preserve"> ongoing monitoring business relationships,</w:t>
            </w:r>
            <w:r w:rsidRPr="3DF695E3">
              <w:rPr>
                <w:rFonts w:asciiTheme="minorHAnsi" w:eastAsia="Times New Roman" w:hAnsiTheme="minorHAnsi" w:cs="Calibri"/>
                <w:color w:val="000000" w:themeColor="text1"/>
                <w:sz w:val="20"/>
                <w:lang w:val="en-IE" w:eastAsia="en-IE"/>
              </w:rPr>
              <w:t xml:space="preserve"> </w:t>
            </w:r>
            <w:r w:rsidR="3EA91073" w:rsidRPr="3DF695E3">
              <w:rPr>
                <w:rFonts w:asciiTheme="minorHAnsi" w:eastAsia="Times New Roman" w:hAnsiTheme="minorHAnsi" w:cs="Calibri"/>
                <w:color w:val="000000" w:themeColor="text1"/>
                <w:sz w:val="20"/>
                <w:lang w:val="en-IE" w:eastAsia="en-IE"/>
              </w:rPr>
              <w:t xml:space="preserve">including transactions undertaken by the customer throughout the course of a business relationship, </w:t>
            </w:r>
            <w:r w:rsidRPr="00190FE7">
              <w:rPr>
                <w:rFonts w:asciiTheme="minorHAnsi" w:eastAsia="Times New Roman" w:hAnsiTheme="minorHAnsi" w:cs="Calibri"/>
                <w:color w:val="000000"/>
                <w:kern w:val="0"/>
                <w:sz w:val="20"/>
                <w:lang w:val="en-IE" w:eastAsia="en-IE"/>
              </w:rPr>
              <w:t xml:space="preserve">as required by Article 26 </w:t>
            </w:r>
            <w:r w:rsidR="00632313">
              <w:rPr>
                <w:rFonts w:asciiTheme="minorHAnsi" w:eastAsia="Times New Roman" w:hAnsiTheme="minorHAnsi" w:cs="Calibri"/>
                <w:color w:val="000000"/>
                <w:kern w:val="0"/>
                <w:sz w:val="20"/>
                <w:lang w:val="en-IE" w:eastAsia="en-IE"/>
              </w:rPr>
              <w:t>AMLR</w:t>
            </w:r>
            <w:r w:rsidRPr="00190FE7">
              <w:rPr>
                <w:rFonts w:asciiTheme="minorHAnsi" w:eastAsia="Times New Roman" w:hAnsiTheme="minorHAnsi" w:cs="Calibri"/>
                <w:color w:val="000000"/>
                <w:kern w:val="0"/>
                <w:sz w:val="20"/>
                <w:lang w:val="en-IE" w:eastAsia="en-IE"/>
              </w:rPr>
              <w:t>. This can be automated or manual</w:t>
            </w:r>
            <w:r w:rsidR="136818AE" w:rsidRPr="3A007B45">
              <w:rPr>
                <w:rFonts w:asciiTheme="minorHAnsi" w:eastAsia="Times New Roman" w:hAnsiTheme="minorHAnsi" w:cs="Calibri"/>
                <w:color w:val="000000" w:themeColor="text1"/>
                <w:sz w:val="20"/>
                <w:lang w:val="en-IE" w:eastAsia="en-IE"/>
              </w:rPr>
              <w:t xml:space="preserve">, </w:t>
            </w:r>
            <w:r w:rsidR="136818AE" w:rsidRPr="00F55CBC">
              <w:rPr>
                <w:rFonts w:asciiTheme="minorHAnsi" w:eastAsia="Times New Roman" w:hAnsiTheme="minorHAnsi" w:cs="Calibri"/>
                <w:color w:val="000000" w:themeColor="text1"/>
                <w:sz w:val="20"/>
                <w:lang w:val="en-IE" w:eastAsia="en-IE"/>
              </w:rPr>
              <w:t>and outsourced</w:t>
            </w:r>
            <w:r w:rsidR="00F55CBC">
              <w:rPr>
                <w:rFonts w:asciiTheme="minorHAnsi" w:eastAsia="Times New Roman" w:hAnsiTheme="minorHAnsi" w:cs="Calibri"/>
                <w:color w:val="000000" w:themeColor="text1"/>
                <w:sz w:val="20"/>
                <w:lang w:val="en-IE" w:eastAsia="en-IE"/>
              </w:rPr>
              <w:t>.</w:t>
            </w:r>
            <w:r w:rsidR="0C1D3037" w:rsidRPr="3A007B45">
              <w:rPr>
                <w:rFonts w:asciiTheme="minorHAnsi" w:eastAsia="Times New Roman" w:hAnsiTheme="minorHAnsi" w:cs="Calibri"/>
                <w:color w:val="000000" w:themeColor="text1"/>
                <w:sz w:val="20"/>
                <w:lang w:val="en-IE" w:eastAsia="en-IE"/>
              </w:rPr>
              <w:t xml:space="preserve"> </w:t>
            </w:r>
          </w:p>
          <w:p w14:paraId="027FC8CC" w14:textId="4EC41CC3" w:rsidR="00CA527A" w:rsidRPr="00B407FB" w:rsidRDefault="00CA527A" w:rsidP="006075C1">
            <w:pPr>
              <w:spacing w:before="0" w:after="0" w:line="240" w:lineRule="auto"/>
              <w:jc w:val="both"/>
              <w:rPr>
                <w:rFonts w:asciiTheme="minorHAnsi" w:eastAsia="Times New Roman" w:hAnsiTheme="minorHAnsi" w:cs="Calibri"/>
                <w:b/>
                <w:bCs/>
                <w:color w:val="000000"/>
                <w:kern w:val="0"/>
                <w:sz w:val="20"/>
                <w:u w:val="single"/>
                <w:lang w:val="en-IE" w:eastAsia="en-IE"/>
              </w:rPr>
            </w:pPr>
          </w:p>
        </w:tc>
      </w:tr>
      <w:tr w:rsidR="005E211E" w:rsidRPr="009B282E" w14:paraId="4AE6C41F" w14:textId="77777777" w:rsidTr="008F67F3">
        <w:tc>
          <w:tcPr>
            <w:tcW w:w="1673" w:type="dxa"/>
            <w:tcBorders>
              <w:top w:val="single" w:sz="4" w:space="0" w:color="auto"/>
              <w:left w:val="single" w:sz="4" w:space="0" w:color="auto"/>
              <w:bottom w:val="single" w:sz="4" w:space="0" w:color="auto"/>
              <w:right w:val="single" w:sz="4" w:space="0" w:color="auto"/>
            </w:tcBorders>
            <w:vAlign w:val="center"/>
          </w:tcPr>
          <w:p w14:paraId="6AE1A77E" w14:textId="2E168FB5" w:rsidR="00CA527A" w:rsidRPr="00B407FB" w:rsidRDefault="006D5D76" w:rsidP="00F32516">
            <w:pPr>
              <w:pStyle w:val="InstructionsText"/>
              <w:rPr>
                <w:rStyle w:val="FormatvorlageInstructionsTabelleText"/>
                <w:rFonts w:asciiTheme="minorHAnsi" w:hAnsiTheme="minorHAnsi"/>
              </w:rPr>
            </w:pPr>
            <w:r w:rsidRPr="00B407FB">
              <w:t>C0020</w:t>
            </w:r>
          </w:p>
        </w:tc>
        <w:tc>
          <w:tcPr>
            <w:tcW w:w="7616" w:type="dxa"/>
            <w:tcBorders>
              <w:top w:val="nil"/>
              <w:left w:val="single" w:sz="4" w:space="0" w:color="000000" w:themeColor="text1"/>
              <w:bottom w:val="single" w:sz="4" w:space="0" w:color="000000" w:themeColor="text1"/>
              <w:right w:val="single" w:sz="4" w:space="0" w:color="000000" w:themeColor="text1"/>
            </w:tcBorders>
          </w:tcPr>
          <w:p w14:paraId="0B1D01F6" w14:textId="1BC7D70B" w:rsidR="00E75B27" w:rsidRDefault="00B407FB" w:rsidP="00B407FB">
            <w:pPr>
              <w:spacing w:before="100" w:beforeAutospacing="1" w:after="100" w:afterAutospacing="1" w:line="240" w:lineRule="auto"/>
              <w:rPr>
                <w:rFonts w:asciiTheme="minorHAnsi" w:eastAsia="Times New Roman" w:hAnsiTheme="minorHAnsi" w:cs="Segoe UI"/>
                <w:color w:val="262626"/>
                <w:kern w:val="0"/>
                <w:sz w:val="20"/>
                <w:lang w:val="en-IE" w:eastAsia="en-IE"/>
              </w:rPr>
            </w:pPr>
            <w:r w:rsidRPr="00686409">
              <w:rPr>
                <w:rFonts w:asciiTheme="minorHAnsi" w:eastAsia="Times New Roman" w:hAnsiTheme="minorHAnsi" w:cs="Segoe UI"/>
                <w:b/>
                <w:bCs/>
                <w:color w:val="262626"/>
                <w:kern w:val="0"/>
                <w:sz w:val="20"/>
                <w:u w:val="single"/>
                <w:lang w:val="en-IE" w:eastAsia="en-IE"/>
              </w:rPr>
              <w:t>Transaction / Activity Monitoring System Type</w:t>
            </w:r>
          </w:p>
          <w:p w14:paraId="1D4DBD7F" w14:textId="79A52EF8" w:rsidR="00491899" w:rsidRDefault="00491899" w:rsidP="00B407FB">
            <w:pPr>
              <w:spacing w:before="100" w:beforeAutospacing="1" w:after="100" w:afterAutospacing="1" w:line="240" w:lineRule="auto"/>
              <w:rPr>
                <w:rFonts w:asciiTheme="minorHAnsi" w:eastAsia="Times New Roman" w:hAnsiTheme="minorHAnsi" w:cs="Segoe UI"/>
                <w:color w:val="262626"/>
                <w:kern w:val="0"/>
                <w:sz w:val="20"/>
                <w:lang w:val="en-IE" w:eastAsia="en-IE"/>
              </w:rPr>
            </w:pPr>
            <w:r w:rsidRPr="00512961">
              <w:rPr>
                <w:rFonts w:ascii="Aptos" w:eastAsia="Times New Roman" w:hAnsi="Aptos" w:cs="Segoe UI"/>
                <w:sz w:val="20"/>
                <w:lang w:val="en-IE" w:eastAsia="en-IE"/>
              </w:rPr>
              <w:t>Indicate whether the transaction/activity monitoring system is:</w:t>
            </w:r>
            <w:r>
              <w:br/>
            </w:r>
            <w:r>
              <w:br/>
            </w:r>
            <w:r w:rsidRPr="00512961">
              <w:rPr>
                <w:rFonts w:ascii="Aptos" w:eastAsia="Times New Roman" w:hAnsi="Aptos" w:cs="Segoe UI"/>
                <w:sz w:val="20"/>
                <w:lang w:val="en-IE" w:eastAsia="en-IE"/>
              </w:rPr>
              <w:t>a) Not automated; a system where alerts are generated manually in order to identify transactions/activities carried out by customers that could potentially be suspicious from an AML/CFT perspective.</w:t>
            </w:r>
          </w:p>
          <w:p w14:paraId="6DE37AB1" w14:textId="223B9886" w:rsidR="009A1FE6" w:rsidRPr="005A4EA8" w:rsidRDefault="00B407FB" w:rsidP="00003055">
            <w:pPr>
              <w:spacing w:before="100" w:beforeAutospacing="1" w:line="240" w:lineRule="auto"/>
              <w:rPr>
                <w:rFonts w:asciiTheme="minorHAnsi" w:eastAsia="Times New Roman" w:hAnsiTheme="minorHAnsi" w:cs="Calibri"/>
                <w:color w:val="000000"/>
                <w:kern w:val="0"/>
                <w:sz w:val="20"/>
                <w:lang w:val="en-IE" w:eastAsia="en-IE"/>
              </w:rPr>
            </w:pPr>
            <w:r w:rsidRPr="00686409">
              <w:rPr>
                <w:rFonts w:asciiTheme="minorHAnsi" w:eastAsia="Times New Roman" w:hAnsiTheme="minorHAnsi" w:cs="Segoe UI"/>
                <w:color w:val="262626"/>
                <w:kern w:val="0"/>
                <w:sz w:val="20"/>
                <w:lang w:val="en-IE" w:eastAsia="en-IE"/>
              </w:rPr>
              <w:t xml:space="preserve">b) </w:t>
            </w:r>
            <w:r w:rsidRPr="00512961">
              <w:rPr>
                <w:rFonts w:asciiTheme="minorHAnsi" w:eastAsia="Times New Roman" w:hAnsiTheme="minorHAnsi" w:cs="Segoe UI"/>
                <w:color w:val="262626"/>
                <w:kern w:val="0"/>
                <w:sz w:val="20"/>
                <w:lang w:val="en-IE" w:eastAsia="en-IE"/>
              </w:rPr>
              <w:t xml:space="preserve">At least </w:t>
            </w:r>
            <w:r w:rsidR="00BF21E6" w:rsidRPr="00512961">
              <w:rPr>
                <w:rFonts w:asciiTheme="minorHAnsi" w:eastAsia="Times New Roman" w:hAnsiTheme="minorHAnsi" w:cs="Segoe UI"/>
                <w:color w:val="262626"/>
                <w:kern w:val="0"/>
                <w:sz w:val="20"/>
                <w:lang w:eastAsia="en-IE"/>
              </w:rPr>
              <w:t>partially</w:t>
            </w:r>
            <w:r w:rsidRPr="00512961">
              <w:rPr>
                <w:rFonts w:asciiTheme="minorHAnsi" w:eastAsia="Times New Roman" w:hAnsiTheme="minorHAnsi" w:cs="Segoe UI"/>
                <w:color w:val="262626"/>
                <w:kern w:val="0"/>
                <w:sz w:val="20"/>
                <w:lang w:val="en-IE" w:eastAsia="en-IE"/>
              </w:rPr>
              <w:t xml:space="preserve"> automated</w:t>
            </w:r>
            <w:r w:rsidRPr="00686409">
              <w:rPr>
                <w:rFonts w:asciiTheme="minorHAnsi" w:eastAsia="Times New Roman" w:hAnsiTheme="minorHAnsi" w:cs="Segoe UI"/>
                <w:color w:val="262626"/>
                <w:kern w:val="0"/>
                <w:sz w:val="20"/>
                <w:lang w:val="en-IE" w:eastAsia="en-IE"/>
              </w:rPr>
              <w:t>: a system that, as a minimum, automatically generates alerts in order to identify transactions/activities carried out by customers that could potentially be suspicious from an AML/CFT perspective.</w:t>
            </w:r>
          </w:p>
        </w:tc>
      </w:tr>
      <w:tr w:rsidR="005E211E" w:rsidRPr="009B282E" w14:paraId="115870DC" w14:textId="77777777" w:rsidTr="008F67F3">
        <w:trPr>
          <w:trHeight w:val="549"/>
        </w:trPr>
        <w:tc>
          <w:tcPr>
            <w:tcW w:w="1673" w:type="dxa"/>
            <w:tcBorders>
              <w:top w:val="single" w:sz="4" w:space="0" w:color="auto"/>
              <w:left w:val="single" w:sz="4" w:space="0" w:color="auto"/>
              <w:bottom w:val="single" w:sz="4" w:space="0" w:color="auto"/>
              <w:right w:val="single" w:sz="4" w:space="0" w:color="auto"/>
            </w:tcBorders>
            <w:vAlign w:val="center"/>
          </w:tcPr>
          <w:p w14:paraId="11FEC1CA" w14:textId="6F305D2A" w:rsidR="00CA527A" w:rsidRPr="00B407FB" w:rsidRDefault="006D5D76" w:rsidP="00F32516">
            <w:pPr>
              <w:pStyle w:val="InstructionsText"/>
              <w:rPr>
                <w:rStyle w:val="FormatvorlageInstructionsTabelleText"/>
                <w:rFonts w:asciiTheme="minorHAnsi" w:hAnsiTheme="minorHAnsi"/>
              </w:rPr>
            </w:pPr>
            <w:r w:rsidRPr="00B407FB">
              <w:t>C0030</w:t>
            </w:r>
          </w:p>
        </w:tc>
        <w:tc>
          <w:tcPr>
            <w:tcW w:w="7616" w:type="dxa"/>
            <w:tcBorders>
              <w:top w:val="nil"/>
              <w:left w:val="single" w:sz="4" w:space="0" w:color="000000" w:themeColor="text1"/>
              <w:bottom w:val="single" w:sz="4" w:space="0" w:color="000000" w:themeColor="text1"/>
              <w:right w:val="single" w:sz="4" w:space="0" w:color="000000" w:themeColor="text1"/>
            </w:tcBorders>
          </w:tcPr>
          <w:p w14:paraId="18F93EEE" w14:textId="6C9C4C22" w:rsidR="00491899" w:rsidRDefault="00CA527A" w:rsidP="003609E9">
            <w:pPr>
              <w:spacing w:before="0" w:after="0" w:line="240" w:lineRule="auto"/>
              <w:rPr>
                <w:rFonts w:asciiTheme="minorHAnsi" w:eastAsia="Times New Roman" w:hAnsiTheme="minorHAnsi" w:cs="Calibri"/>
                <w:b/>
                <w:bCs/>
                <w:color w:val="000000"/>
                <w:kern w:val="0"/>
                <w:sz w:val="20"/>
                <w:u w:val="single"/>
                <w:lang w:val="en-IE" w:eastAsia="en-IE"/>
              </w:rPr>
            </w:pPr>
            <w:r w:rsidRPr="005A4EA8">
              <w:rPr>
                <w:rFonts w:asciiTheme="minorHAnsi" w:eastAsia="Times New Roman" w:hAnsiTheme="minorHAnsi" w:cs="Calibri"/>
                <w:b/>
                <w:bCs/>
                <w:color w:val="000000"/>
                <w:kern w:val="0"/>
                <w:sz w:val="20"/>
                <w:u w:val="single"/>
                <w:lang w:val="en-IE" w:eastAsia="en-IE"/>
              </w:rPr>
              <w:t xml:space="preserve">If manual system: </w:t>
            </w:r>
            <w:r w:rsidR="00491899" w:rsidRPr="003609E9">
              <w:rPr>
                <w:rFonts w:ascii="Aptos" w:eastAsia="Times New Roman" w:hAnsi="Aptos" w:cs="Calibri"/>
                <w:b/>
                <w:bCs/>
                <w:color w:val="000000"/>
                <w:kern w:val="0"/>
                <w:sz w:val="20"/>
                <w:u w:val="single"/>
                <w:lang w:val="en-IE" w:eastAsia="en-IE"/>
              </w:rPr>
              <w:t>Average Alert Analysis Time (Days)</w:t>
            </w:r>
          </w:p>
          <w:p w14:paraId="45228A93" w14:textId="4A6B7F23" w:rsidR="009A1FE6" w:rsidRPr="005A4EA8" w:rsidRDefault="009A1FE6" w:rsidP="006075C1">
            <w:pPr>
              <w:spacing w:before="0" w:after="0" w:line="240" w:lineRule="auto"/>
              <w:jc w:val="both"/>
              <w:rPr>
                <w:rFonts w:asciiTheme="minorHAnsi" w:eastAsia="Times New Roman" w:hAnsiTheme="minorHAnsi" w:cs="Calibri"/>
                <w:b/>
                <w:bCs/>
                <w:color w:val="000000"/>
                <w:kern w:val="0"/>
                <w:sz w:val="20"/>
                <w:u w:val="single"/>
                <w:lang w:val="en-IE" w:eastAsia="en-IE"/>
              </w:rPr>
            </w:pPr>
          </w:p>
          <w:p w14:paraId="4F992F70" w14:textId="44FC8E68" w:rsidR="00815978" w:rsidRDefault="000F7DCE" w:rsidP="006075C1">
            <w:pPr>
              <w:spacing w:before="0" w:after="0" w:line="240" w:lineRule="auto"/>
              <w:jc w:val="both"/>
              <w:rPr>
                <w:rFonts w:asciiTheme="minorHAnsi" w:eastAsia="Times New Roman" w:hAnsiTheme="minorHAnsi" w:cs="Calibri"/>
                <w:color w:val="000000"/>
                <w:kern w:val="0"/>
                <w:sz w:val="20"/>
                <w:lang w:val="en-GB" w:eastAsia="en-IE"/>
              </w:rPr>
            </w:pPr>
            <w:r w:rsidRPr="003609E9">
              <w:rPr>
                <w:rFonts w:asciiTheme="minorHAnsi" w:eastAsia="Times New Roman" w:hAnsiTheme="minorHAnsi" w:cs="Calibri"/>
                <w:color w:val="000000"/>
                <w:kern w:val="0"/>
                <w:sz w:val="20"/>
                <w:lang w:val="en-IE" w:eastAsia="en-IE"/>
              </w:rPr>
              <w:t xml:space="preserve">Indicate the </w:t>
            </w:r>
            <w:r w:rsidR="00885B98" w:rsidRPr="003609E9">
              <w:rPr>
                <w:rFonts w:asciiTheme="minorHAnsi" w:eastAsia="Times New Roman" w:hAnsiTheme="minorHAnsi" w:cs="Calibri"/>
                <w:color w:val="000000"/>
                <w:kern w:val="0"/>
                <w:sz w:val="20"/>
                <w:lang w:val="en-IE" w:eastAsia="en-IE"/>
              </w:rPr>
              <w:t xml:space="preserve">average </w:t>
            </w:r>
            <w:r w:rsidR="00885B98" w:rsidRPr="00A94307">
              <w:rPr>
                <w:rFonts w:asciiTheme="minorHAnsi" w:eastAsia="Times New Roman" w:hAnsiTheme="minorHAnsi" w:cs="Calibri"/>
                <w:color w:val="000000"/>
                <w:kern w:val="0"/>
                <w:sz w:val="20"/>
                <w:lang w:val="en-GB" w:eastAsia="en-IE"/>
              </w:rPr>
              <w:t>n</w:t>
            </w:r>
            <w:r w:rsidR="00815978" w:rsidRPr="00A94307">
              <w:rPr>
                <w:rFonts w:asciiTheme="minorHAnsi" w:eastAsia="Times New Roman" w:hAnsiTheme="minorHAnsi" w:cs="Calibri"/>
                <w:color w:val="000000"/>
                <w:kern w:val="0"/>
                <w:sz w:val="20"/>
                <w:lang w:val="en-GB" w:eastAsia="en-IE"/>
              </w:rPr>
              <w:t>umber</w:t>
            </w:r>
            <w:r w:rsidR="00815978" w:rsidRPr="005A4EA8">
              <w:rPr>
                <w:rFonts w:asciiTheme="minorHAnsi" w:eastAsia="Times New Roman" w:hAnsiTheme="minorHAnsi" w:cs="Calibri"/>
                <w:color w:val="000000"/>
                <w:kern w:val="0"/>
                <w:sz w:val="20"/>
                <w:lang w:val="en-GB" w:eastAsia="en-IE"/>
              </w:rPr>
              <w:t xml:space="preserve"> of calendar days</w:t>
            </w:r>
            <w:r w:rsidR="00BC3B9F">
              <w:rPr>
                <w:rFonts w:asciiTheme="minorHAnsi" w:eastAsia="Times New Roman" w:hAnsiTheme="minorHAnsi" w:cs="Calibri"/>
                <w:color w:val="000000"/>
                <w:kern w:val="0"/>
                <w:sz w:val="20"/>
                <w:lang w:val="en-GB" w:eastAsia="en-IE"/>
              </w:rPr>
              <w:t xml:space="preserve"> between the </w:t>
            </w:r>
            <w:r w:rsidR="00885B98" w:rsidRPr="003609E9">
              <w:rPr>
                <w:rFonts w:asciiTheme="minorHAnsi" w:eastAsia="Times New Roman" w:hAnsiTheme="minorHAnsi" w:cs="Calibri"/>
                <w:color w:val="000000"/>
                <w:kern w:val="0"/>
                <w:sz w:val="20"/>
                <w:lang w:val="en-IE" w:eastAsia="en-IE"/>
              </w:rPr>
              <w:t xml:space="preserve">moment in which the transaction occurred </w:t>
            </w:r>
            <w:r w:rsidR="00BC3B9F">
              <w:rPr>
                <w:rFonts w:asciiTheme="minorHAnsi" w:eastAsia="Times New Roman" w:hAnsiTheme="minorHAnsi" w:cs="Calibri"/>
                <w:color w:val="000000"/>
                <w:kern w:val="0"/>
                <w:sz w:val="20"/>
                <w:lang w:val="en-GB" w:eastAsia="en-IE"/>
              </w:rPr>
              <w:t xml:space="preserve">and </w:t>
            </w:r>
            <w:r w:rsidR="00D4021A">
              <w:rPr>
                <w:rFonts w:asciiTheme="minorHAnsi" w:eastAsia="Times New Roman" w:hAnsiTheme="minorHAnsi" w:cs="Calibri"/>
                <w:color w:val="000000"/>
                <w:kern w:val="0"/>
                <w:sz w:val="20"/>
                <w:lang w:val="en-GB" w:eastAsia="en-IE"/>
              </w:rPr>
              <w:t>completion of the analysis</w:t>
            </w:r>
            <w:r w:rsidR="009A1FE6" w:rsidRPr="005A4EA8">
              <w:rPr>
                <w:rFonts w:asciiTheme="minorHAnsi" w:eastAsia="Times New Roman" w:hAnsiTheme="minorHAnsi" w:cs="Calibri"/>
                <w:color w:val="000000"/>
                <w:kern w:val="0"/>
                <w:sz w:val="20"/>
                <w:lang w:val="en-GB" w:eastAsia="en-IE"/>
              </w:rPr>
              <w:t>.</w:t>
            </w:r>
          </w:p>
          <w:p w14:paraId="4A404EC1" w14:textId="77777777" w:rsidR="00885B98" w:rsidRPr="00A94307" w:rsidRDefault="00885B98" w:rsidP="006075C1">
            <w:pPr>
              <w:spacing w:before="0" w:after="0" w:line="240" w:lineRule="auto"/>
              <w:jc w:val="both"/>
              <w:rPr>
                <w:rFonts w:asciiTheme="minorHAnsi" w:eastAsia="Times New Roman" w:hAnsiTheme="minorHAnsi" w:cs="Calibri"/>
                <w:color w:val="000000"/>
                <w:kern w:val="0"/>
                <w:sz w:val="20"/>
                <w:lang w:val="en-IE" w:eastAsia="en-IE"/>
              </w:rPr>
            </w:pPr>
          </w:p>
          <w:p w14:paraId="70E0BC00" w14:textId="40D5F730" w:rsidR="009A1FE6" w:rsidRDefault="00FE0764" w:rsidP="006075C1">
            <w:pPr>
              <w:spacing w:before="0" w:after="0" w:line="240" w:lineRule="auto"/>
              <w:jc w:val="both"/>
              <w:rPr>
                <w:rFonts w:asciiTheme="minorHAnsi" w:eastAsia="Times New Roman" w:hAnsiTheme="minorHAnsi" w:cs="Calibri"/>
                <w:color w:val="000000"/>
                <w:kern w:val="0"/>
                <w:sz w:val="20"/>
                <w:lang w:val="en-IE" w:eastAsia="en-IE"/>
              </w:rPr>
            </w:pPr>
            <w:r w:rsidRPr="00FE0764">
              <w:rPr>
                <w:rFonts w:asciiTheme="minorHAnsi" w:eastAsia="Times New Roman" w:hAnsiTheme="minorHAnsi" w:cs="Calibri"/>
                <w:color w:val="000000"/>
                <w:kern w:val="0"/>
                <w:sz w:val="20"/>
                <w:lang w:val="en-IE" w:eastAsia="en-IE"/>
              </w:rPr>
              <w:t xml:space="preserve">For obliged </w:t>
            </w:r>
            <w:r w:rsidR="003A5D94">
              <w:rPr>
                <w:rFonts w:asciiTheme="minorHAnsi" w:eastAsia="Times New Roman" w:hAnsiTheme="minorHAnsi" w:cs="Calibri"/>
                <w:color w:val="000000"/>
                <w:kern w:val="0"/>
                <w:sz w:val="20"/>
                <w:lang w:val="en-IE" w:eastAsia="en-IE"/>
              </w:rPr>
              <w:t>reporting</w:t>
            </w:r>
            <w:r w:rsidRPr="00FE0764">
              <w:rPr>
                <w:rFonts w:asciiTheme="minorHAnsi" w:eastAsia="Times New Roman" w:hAnsiTheme="minorHAnsi" w:cs="Calibri"/>
                <w:color w:val="000000"/>
                <w:kern w:val="0"/>
                <w:sz w:val="20"/>
                <w:lang w:val="en-IE" w:eastAsia="en-IE"/>
              </w:rPr>
              <w:t xml:space="preserve"> entities using </w:t>
            </w:r>
            <w:r w:rsidRPr="00F96F3D">
              <w:rPr>
                <w:rFonts w:asciiTheme="minorHAnsi" w:eastAsia="Times New Roman" w:hAnsiTheme="minorHAnsi" w:cs="Calibri"/>
                <w:color w:val="000000"/>
                <w:kern w:val="0"/>
                <w:sz w:val="20"/>
                <w:lang w:val="en-IE" w:eastAsia="en-IE"/>
              </w:rPr>
              <w:t>event-driven monitoring analysis</w:t>
            </w:r>
            <w:r w:rsidR="00BC3B9F">
              <w:rPr>
                <w:rFonts w:asciiTheme="minorHAnsi" w:eastAsia="Times New Roman" w:hAnsiTheme="minorHAnsi" w:cs="Calibri"/>
                <w:color w:val="000000"/>
                <w:kern w:val="0"/>
                <w:sz w:val="20"/>
                <w:lang w:val="en-IE" w:eastAsia="en-IE"/>
              </w:rPr>
              <w:t>,</w:t>
            </w:r>
            <w:r w:rsidRPr="00FE0764">
              <w:rPr>
                <w:rFonts w:asciiTheme="minorHAnsi" w:eastAsia="Times New Roman" w:hAnsiTheme="minorHAnsi" w:cs="Calibri"/>
                <w:color w:val="000000"/>
                <w:kern w:val="0"/>
                <w:sz w:val="20"/>
                <w:lang w:val="en-IE" w:eastAsia="en-IE"/>
              </w:rPr>
              <w:t xml:space="preserve"> </w:t>
            </w:r>
            <w:r w:rsidR="00BC3B9F">
              <w:rPr>
                <w:rFonts w:asciiTheme="minorHAnsi" w:eastAsia="Times New Roman" w:hAnsiTheme="minorHAnsi" w:cs="Calibri"/>
                <w:color w:val="000000"/>
                <w:kern w:val="0"/>
                <w:sz w:val="20"/>
                <w:lang w:val="en-IE" w:eastAsia="en-IE"/>
              </w:rPr>
              <w:t>t</w:t>
            </w:r>
            <w:r w:rsidRPr="00FE0764">
              <w:rPr>
                <w:rFonts w:asciiTheme="minorHAnsi" w:eastAsia="Times New Roman" w:hAnsiTheme="minorHAnsi" w:cs="Calibri"/>
                <w:color w:val="000000"/>
                <w:kern w:val="0"/>
                <w:sz w:val="20"/>
                <w:lang w:val="en-IE" w:eastAsia="en-IE"/>
              </w:rPr>
              <w:t>he reported timeframe should reflect the time from when the activity became available to the entity for review to the completion of the analysis.</w:t>
            </w:r>
          </w:p>
          <w:p w14:paraId="755D24C4" w14:textId="4A803F29" w:rsidR="00B023FB" w:rsidRPr="005A4EA8" w:rsidRDefault="00B023FB" w:rsidP="006075C1">
            <w:pPr>
              <w:spacing w:before="0" w:after="0" w:line="240" w:lineRule="auto"/>
              <w:jc w:val="both"/>
              <w:rPr>
                <w:rFonts w:asciiTheme="minorHAnsi" w:eastAsia="Times New Roman" w:hAnsiTheme="minorHAnsi" w:cs="Calibri"/>
                <w:color w:val="000000"/>
                <w:kern w:val="0"/>
                <w:sz w:val="20"/>
                <w:lang w:val="en-IE" w:eastAsia="en-IE"/>
              </w:rPr>
            </w:pPr>
          </w:p>
        </w:tc>
      </w:tr>
      <w:tr w:rsidR="005E211E" w:rsidRPr="009B282E" w14:paraId="59060B95" w14:textId="77777777" w:rsidTr="005A4EA8">
        <w:tc>
          <w:tcPr>
            <w:tcW w:w="1673" w:type="dxa"/>
            <w:tcBorders>
              <w:top w:val="single" w:sz="4" w:space="0" w:color="auto"/>
              <w:left w:val="single" w:sz="4" w:space="0" w:color="auto"/>
              <w:bottom w:val="single" w:sz="4" w:space="0" w:color="auto"/>
              <w:right w:val="single" w:sz="4" w:space="0" w:color="auto"/>
            </w:tcBorders>
            <w:vAlign w:val="center"/>
          </w:tcPr>
          <w:p w14:paraId="774DBAA3" w14:textId="598D1B84" w:rsidR="00E237DF" w:rsidRPr="00B407FB" w:rsidRDefault="00487D8E" w:rsidP="00F32516">
            <w:pPr>
              <w:pStyle w:val="InstructionsText"/>
              <w:rPr>
                <w:rStyle w:val="FormatvorlageInstructionsTabelleText"/>
                <w:rFonts w:asciiTheme="minorHAnsi" w:hAnsiTheme="minorHAnsi"/>
              </w:rPr>
            </w:pPr>
            <w:r w:rsidRPr="00B407FB">
              <w:t>C00</w:t>
            </w:r>
            <w:r w:rsidR="00884A5A" w:rsidRPr="00B407FB">
              <w:t>4</w:t>
            </w:r>
            <w:r w:rsidRPr="00B407FB">
              <w:t>0</w:t>
            </w:r>
          </w:p>
        </w:tc>
        <w:tc>
          <w:tcPr>
            <w:tcW w:w="7616" w:type="dxa"/>
            <w:tcBorders>
              <w:top w:val="nil"/>
              <w:left w:val="single" w:sz="4" w:space="0" w:color="000000" w:themeColor="text1"/>
              <w:bottom w:val="single" w:sz="4" w:space="0" w:color="000000" w:themeColor="text1"/>
              <w:right w:val="single" w:sz="4" w:space="0" w:color="000000" w:themeColor="text1"/>
            </w:tcBorders>
          </w:tcPr>
          <w:p w14:paraId="79E77810" w14:textId="3C92751C" w:rsidR="00D62D07" w:rsidRDefault="00491899" w:rsidP="00CA527A">
            <w:pPr>
              <w:spacing w:before="0" w:after="0" w:line="240" w:lineRule="auto"/>
              <w:jc w:val="both"/>
              <w:rPr>
                <w:rStyle w:val="cf01"/>
                <w:rFonts w:asciiTheme="minorHAnsi" w:hAnsiTheme="minorHAnsi" w:cs="Times New Roman"/>
                <w:sz w:val="20"/>
                <w:szCs w:val="20"/>
              </w:rPr>
            </w:pPr>
            <w:r w:rsidRPr="003609E9">
              <w:rPr>
                <w:rFonts w:ascii="Aptos" w:eastAsia="Times New Roman" w:hAnsi="Aptos" w:cs="Calibri"/>
                <w:b/>
                <w:bCs/>
                <w:color w:val="000000"/>
                <w:kern w:val="0"/>
                <w:sz w:val="20"/>
                <w:u w:val="single"/>
                <w:lang w:val="en-IE" w:eastAsia="en-IE"/>
              </w:rPr>
              <w:t xml:space="preserve">Automated Monitoring System </w:t>
            </w:r>
            <w:r w:rsidR="00DD488A">
              <w:rPr>
                <w:rFonts w:ascii="Aptos" w:eastAsia="Times New Roman" w:hAnsi="Aptos" w:cs="Calibri"/>
                <w:b/>
                <w:bCs/>
                <w:color w:val="000000"/>
                <w:kern w:val="0"/>
                <w:sz w:val="20"/>
                <w:u w:val="single"/>
                <w:lang w:val="en-IE" w:eastAsia="en-IE"/>
              </w:rPr>
              <w:t xml:space="preserve">- </w:t>
            </w:r>
            <w:r w:rsidRPr="003609E9">
              <w:rPr>
                <w:rFonts w:ascii="Aptos" w:eastAsia="Times New Roman" w:hAnsi="Aptos" w:cs="Calibri"/>
                <w:b/>
                <w:bCs/>
                <w:color w:val="000000"/>
                <w:kern w:val="0"/>
                <w:sz w:val="20"/>
                <w:u w:val="single"/>
                <w:lang w:val="en-IE" w:eastAsia="en-IE"/>
              </w:rPr>
              <w:t>Alerts on</w:t>
            </w:r>
            <w:r w:rsidR="00DD488A">
              <w:rPr>
                <w:rFonts w:ascii="Aptos" w:eastAsia="Times New Roman" w:hAnsi="Aptos" w:cs="Calibri"/>
                <w:b/>
                <w:bCs/>
                <w:color w:val="000000"/>
                <w:kern w:val="0"/>
                <w:sz w:val="20"/>
                <w:u w:val="single"/>
                <w:lang w:val="en-IE" w:eastAsia="en-IE"/>
              </w:rPr>
              <w:t xml:space="preserve"> </w:t>
            </w:r>
            <w:r w:rsidR="00EB2EAF">
              <w:rPr>
                <w:rFonts w:ascii="Aptos" w:eastAsia="Times New Roman" w:hAnsi="Aptos" w:cs="Calibri"/>
                <w:b/>
                <w:bCs/>
                <w:color w:val="000000"/>
                <w:kern w:val="0"/>
                <w:sz w:val="20"/>
                <w:u w:val="single"/>
                <w:lang w:val="en-IE" w:eastAsia="en-IE"/>
              </w:rPr>
              <w:t>Inconsistencies</w:t>
            </w:r>
            <w:r w:rsidR="00DD488A">
              <w:rPr>
                <w:rFonts w:ascii="Aptos" w:eastAsia="Times New Roman" w:hAnsi="Aptos" w:cs="Calibri"/>
                <w:b/>
                <w:bCs/>
                <w:color w:val="000000"/>
                <w:kern w:val="0"/>
                <w:sz w:val="20"/>
                <w:u w:val="single"/>
                <w:lang w:val="en-IE" w:eastAsia="en-IE"/>
              </w:rPr>
              <w:t xml:space="preserve"> with Expected</w:t>
            </w:r>
            <w:r w:rsidRPr="003609E9">
              <w:rPr>
                <w:rFonts w:ascii="Aptos" w:eastAsia="Times New Roman" w:hAnsi="Aptos" w:cs="Calibri"/>
                <w:b/>
                <w:bCs/>
                <w:color w:val="000000"/>
                <w:kern w:val="0"/>
                <w:sz w:val="20"/>
                <w:u w:val="single"/>
                <w:lang w:val="en-IE" w:eastAsia="en-IE"/>
              </w:rPr>
              <w:t xml:space="preserve"> Number of Transactions</w:t>
            </w:r>
          </w:p>
          <w:p w14:paraId="22C4DD61" w14:textId="77777777" w:rsidR="001256BA" w:rsidRDefault="001256BA" w:rsidP="00CA527A">
            <w:pPr>
              <w:spacing w:before="0" w:after="0" w:line="240" w:lineRule="auto"/>
              <w:jc w:val="both"/>
              <w:rPr>
                <w:rStyle w:val="cf01"/>
                <w:rFonts w:asciiTheme="minorHAnsi" w:hAnsiTheme="minorHAnsi" w:cs="Times New Roman"/>
                <w:sz w:val="20"/>
                <w:szCs w:val="20"/>
              </w:rPr>
            </w:pPr>
          </w:p>
          <w:p w14:paraId="0E068432" w14:textId="12920678" w:rsidR="000C1096" w:rsidRPr="005F5EDE" w:rsidRDefault="00D62D07" w:rsidP="00CA527A">
            <w:pPr>
              <w:spacing w:before="0" w:after="0" w:line="240" w:lineRule="auto"/>
              <w:jc w:val="both"/>
              <w:rPr>
                <w:rStyle w:val="cf01"/>
                <w:rFonts w:asciiTheme="minorHAnsi" w:hAnsiTheme="minorHAnsi" w:cs="Times New Roman"/>
                <w:sz w:val="20"/>
                <w:szCs w:val="20"/>
              </w:rPr>
            </w:pPr>
            <w:r w:rsidRPr="005F5EDE">
              <w:rPr>
                <w:rStyle w:val="cf01"/>
                <w:rFonts w:asciiTheme="minorHAnsi" w:hAnsiTheme="minorHAnsi" w:cs="Times New Roman"/>
                <w:sz w:val="20"/>
                <w:szCs w:val="20"/>
              </w:rPr>
              <w:t xml:space="preserve">If the transaction monitoring system is at least partly automated, indicate whether the system can generate alerts in case of inconsistencies between </w:t>
            </w:r>
            <w:r>
              <w:rPr>
                <w:rStyle w:val="cf01"/>
                <w:rFonts w:asciiTheme="minorHAnsi" w:hAnsiTheme="minorHAnsi" w:cs="Times New Roman"/>
                <w:sz w:val="20"/>
                <w:szCs w:val="20"/>
              </w:rPr>
              <w:t xml:space="preserve">the expected </w:t>
            </w:r>
            <w:r w:rsidR="002F399E">
              <w:rPr>
                <w:rStyle w:val="cf01"/>
                <w:rFonts w:asciiTheme="minorHAnsi" w:hAnsiTheme="minorHAnsi" w:cs="Times New Roman"/>
                <w:sz w:val="20"/>
                <w:szCs w:val="20"/>
              </w:rPr>
              <w:t>activity</w:t>
            </w:r>
            <w:r>
              <w:rPr>
                <w:rStyle w:val="cf01"/>
                <w:rFonts w:asciiTheme="minorHAnsi" w:hAnsiTheme="minorHAnsi" w:cs="Times New Roman"/>
                <w:sz w:val="20"/>
                <w:szCs w:val="20"/>
              </w:rPr>
              <w:t xml:space="preserve"> of</w:t>
            </w:r>
            <w:r w:rsidRPr="005F5EDE">
              <w:rPr>
                <w:rStyle w:val="cf01"/>
                <w:rFonts w:asciiTheme="minorHAnsi" w:hAnsiTheme="minorHAnsi" w:cs="Times New Roman"/>
                <w:sz w:val="20"/>
                <w:szCs w:val="20"/>
              </w:rPr>
              <w:t xml:space="preserve"> the customer</w:t>
            </w:r>
            <w:r>
              <w:rPr>
                <w:rStyle w:val="cf01"/>
                <w:rFonts w:asciiTheme="minorHAnsi" w:hAnsiTheme="minorHAnsi" w:cs="Times New Roman"/>
                <w:sz w:val="20"/>
                <w:szCs w:val="20"/>
              </w:rPr>
              <w:t xml:space="preserve"> </w:t>
            </w:r>
            <w:r w:rsidR="00B30F90">
              <w:rPr>
                <w:rStyle w:val="cf01"/>
                <w:rFonts w:asciiTheme="minorHAnsi" w:hAnsiTheme="minorHAnsi" w:cs="Times New Roman"/>
                <w:sz w:val="20"/>
                <w:szCs w:val="20"/>
              </w:rPr>
              <w:t>(</w:t>
            </w:r>
            <w:r>
              <w:rPr>
                <w:rStyle w:val="cf01"/>
                <w:rFonts w:asciiTheme="minorHAnsi" w:hAnsiTheme="minorHAnsi" w:cs="Times New Roman"/>
                <w:sz w:val="20"/>
                <w:szCs w:val="20"/>
              </w:rPr>
              <w:t xml:space="preserve">as per the purpose and intended nature </w:t>
            </w:r>
            <w:r w:rsidR="00820CA0">
              <w:rPr>
                <w:rStyle w:val="cf01"/>
                <w:rFonts w:asciiTheme="minorHAnsi" w:hAnsiTheme="minorHAnsi" w:cs="Times New Roman"/>
                <w:sz w:val="20"/>
                <w:szCs w:val="20"/>
              </w:rPr>
              <w:t>of the business relationship</w:t>
            </w:r>
            <w:r w:rsidR="00284882">
              <w:rPr>
                <w:rStyle w:val="cf01"/>
                <w:rFonts w:asciiTheme="minorHAnsi" w:hAnsiTheme="minorHAnsi" w:cs="Times New Roman"/>
                <w:sz w:val="20"/>
                <w:szCs w:val="20"/>
              </w:rPr>
              <w:t xml:space="preserve"> and any other relevant information</w:t>
            </w:r>
            <w:r w:rsidR="00E46284">
              <w:rPr>
                <w:rStyle w:val="cf01"/>
                <w:rFonts w:asciiTheme="minorHAnsi" w:hAnsiTheme="minorHAnsi" w:cs="Times New Roman"/>
                <w:sz w:val="20"/>
                <w:szCs w:val="20"/>
              </w:rPr>
              <w:t xml:space="preserve"> feeding the customer profile, such as CDD</w:t>
            </w:r>
            <w:r w:rsidR="00B30F90">
              <w:rPr>
                <w:rStyle w:val="cf01"/>
                <w:rFonts w:asciiTheme="minorHAnsi" w:hAnsiTheme="minorHAnsi" w:cs="Times New Roman"/>
                <w:sz w:val="20"/>
                <w:szCs w:val="20"/>
              </w:rPr>
              <w:t>)</w:t>
            </w:r>
            <w:r w:rsidRPr="005F5EDE">
              <w:rPr>
                <w:rStyle w:val="cf01"/>
                <w:rFonts w:asciiTheme="minorHAnsi" w:hAnsiTheme="minorHAnsi" w:cs="Times New Roman"/>
                <w:sz w:val="20"/>
                <w:szCs w:val="20"/>
              </w:rPr>
              <w:t xml:space="preserve"> and the </w:t>
            </w:r>
            <w:r w:rsidRPr="003609E9">
              <w:rPr>
                <w:rStyle w:val="cf01"/>
                <w:rFonts w:asciiTheme="minorHAnsi" w:hAnsiTheme="minorHAnsi" w:cs="Times New Roman"/>
                <w:sz w:val="20"/>
                <w:szCs w:val="20"/>
              </w:rPr>
              <w:t>Number of Transactions</w:t>
            </w:r>
            <w:r w:rsidR="00241BE6">
              <w:rPr>
                <w:rStyle w:val="CommentReference"/>
                <w:rFonts w:asciiTheme="minorHAnsi" w:hAnsiTheme="minorHAnsi"/>
                <w:color w:val="262626"/>
                <w:sz w:val="20"/>
              </w:rPr>
              <w:t xml:space="preserve"> </w:t>
            </w:r>
            <w:r w:rsidR="001256BA">
              <w:rPr>
                <w:rStyle w:val="CommentReference"/>
                <w:rFonts w:asciiTheme="minorHAnsi" w:hAnsiTheme="minorHAnsi"/>
                <w:color w:val="262626"/>
                <w:sz w:val="20"/>
              </w:rPr>
              <w:t>related</w:t>
            </w:r>
            <w:r w:rsidR="00E8643B">
              <w:rPr>
                <w:rStyle w:val="CommentReference"/>
                <w:rFonts w:asciiTheme="minorHAnsi" w:hAnsiTheme="minorHAnsi"/>
                <w:color w:val="262626"/>
                <w:sz w:val="20"/>
              </w:rPr>
              <w:t xml:space="preserve"> </w:t>
            </w:r>
            <w:r w:rsidR="00E8643B">
              <w:rPr>
                <w:rStyle w:val="cf01"/>
                <w:rFonts w:asciiTheme="minorHAnsi" w:hAnsiTheme="minorHAnsi" w:cs="Times New Roman"/>
                <w:sz w:val="20"/>
                <w:szCs w:val="20"/>
              </w:rPr>
              <w:t xml:space="preserve">to </w:t>
            </w:r>
            <w:r w:rsidR="003A670C">
              <w:rPr>
                <w:rStyle w:val="cf01"/>
                <w:rFonts w:asciiTheme="minorHAnsi" w:hAnsiTheme="minorHAnsi" w:cs="Times New Roman"/>
                <w:sz w:val="20"/>
                <w:szCs w:val="20"/>
              </w:rPr>
              <w:t xml:space="preserve">the </w:t>
            </w:r>
            <w:r w:rsidR="00E8643B">
              <w:rPr>
                <w:rStyle w:val="cf01"/>
                <w:rFonts w:asciiTheme="minorHAnsi" w:hAnsiTheme="minorHAnsi" w:cs="Times New Roman"/>
                <w:sz w:val="20"/>
                <w:szCs w:val="20"/>
              </w:rPr>
              <w:t xml:space="preserve">customer </w:t>
            </w:r>
            <w:r w:rsidR="00241BE6">
              <w:rPr>
                <w:rStyle w:val="cf01"/>
                <w:rFonts w:asciiTheme="minorHAnsi" w:hAnsiTheme="minorHAnsi" w:cs="Times New Roman"/>
                <w:sz w:val="20"/>
                <w:szCs w:val="20"/>
              </w:rPr>
              <w:t>within the monitoring period applied in the entity’s monitoring framework</w:t>
            </w:r>
            <w:r w:rsidR="003A670C">
              <w:rPr>
                <w:rStyle w:val="cf01"/>
                <w:rFonts w:asciiTheme="minorHAnsi" w:hAnsiTheme="minorHAnsi" w:cs="Times New Roman"/>
                <w:sz w:val="20"/>
                <w:szCs w:val="20"/>
              </w:rPr>
              <w:t xml:space="preserve">. </w:t>
            </w:r>
          </w:p>
          <w:p w14:paraId="7BFDF752" w14:textId="654EC52E" w:rsidR="009A1FE6" w:rsidRPr="005F5EDE" w:rsidRDefault="009A1FE6" w:rsidP="00CA527A">
            <w:pPr>
              <w:spacing w:before="0" w:after="0" w:line="240" w:lineRule="auto"/>
              <w:jc w:val="both"/>
              <w:rPr>
                <w:rFonts w:asciiTheme="minorHAnsi" w:eastAsia="Times New Roman" w:hAnsiTheme="minorHAnsi"/>
                <w:b/>
                <w:bCs/>
                <w:color w:val="000000"/>
                <w:kern w:val="0"/>
                <w:sz w:val="20"/>
                <w:u w:val="single"/>
                <w:lang w:val="en-IE" w:eastAsia="en-IE"/>
              </w:rPr>
            </w:pPr>
          </w:p>
        </w:tc>
      </w:tr>
      <w:tr w:rsidR="005E211E" w:rsidRPr="009B282E" w14:paraId="2EEFA2C2" w14:textId="77777777" w:rsidTr="005A4EA8">
        <w:tc>
          <w:tcPr>
            <w:tcW w:w="1673" w:type="dxa"/>
            <w:tcBorders>
              <w:top w:val="single" w:sz="4" w:space="0" w:color="auto"/>
              <w:left w:val="single" w:sz="4" w:space="0" w:color="auto"/>
              <w:bottom w:val="single" w:sz="4" w:space="0" w:color="auto"/>
              <w:right w:val="single" w:sz="4" w:space="0" w:color="auto"/>
            </w:tcBorders>
            <w:vAlign w:val="center"/>
          </w:tcPr>
          <w:p w14:paraId="1650DD7B" w14:textId="650AE2E6" w:rsidR="00E237DF" w:rsidRPr="00B407FB" w:rsidRDefault="00487D8E" w:rsidP="00F32516">
            <w:pPr>
              <w:pStyle w:val="InstructionsText"/>
              <w:rPr>
                <w:rStyle w:val="FormatvorlageInstructionsTabelleText"/>
                <w:rFonts w:asciiTheme="minorHAnsi" w:hAnsiTheme="minorHAnsi"/>
              </w:rPr>
            </w:pPr>
            <w:r w:rsidRPr="00B407FB">
              <w:t>C00</w:t>
            </w:r>
            <w:r w:rsidR="00884A5A" w:rsidRPr="00B407FB">
              <w:t>5</w:t>
            </w:r>
            <w:r w:rsidRPr="00B407FB">
              <w:t>0</w:t>
            </w:r>
          </w:p>
        </w:tc>
        <w:tc>
          <w:tcPr>
            <w:tcW w:w="7616" w:type="dxa"/>
            <w:tcBorders>
              <w:top w:val="nil"/>
              <w:left w:val="single" w:sz="4" w:space="0" w:color="000000" w:themeColor="text1"/>
              <w:bottom w:val="single" w:sz="4" w:space="0" w:color="000000" w:themeColor="text1"/>
              <w:right w:val="single" w:sz="4" w:space="0" w:color="000000" w:themeColor="text1"/>
            </w:tcBorders>
          </w:tcPr>
          <w:p w14:paraId="36F5FD66" w14:textId="77777777" w:rsidR="001256BA" w:rsidRDefault="00491899" w:rsidP="00CA527A">
            <w:pPr>
              <w:spacing w:before="0" w:after="0" w:line="240" w:lineRule="auto"/>
              <w:jc w:val="both"/>
              <w:rPr>
                <w:rFonts w:ascii="Aptos" w:eastAsia="Times New Roman" w:hAnsi="Aptos" w:cs="Calibri"/>
                <w:b/>
                <w:bCs/>
                <w:color w:val="000000"/>
                <w:kern w:val="0"/>
                <w:sz w:val="20"/>
                <w:u w:val="single"/>
                <w:lang w:val="en-IE" w:eastAsia="en-IE"/>
              </w:rPr>
            </w:pPr>
            <w:r w:rsidRPr="003609E9">
              <w:rPr>
                <w:rFonts w:ascii="Aptos" w:eastAsia="Times New Roman" w:hAnsi="Aptos" w:cs="Calibri"/>
                <w:b/>
                <w:bCs/>
                <w:color w:val="000000"/>
                <w:kern w:val="0"/>
                <w:sz w:val="20"/>
                <w:u w:val="single"/>
                <w:lang w:val="en-IE" w:eastAsia="en-IE"/>
              </w:rPr>
              <w:t xml:space="preserve">Automated Monitoring System </w:t>
            </w:r>
            <w:r w:rsidR="003609E9">
              <w:rPr>
                <w:rFonts w:ascii="Aptos" w:eastAsia="Times New Roman" w:hAnsi="Aptos" w:cs="Calibri"/>
                <w:b/>
                <w:bCs/>
                <w:color w:val="000000"/>
                <w:kern w:val="0"/>
                <w:sz w:val="20"/>
                <w:u w:val="single"/>
                <w:lang w:val="en-IE" w:eastAsia="en-IE"/>
              </w:rPr>
              <w:t>-</w:t>
            </w:r>
            <w:r w:rsidRPr="003609E9">
              <w:rPr>
                <w:rFonts w:ascii="Aptos" w:eastAsia="Times New Roman" w:hAnsi="Aptos" w:cs="Calibri"/>
                <w:b/>
                <w:bCs/>
                <w:color w:val="000000"/>
                <w:kern w:val="0"/>
                <w:sz w:val="20"/>
                <w:u w:val="single"/>
                <w:lang w:val="en-IE" w:eastAsia="en-IE"/>
              </w:rPr>
              <w:t xml:space="preserve">Alerts on </w:t>
            </w:r>
            <w:r w:rsidR="00DD488A">
              <w:rPr>
                <w:rFonts w:ascii="Aptos" w:eastAsia="Times New Roman" w:hAnsi="Aptos" w:cs="Calibri"/>
                <w:b/>
                <w:bCs/>
                <w:color w:val="000000"/>
                <w:kern w:val="0"/>
                <w:sz w:val="20"/>
                <w:u w:val="single"/>
                <w:lang w:val="en-IE" w:eastAsia="en-IE"/>
              </w:rPr>
              <w:t xml:space="preserve">Inconsistencies with Expected </w:t>
            </w:r>
            <w:r w:rsidRPr="003609E9">
              <w:rPr>
                <w:rFonts w:ascii="Aptos" w:eastAsia="Times New Roman" w:hAnsi="Aptos" w:cs="Calibri"/>
                <w:b/>
                <w:bCs/>
                <w:color w:val="000000"/>
                <w:kern w:val="0"/>
                <w:sz w:val="20"/>
                <w:u w:val="single"/>
                <w:lang w:val="en-IE" w:eastAsia="en-IE"/>
              </w:rPr>
              <w:t>Value of Aggregated Transactions</w:t>
            </w:r>
          </w:p>
          <w:p w14:paraId="23BCCBC4" w14:textId="77777777" w:rsidR="001256BA" w:rsidRDefault="001256BA" w:rsidP="00CA527A">
            <w:pPr>
              <w:spacing w:before="0" w:after="0" w:line="240" w:lineRule="auto"/>
              <w:jc w:val="both"/>
              <w:rPr>
                <w:rFonts w:ascii="Aptos" w:eastAsia="Times New Roman" w:hAnsi="Aptos" w:cs="Calibri"/>
                <w:b/>
                <w:bCs/>
                <w:color w:val="000000"/>
                <w:kern w:val="0"/>
                <w:u w:val="single"/>
                <w:lang w:val="en-IE" w:eastAsia="en-IE"/>
              </w:rPr>
            </w:pPr>
          </w:p>
          <w:p w14:paraId="34F6AA51" w14:textId="7C8A3E99" w:rsidR="0073166B" w:rsidRPr="003609E9" w:rsidRDefault="0014768D" w:rsidP="00CA527A">
            <w:pPr>
              <w:spacing w:before="0" w:after="0" w:line="240" w:lineRule="auto"/>
              <w:jc w:val="both"/>
              <w:rPr>
                <w:rFonts w:asciiTheme="minorHAnsi" w:eastAsia="Times New Roman" w:hAnsiTheme="minorHAnsi"/>
                <w:color w:val="000000"/>
                <w:kern w:val="0"/>
                <w:sz w:val="20"/>
                <w:lang w:val="en-IE" w:eastAsia="en-IE"/>
              </w:rPr>
            </w:pPr>
            <w:r w:rsidRPr="005F5EDE">
              <w:rPr>
                <w:rStyle w:val="cf01"/>
                <w:rFonts w:asciiTheme="minorHAnsi" w:hAnsiTheme="minorHAnsi" w:cs="Times New Roman"/>
                <w:sz w:val="20"/>
                <w:szCs w:val="20"/>
              </w:rPr>
              <w:t xml:space="preserve">If the transaction monitoring system is at least partly automated, indicate whether the system can generate alerts in case of inconsistencies between </w:t>
            </w:r>
            <w:r>
              <w:rPr>
                <w:rStyle w:val="cf01"/>
                <w:rFonts w:asciiTheme="minorHAnsi" w:hAnsiTheme="minorHAnsi" w:cs="Times New Roman"/>
                <w:sz w:val="20"/>
                <w:szCs w:val="20"/>
              </w:rPr>
              <w:t>the expected activity of</w:t>
            </w:r>
            <w:r w:rsidRPr="005F5EDE">
              <w:rPr>
                <w:rStyle w:val="cf01"/>
                <w:rFonts w:asciiTheme="minorHAnsi" w:hAnsiTheme="minorHAnsi" w:cs="Times New Roman"/>
                <w:sz w:val="20"/>
                <w:szCs w:val="20"/>
              </w:rPr>
              <w:t xml:space="preserve"> the customer</w:t>
            </w:r>
            <w:r>
              <w:rPr>
                <w:rStyle w:val="cf01"/>
                <w:rFonts w:asciiTheme="minorHAnsi" w:hAnsiTheme="minorHAnsi" w:cs="Times New Roman"/>
                <w:sz w:val="20"/>
                <w:szCs w:val="20"/>
              </w:rPr>
              <w:t xml:space="preserve"> (as per the purpose and intended nature of the business relationship and any other relevant information feeding the customer profile, such as CDD)</w:t>
            </w:r>
            <w:r w:rsidRPr="005F5EDE">
              <w:rPr>
                <w:rStyle w:val="cf01"/>
                <w:rFonts w:asciiTheme="minorHAnsi" w:hAnsiTheme="minorHAnsi" w:cs="Times New Roman"/>
                <w:sz w:val="20"/>
                <w:szCs w:val="20"/>
              </w:rPr>
              <w:t xml:space="preserve"> and the </w:t>
            </w:r>
            <w:r w:rsidR="00A62810">
              <w:rPr>
                <w:rStyle w:val="cf01"/>
                <w:rFonts w:asciiTheme="minorHAnsi" w:hAnsiTheme="minorHAnsi" w:cs="Times New Roman"/>
                <w:sz w:val="20"/>
                <w:szCs w:val="20"/>
              </w:rPr>
              <w:t>Value of Aggregated Transactions</w:t>
            </w:r>
            <w:r>
              <w:rPr>
                <w:rStyle w:val="cf01"/>
                <w:rFonts w:asciiTheme="minorHAnsi" w:hAnsiTheme="minorHAnsi" w:cs="Times New Roman"/>
                <w:sz w:val="20"/>
                <w:szCs w:val="20"/>
              </w:rPr>
              <w:t xml:space="preserve"> </w:t>
            </w:r>
            <w:r w:rsidR="00E8643B">
              <w:rPr>
                <w:rStyle w:val="cf01"/>
                <w:rFonts w:asciiTheme="minorHAnsi" w:hAnsiTheme="minorHAnsi" w:cs="Times New Roman"/>
                <w:sz w:val="20"/>
                <w:szCs w:val="20"/>
              </w:rPr>
              <w:t xml:space="preserve">attributed to the customer </w:t>
            </w:r>
            <w:r>
              <w:rPr>
                <w:rStyle w:val="cf01"/>
                <w:rFonts w:asciiTheme="minorHAnsi" w:hAnsiTheme="minorHAnsi" w:cs="Times New Roman"/>
                <w:sz w:val="20"/>
                <w:szCs w:val="20"/>
              </w:rPr>
              <w:t xml:space="preserve">within the monitoring period applied in the entity’s monitoring framework. </w:t>
            </w:r>
          </w:p>
          <w:p w14:paraId="374D6384" w14:textId="77777777" w:rsidR="00902FBD" w:rsidRPr="005F5EDE" w:rsidRDefault="00902FBD" w:rsidP="00CA527A">
            <w:pPr>
              <w:spacing w:before="0" w:after="0" w:line="240" w:lineRule="auto"/>
              <w:jc w:val="both"/>
              <w:rPr>
                <w:rFonts w:asciiTheme="minorHAnsi" w:eastAsia="Times New Roman" w:hAnsiTheme="minorHAnsi"/>
                <w:color w:val="000000"/>
                <w:kern w:val="0"/>
                <w:sz w:val="20"/>
                <w:lang w:val="en-IE" w:eastAsia="en-IE"/>
              </w:rPr>
            </w:pPr>
          </w:p>
        </w:tc>
      </w:tr>
      <w:tr w:rsidR="005E211E" w:rsidRPr="009B282E" w14:paraId="4282C8BB" w14:textId="77777777" w:rsidTr="005A4EA8">
        <w:tc>
          <w:tcPr>
            <w:tcW w:w="1673" w:type="dxa"/>
            <w:tcBorders>
              <w:top w:val="single" w:sz="4" w:space="0" w:color="auto"/>
              <w:left w:val="single" w:sz="4" w:space="0" w:color="auto"/>
              <w:bottom w:val="single" w:sz="4" w:space="0" w:color="auto"/>
              <w:right w:val="single" w:sz="4" w:space="0" w:color="auto"/>
            </w:tcBorders>
            <w:vAlign w:val="center"/>
          </w:tcPr>
          <w:p w14:paraId="258CC092" w14:textId="30E23645" w:rsidR="009A1FE6" w:rsidRPr="00B407FB" w:rsidRDefault="00487D8E" w:rsidP="00F32516">
            <w:pPr>
              <w:pStyle w:val="InstructionsText"/>
              <w:rPr>
                <w:rStyle w:val="FormatvorlageInstructionsTabelleText"/>
                <w:rFonts w:asciiTheme="minorHAnsi" w:hAnsiTheme="minorHAnsi"/>
              </w:rPr>
            </w:pPr>
            <w:r w:rsidRPr="00B407FB">
              <w:t>C00</w:t>
            </w:r>
            <w:r w:rsidR="00884A5A" w:rsidRPr="00B407FB">
              <w:t>6</w:t>
            </w:r>
            <w:r w:rsidRPr="00B407FB">
              <w:t>0</w:t>
            </w:r>
          </w:p>
        </w:tc>
        <w:tc>
          <w:tcPr>
            <w:tcW w:w="7616" w:type="dxa"/>
            <w:tcBorders>
              <w:top w:val="nil"/>
              <w:left w:val="single" w:sz="4" w:space="0" w:color="000000" w:themeColor="text1"/>
              <w:bottom w:val="single" w:sz="4" w:space="0" w:color="000000" w:themeColor="text1"/>
              <w:right w:val="single" w:sz="4" w:space="0" w:color="000000" w:themeColor="text1"/>
            </w:tcBorders>
          </w:tcPr>
          <w:p w14:paraId="57F90023" w14:textId="6D4D7216" w:rsidR="00491899" w:rsidRDefault="00491899" w:rsidP="00CA527A">
            <w:pPr>
              <w:spacing w:before="0" w:after="0" w:line="240" w:lineRule="auto"/>
              <w:jc w:val="both"/>
              <w:rPr>
                <w:rFonts w:asciiTheme="minorHAnsi" w:eastAsia="Times New Roman" w:hAnsiTheme="minorHAnsi" w:cs="Calibri"/>
                <w:b/>
                <w:bCs/>
                <w:color w:val="000000"/>
                <w:kern w:val="0"/>
                <w:sz w:val="20"/>
                <w:u w:val="single"/>
                <w:lang w:val="en-IE" w:eastAsia="en-IE"/>
              </w:rPr>
            </w:pPr>
            <w:r w:rsidRPr="003609E9">
              <w:rPr>
                <w:rFonts w:ascii="Aptos" w:eastAsia="Times New Roman" w:hAnsi="Aptos" w:cs="Calibri"/>
                <w:b/>
                <w:bCs/>
                <w:color w:val="000000"/>
                <w:kern w:val="0"/>
                <w:sz w:val="20"/>
                <w:u w:val="single"/>
                <w:lang w:val="en-IE" w:eastAsia="en-IE"/>
              </w:rPr>
              <w:t>Automated Monitoring System</w:t>
            </w:r>
            <w:r w:rsidR="003609E9">
              <w:rPr>
                <w:rFonts w:ascii="Aptos" w:eastAsia="Times New Roman" w:hAnsi="Aptos" w:cs="Calibri"/>
                <w:b/>
                <w:bCs/>
                <w:color w:val="000000"/>
                <w:kern w:val="0"/>
                <w:sz w:val="20"/>
                <w:u w:val="single"/>
                <w:lang w:val="en-IE" w:eastAsia="en-IE"/>
              </w:rPr>
              <w:t xml:space="preserve"> </w:t>
            </w:r>
            <w:r w:rsidR="00EB2EAF">
              <w:rPr>
                <w:rFonts w:ascii="Aptos" w:eastAsia="Times New Roman" w:hAnsi="Aptos" w:cs="Calibri"/>
                <w:b/>
                <w:bCs/>
                <w:color w:val="000000"/>
                <w:kern w:val="0"/>
                <w:sz w:val="20"/>
                <w:u w:val="single"/>
                <w:lang w:val="en-IE" w:eastAsia="en-IE"/>
              </w:rPr>
              <w:t>–</w:t>
            </w:r>
            <w:r w:rsidRPr="003609E9">
              <w:rPr>
                <w:rFonts w:ascii="Aptos" w:eastAsia="Times New Roman" w:hAnsi="Aptos" w:cs="Calibri"/>
                <w:b/>
                <w:bCs/>
                <w:color w:val="000000"/>
                <w:kern w:val="0"/>
                <w:sz w:val="20"/>
                <w:u w:val="single"/>
                <w:lang w:val="en-IE" w:eastAsia="en-IE"/>
              </w:rPr>
              <w:t>Alerts on</w:t>
            </w:r>
            <w:r w:rsidR="00DD488A">
              <w:rPr>
                <w:rFonts w:ascii="Aptos" w:eastAsia="Times New Roman" w:hAnsi="Aptos" w:cs="Calibri"/>
                <w:b/>
                <w:bCs/>
                <w:color w:val="000000"/>
                <w:kern w:val="0"/>
                <w:sz w:val="20"/>
                <w:u w:val="single"/>
                <w:lang w:val="en-IE" w:eastAsia="en-IE"/>
              </w:rPr>
              <w:t xml:space="preserve"> </w:t>
            </w:r>
            <w:r w:rsidR="00EB2EAF">
              <w:rPr>
                <w:rFonts w:ascii="Aptos" w:eastAsia="Times New Roman" w:hAnsi="Aptos" w:cs="Calibri"/>
                <w:b/>
                <w:bCs/>
                <w:color w:val="000000"/>
                <w:kern w:val="0"/>
                <w:sz w:val="20"/>
                <w:u w:val="single"/>
                <w:lang w:val="en-IE" w:eastAsia="en-IE"/>
              </w:rPr>
              <w:t>Inconsistencies</w:t>
            </w:r>
            <w:r w:rsidR="00DD488A">
              <w:rPr>
                <w:rFonts w:ascii="Aptos" w:eastAsia="Times New Roman" w:hAnsi="Aptos" w:cs="Calibri"/>
                <w:b/>
                <w:bCs/>
                <w:color w:val="000000"/>
                <w:kern w:val="0"/>
                <w:sz w:val="20"/>
                <w:u w:val="single"/>
                <w:lang w:val="en-IE" w:eastAsia="en-IE"/>
              </w:rPr>
              <w:t xml:space="preserve"> with Expected</w:t>
            </w:r>
            <w:r w:rsidRPr="003609E9">
              <w:rPr>
                <w:rFonts w:ascii="Aptos" w:eastAsia="Times New Roman" w:hAnsi="Aptos" w:cs="Calibri"/>
                <w:b/>
                <w:bCs/>
                <w:color w:val="000000"/>
                <w:kern w:val="0"/>
                <w:sz w:val="20"/>
                <w:u w:val="single"/>
                <w:lang w:val="en-IE" w:eastAsia="en-IE"/>
              </w:rPr>
              <w:t xml:space="preserve"> Value of Single Transactions</w:t>
            </w:r>
          </w:p>
          <w:p w14:paraId="176785BA" w14:textId="46522241" w:rsidR="00A34DD7" w:rsidRPr="005F5EDE" w:rsidRDefault="00A34DD7" w:rsidP="00CA527A">
            <w:pPr>
              <w:spacing w:before="0" w:after="0" w:line="240" w:lineRule="auto"/>
              <w:jc w:val="both"/>
              <w:rPr>
                <w:rFonts w:asciiTheme="minorHAnsi" w:eastAsia="Times New Roman" w:hAnsiTheme="minorHAnsi" w:cs="Calibri"/>
                <w:b/>
                <w:bCs/>
                <w:color w:val="000000"/>
                <w:kern w:val="0"/>
                <w:sz w:val="20"/>
                <w:u w:val="single"/>
                <w:lang w:val="en-IE" w:eastAsia="en-IE"/>
              </w:rPr>
            </w:pPr>
          </w:p>
          <w:p w14:paraId="764DD0E7" w14:textId="0A754940" w:rsidR="00AE0781" w:rsidRPr="00FD616D" w:rsidRDefault="00AE0781" w:rsidP="00AE0781">
            <w:pPr>
              <w:spacing w:before="0" w:after="0" w:line="240" w:lineRule="auto"/>
              <w:jc w:val="both"/>
              <w:rPr>
                <w:rFonts w:asciiTheme="minorHAnsi" w:hAnsiTheme="minorHAnsi"/>
                <w:color w:val="262626"/>
                <w:sz w:val="20"/>
              </w:rPr>
            </w:pPr>
            <w:r w:rsidRPr="005F5EDE">
              <w:rPr>
                <w:rStyle w:val="cf01"/>
                <w:rFonts w:asciiTheme="minorHAnsi" w:hAnsiTheme="minorHAnsi" w:cs="Times New Roman"/>
                <w:sz w:val="20"/>
                <w:szCs w:val="20"/>
              </w:rPr>
              <w:t xml:space="preserve">If the transaction monitoring system is at least partly automated, indicate whether the system can generate alerts in case of inconsistencies between </w:t>
            </w:r>
            <w:r>
              <w:rPr>
                <w:rStyle w:val="cf01"/>
                <w:rFonts w:asciiTheme="minorHAnsi" w:hAnsiTheme="minorHAnsi" w:cs="Times New Roman"/>
                <w:sz w:val="20"/>
                <w:szCs w:val="20"/>
              </w:rPr>
              <w:t>the expected activity of</w:t>
            </w:r>
            <w:r w:rsidRPr="005F5EDE">
              <w:rPr>
                <w:rStyle w:val="cf01"/>
                <w:rFonts w:asciiTheme="minorHAnsi" w:hAnsiTheme="minorHAnsi" w:cs="Times New Roman"/>
                <w:sz w:val="20"/>
                <w:szCs w:val="20"/>
              </w:rPr>
              <w:t xml:space="preserve"> the customer</w:t>
            </w:r>
            <w:r>
              <w:rPr>
                <w:rStyle w:val="cf01"/>
                <w:rFonts w:asciiTheme="minorHAnsi" w:hAnsiTheme="minorHAnsi" w:cs="Times New Roman"/>
                <w:sz w:val="20"/>
                <w:szCs w:val="20"/>
              </w:rPr>
              <w:t xml:space="preserve"> (as per the purpose and intended nature of the business relationship and any other relevant information feeding the customer profile, such as CDD)</w:t>
            </w:r>
            <w:r w:rsidRPr="005F5EDE">
              <w:rPr>
                <w:rStyle w:val="cf01"/>
                <w:rFonts w:asciiTheme="minorHAnsi" w:hAnsiTheme="minorHAnsi" w:cs="Times New Roman"/>
                <w:sz w:val="20"/>
                <w:szCs w:val="20"/>
              </w:rPr>
              <w:t xml:space="preserve"> and the </w:t>
            </w:r>
            <w:r>
              <w:rPr>
                <w:rStyle w:val="cf01"/>
                <w:rFonts w:asciiTheme="minorHAnsi" w:hAnsiTheme="minorHAnsi" w:cs="Times New Roman"/>
                <w:sz w:val="20"/>
                <w:szCs w:val="20"/>
              </w:rPr>
              <w:t xml:space="preserve">Value of </w:t>
            </w:r>
            <w:r w:rsidR="005A1799">
              <w:rPr>
                <w:rStyle w:val="cf01"/>
                <w:rFonts w:asciiTheme="minorHAnsi" w:hAnsiTheme="minorHAnsi" w:cs="Times New Roman"/>
                <w:sz w:val="20"/>
                <w:szCs w:val="20"/>
              </w:rPr>
              <w:t>Single</w:t>
            </w:r>
            <w:r>
              <w:rPr>
                <w:rStyle w:val="cf01"/>
                <w:rFonts w:asciiTheme="minorHAnsi" w:hAnsiTheme="minorHAnsi" w:cs="Times New Roman"/>
                <w:sz w:val="20"/>
                <w:szCs w:val="20"/>
              </w:rPr>
              <w:t xml:space="preserve"> Transactions </w:t>
            </w:r>
            <w:r w:rsidR="001256BA">
              <w:rPr>
                <w:rStyle w:val="cf01"/>
                <w:rFonts w:asciiTheme="minorHAnsi" w:hAnsiTheme="minorHAnsi" w:cs="Times New Roman"/>
                <w:sz w:val="20"/>
                <w:szCs w:val="20"/>
              </w:rPr>
              <w:t>related</w:t>
            </w:r>
            <w:r w:rsidR="00E8643B">
              <w:rPr>
                <w:rStyle w:val="cf01"/>
                <w:rFonts w:asciiTheme="minorHAnsi" w:hAnsiTheme="minorHAnsi" w:cs="Times New Roman"/>
                <w:sz w:val="20"/>
                <w:szCs w:val="20"/>
              </w:rPr>
              <w:t xml:space="preserve"> to the customer</w:t>
            </w:r>
            <w:r>
              <w:rPr>
                <w:rStyle w:val="cf01"/>
                <w:rFonts w:asciiTheme="minorHAnsi" w:hAnsiTheme="minorHAnsi" w:cs="Times New Roman"/>
                <w:sz w:val="20"/>
                <w:szCs w:val="20"/>
              </w:rPr>
              <w:t xml:space="preserve">. </w:t>
            </w:r>
          </w:p>
          <w:p w14:paraId="23C4732A" w14:textId="341D93D0" w:rsidR="00A34DD7" w:rsidRPr="005F5EDE" w:rsidRDefault="00A34DD7" w:rsidP="00CA527A">
            <w:pPr>
              <w:spacing w:before="0" w:after="0" w:line="240" w:lineRule="auto"/>
              <w:jc w:val="both"/>
              <w:rPr>
                <w:rFonts w:asciiTheme="minorHAnsi" w:eastAsia="Times New Roman" w:hAnsiTheme="minorHAnsi" w:cs="Calibri"/>
                <w:b/>
                <w:bCs/>
                <w:color w:val="000000"/>
                <w:kern w:val="0"/>
                <w:sz w:val="20"/>
                <w:u w:val="single"/>
                <w:lang w:val="en-IE" w:eastAsia="en-IE"/>
              </w:rPr>
            </w:pPr>
          </w:p>
        </w:tc>
      </w:tr>
      <w:tr w:rsidR="005E211E" w:rsidRPr="009B282E" w14:paraId="45A92785" w14:textId="77777777" w:rsidTr="005A4EA8">
        <w:tc>
          <w:tcPr>
            <w:tcW w:w="1673" w:type="dxa"/>
            <w:tcBorders>
              <w:top w:val="single" w:sz="4" w:space="0" w:color="auto"/>
              <w:left w:val="single" w:sz="4" w:space="0" w:color="auto"/>
              <w:bottom w:val="single" w:sz="4" w:space="0" w:color="auto"/>
              <w:right w:val="single" w:sz="4" w:space="0" w:color="auto"/>
            </w:tcBorders>
            <w:vAlign w:val="center"/>
          </w:tcPr>
          <w:p w14:paraId="76413FF0" w14:textId="741D20B7" w:rsidR="009A1FE6" w:rsidRPr="00B407FB" w:rsidRDefault="00487D8E" w:rsidP="00F32516">
            <w:pPr>
              <w:pStyle w:val="InstructionsText"/>
              <w:rPr>
                <w:rStyle w:val="FormatvorlageInstructionsTabelleText"/>
                <w:rFonts w:asciiTheme="minorHAnsi" w:hAnsiTheme="minorHAnsi"/>
              </w:rPr>
            </w:pPr>
            <w:r w:rsidRPr="00486553">
              <w:t>C00</w:t>
            </w:r>
            <w:r w:rsidR="00884A5A" w:rsidRPr="00486553">
              <w:t>7</w:t>
            </w:r>
            <w:r w:rsidRPr="00486553">
              <w:t>0</w:t>
            </w:r>
          </w:p>
        </w:tc>
        <w:tc>
          <w:tcPr>
            <w:tcW w:w="7616" w:type="dxa"/>
            <w:tcBorders>
              <w:top w:val="nil"/>
              <w:left w:val="single" w:sz="4" w:space="0" w:color="000000" w:themeColor="text1"/>
              <w:bottom w:val="single" w:sz="4" w:space="0" w:color="000000" w:themeColor="text1"/>
              <w:right w:val="single" w:sz="4" w:space="0" w:color="000000" w:themeColor="text1"/>
            </w:tcBorders>
          </w:tcPr>
          <w:p w14:paraId="0A01D787" w14:textId="0868C6CF" w:rsidR="00491899" w:rsidRDefault="00491899" w:rsidP="00CA527A">
            <w:pPr>
              <w:spacing w:before="0" w:after="0" w:line="240" w:lineRule="auto"/>
              <w:jc w:val="both"/>
              <w:rPr>
                <w:rFonts w:asciiTheme="minorHAnsi" w:eastAsia="Times New Roman" w:hAnsiTheme="minorHAnsi" w:cs="Calibri"/>
                <w:b/>
                <w:bCs/>
                <w:color w:val="000000"/>
                <w:kern w:val="0"/>
                <w:sz w:val="20"/>
                <w:u w:val="single"/>
                <w:lang w:val="en-IE" w:eastAsia="en-IE"/>
              </w:rPr>
            </w:pPr>
            <w:r w:rsidRPr="003609E9">
              <w:rPr>
                <w:rFonts w:ascii="Aptos" w:eastAsia="Times New Roman" w:hAnsi="Aptos" w:cs="Calibri"/>
                <w:b/>
                <w:bCs/>
                <w:color w:val="000000"/>
                <w:kern w:val="0"/>
                <w:sz w:val="20"/>
                <w:u w:val="single"/>
                <w:lang w:val="en-IE" w:eastAsia="en-IE"/>
              </w:rPr>
              <w:t xml:space="preserve">Automated Monitoring System </w:t>
            </w:r>
            <w:r w:rsidR="00EB2EAF">
              <w:rPr>
                <w:rFonts w:ascii="Aptos" w:eastAsia="Times New Roman" w:hAnsi="Aptos" w:cs="Calibri"/>
                <w:b/>
                <w:bCs/>
                <w:color w:val="000000"/>
                <w:kern w:val="0"/>
                <w:sz w:val="20"/>
                <w:u w:val="single"/>
                <w:lang w:val="en-IE" w:eastAsia="en-IE"/>
              </w:rPr>
              <w:t>–</w:t>
            </w:r>
            <w:r w:rsidR="003609E9">
              <w:rPr>
                <w:rFonts w:ascii="Aptos" w:eastAsia="Times New Roman" w:hAnsi="Aptos" w:cs="Calibri"/>
                <w:b/>
                <w:bCs/>
                <w:color w:val="000000"/>
                <w:kern w:val="0"/>
                <w:sz w:val="20"/>
                <w:u w:val="single"/>
                <w:lang w:val="en-IE" w:eastAsia="en-IE"/>
              </w:rPr>
              <w:t xml:space="preserve"> </w:t>
            </w:r>
            <w:r w:rsidRPr="003609E9">
              <w:rPr>
                <w:rFonts w:ascii="Aptos" w:eastAsia="Times New Roman" w:hAnsi="Aptos" w:cs="Calibri"/>
                <w:b/>
                <w:bCs/>
                <w:color w:val="000000"/>
                <w:kern w:val="0"/>
                <w:sz w:val="20"/>
                <w:u w:val="single"/>
                <w:lang w:val="en-IE" w:eastAsia="en-IE"/>
              </w:rPr>
              <w:t>Alerts on</w:t>
            </w:r>
            <w:r w:rsidR="00DD488A">
              <w:rPr>
                <w:rFonts w:ascii="Aptos" w:eastAsia="Times New Roman" w:hAnsi="Aptos" w:cs="Calibri"/>
                <w:b/>
                <w:bCs/>
                <w:color w:val="000000"/>
                <w:kern w:val="0"/>
                <w:sz w:val="20"/>
                <w:u w:val="single"/>
                <w:lang w:val="en-IE" w:eastAsia="en-IE"/>
              </w:rPr>
              <w:t xml:space="preserve"> </w:t>
            </w:r>
            <w:r w:rsidR="00EB2EAF">
              <w:rPr>
                <w:rFonts w:ascii="Aptos" w:eastAsia="Times New Roman" w:hAnsi="Aptos" w:cs="Calibri"/>
                <w:b/>
                <w:bCs/>
                <w:color w:val="000000"/>
                <w:kern w:val="0"/>
                <w:sz w:val="20"/>
                <w:u w:val="single"/>
                <w:lang w:val="en-IE" w:eastAsia="en-IE"/>
              </w:rPr>
              <w:t>Inconsistencies</w:t>
            </w:r>
            <w:r w:rsidR="00DD488A">
              <w:rPr>
                <w:rFonts w:ascii="Aptos" w:eastAsia="Times New Roman" w:hAnsi="Aptos" w:cs="Calibri"/>
                <w:b/>
                <w:bCs/>
                <w:color w:val="000000"/>
                <w:kern w:val="0"/>
                <w:sz w:val="20"/>
                <w:u w:val="single"/>
                <w:lang w:val="en-IE" w:eastAsia="en-IE"/>
              </w:rPr>
              <w:t xml:space="preserve"> with Expected</w:t>
            </w:r>
            <w:r w:rsidRPr="003609E9">
              <w:rPr>
                <w:rFonts w:ascii="Aptos" w:eastAsia="Times New Roman" w:hAnsi="Aptos" w:cs="Calibri"/>
                <w:b/>
                <w:bCs/>
                <w:color w:val="000000"/>
                <w:kern w:val="0"/>
                <w:sz w:val="20"/>
                <w:u w:val="single"/>
                <w:lang w:val="en-IE" w:eastAsia="en-IE"/>
              </w:rPr>
              <w:t xml:space="preserve"> Counterparties</w:t>
            </w:r>
          </w:p>
          <w:p w14:paraId="4EC97891" w14:textId="06872778" w:rsidR="001506D8" w:rsidRPr="005F5EDE" w:rsidRDefault="001506D8" w:rsidP="00CA527A">
            <w:pPr>
              <w:spacing w:before="0" w:after="0" w:line="240" w:lineRule="auto"/>
              <w:jc w:val="both"/>
              <w:rPr>
                <w:rFonts w:asciiTheme="minorHAnsi" w:eastAsia="Times New Roman" w:hAnsiTheme="minorHAnsi" w:cs="Calibri"/>
                <w:b/>
                <w:bCs/>
                <w:color w:val="000000"/>
                <w:kern w:val="0"/>
                <w:sz w:val="20"/>
                <w:u w:val="single"/>
                <w:lang w:val="en-IE" w:eastAsia="en-IE"/>
              </w:rPr>
            </w:pPr>
          </w:p>
          <w:p w14:paraId="07AAA891" w14:textId="77777777" w:rsidR="005A1799" w:rsidRDefault="005A1799" w:rsidP="005A1799">
            <w:pPr>
              <w:spacing w:before="0" w:after="0" w:line="240" w:lineRule="auto"/>
              <w:jc w:val="both"/>
              <w:rPr>
                <w:rStyle w:val="cf01"/>
                <w:rFonts w:asciiTheme="minorHAnsi" w:hAnsiTheme="minorHAnsi" w:cs="Times New Roman"/>
                <w:sz w:val="20"/>
                <w:szCs w:val="20"/>
              </w:rPr>
            </w:pPr>
            <w:r w:rsidRPr="005F5EDE">
              <w:rPr>
                <w:rStyle w:val="cf01"/>
                <w:rFonts w:asciiTheme="minorHAnsi" w:hAnsiTheme="minorHAnsi" w:cs="Times New Roman"/>
                <w:sz w:val="20"/>
                <w:szCs w:val="20"/>
              </w:rPr>
              <w:t xml:space="preserve">If the transaction monitoring system is at least partly automated, indicate whether the system can generate alerts in case of inconsistencies between </w:t>
            </w:r>
            <w:r>
              <w:rPr>
                <w:rStyle w:val="cf01"/>
                <w:rFonts w:asciiTheme="minorHAnsi" w:hAnsiTheme="minorHAnsi" w:cs="Times New Roman"/>
                <w:sz w:val="20"/>
                <w:szCs w:val="20"/>
              </w:rPr>
              <w:t>the expected activity of</w:t>
            </w:r>
            <w:r w:rsidRPr="005F5EDE">
              <w:rPr>
                <w:rStyle w:val="cf01"/>
                <w:rFonts w:asciiTheme="minorHAnsi" w:hAnsiTheme="minorHAnsi" w:cs="Times New Roman"/>
                <w:sz w:val="20"/>
                <w:szCs w:val="20"/>
              </w:rPr>
              <w:t xml:space="preserve"> the customer</w:t>
            </w:r>
            <w:r>
              <w:rPr>
                <w:rStyle w:val="cf01"/>
                <w:rFonts w:asciiTheme="minorHAnsi" w:hAnsiTheme="minorHAnsi" w:cs="Times New Roman"/>
                <w:sz w:val="20"/>
                <w:szCs w:val="20"/>
              </w:rPr>
              <w:t xml:space="preserve"> (as per the purpose and intended nature of the business relationship and any other relevant information feeding the customer profile, such as CDD)</w:t>
            </w:r>
            <w:r w:rsidRPr="005F5EDE">
              <w:rPr>
                <w:rStyle w:val="cf01"/>
                <w:rFonts w:asciiTheme="minorHAnsi" w:hAnsiTheme="minorHAnsi" w:cs="Times New Roman"/>
                <w:sz w:val="20"/>
                <w:szCs w:val="20"/>
              </w:rPr>
              <w:t xml:space="preserve"> and the </w:t>
            </w:r>
            <w:r>
              <w:rPr>
                <w:rStyle w:val="cf01"/>
                <w:rFonts w:asciiTheme="minorHAnsi" w:hAnsiTheme="minorHAnsi" w:cs="Times New Roman"/>
                <w:sz w:val="20"/>
                <w:szCs w:val="20"/>
              </w:rPr>
              <w:t xml:space="preserve">Value of Aggregated Transactions within the monitoring period applied in the entity’s monitoring framework. </w:t>
            </w:r>
          </w:p>
          <w:p w14:paraId="5BC65546" w14:textId="77777777" w:rsidR="005A1799" w:rsidRDefault="005A1799" w:rsidP="005A1799">
            <w:pPr>
              <w:spacing w:before="0" w:after="0" w:line="240" w:lineRule="auto"/>
              <w:jc w:val="both"/>
              <w:rPr>
                <w:rFonts w:asciiTheme="minorHAnsi" w:hAnsiTheme="minorHAnsi"/>
                <w:color w:val="262626"/>
                <w:sz w:val="20"/>
              </w:rPr>
            </w:pPr>
          </w:p>
          <w:p w14:paraId="1BCD9B58" w14:textId="7E6131C7" w:rsidR="00F034D9" w:rsidRPr="00F034D9" w:rsidRDefault="00F034D9" w:rsidP="00F034D9">
            <w:pPr>
              <w:spacing w:before="0" w:after="0" w:line="240" w:lineRule="auto"/>
              <w:jc w:val="both"/>
              <w:rPr>
                <w:rFonts w:asciiTheme="minorHAnsi" w:hAnsiTheme="minorHAnsi"/>
                <w:b/>
                <w:bCs/>
                <w:color w:val="262626"/>
                <w:sz w:val="20"/>
                <w:lang w:val="en-IE"/>
              </w:rPr>
            </w:pPr>
            <w:r w:rsidRPr="00F034D9">
              <w:rPr>
                <w:rFonts w:asciiTheme="minorHAnsi" w:hAnsiTheme="minorHAnsi"/>
                <w:color w:val="262626"/>
                <w:sz w:val="20"/>
                <w:lang w:val="en-IE"/>
              </w:rPr>
              <w:t>For the purpose</w:t>
            </w:r>
            <w:r>
              <w:rPr>
                <w:rFonts w:asciiTheme="minorHAnsi" w:hAnsiTheme="minorHAnsi"/>
                <w:color w:val="262626"/>
                <w:sz w:val="20"/>
                <w:lang w:val="en-IE"/>
              </w:rPr>
              <w:t>s</w:t>
            </w:r>
            <w:r w:rsidRPr="00F034D9">
              <w:rPr>
                <w:rFonts w:asciiTheme="minorHAnsi" w:hAnsiTheme="minorHAnsi"/>
                <w:color w:val="262626"/>
                <w:sz w:val="20"/>
                <w:lang w:val="en-IE"/>
              </w:rPr>
              <w:t xml:space="preserve"> of this datapoint, “counterparties” refers to the other party or parties to a transaction</w:t>
            </w:r>
            <w:r w:rsidR="00C85CE8">
              <w:rPr>
                <w:rFonts w:asciiTheme="minorHAnsi" w:hAnsiTheme="minorHAnsi"/>
                <w:color w:val="262626"/>
                <w:sz w:val="20"/>
                <w:lang w:val="en-IE"/>
              </w:rPr>
              <w:t xml:space="preserve"> </w:t>
            </w:r>
            <w:r w:rsidRPr="00F034D9">
              <w:rPr>
                <w:rFonts w:asciiTheme="minorHAnsi" w:hAnsiTheme="minorHAnsi"/>
                <w:color w:val="262626"/>
                <w:sz w:val="20"/>
                <w:lang w:val="en-IE"/>
              </w:rPr>
              <w:t>attributed to the customer as captured in the entity’s monitoring framework.</w:t>
            </w:r>
          </w:p>
          <w:p w14:paraId="403ED61F" w14:textId="3BD42BA5" w:rsidR="001506D8" w:rsidRPr="005F5EDE" w:rsidRDefault="001506D8" w:rsidP="00135B9D">
            <w:pPr>
              <w:spacing w:before="0" w:after="0" w:line="300" w:lineRule="atLeast"/>
              <w:rPr>
                <w:rFonts w:asciiTheme="minorHAnsi" w:eastAsia="Times New Roman" w:hAnsiTheme="minorHAnsi" w:cs="Calibri"/>
                <w:b/>
                <w:bCs/>
                <w:color w:val="000000"/>
                <w:kern w:val="0"/>
                <w:sz w:val="20"/>
                <w:u w:val="single"/>
                <w:lang w:val="en-IE" w:eastAsia="en-IE"/>
              </w:rPr>
            </w:pPr>
          </w:p>
        </w:tc>
      </w:tr>
      <w:tr w:rsidR="005E211E" w:rsidRPr="009B282E" w14:paraId="10EB0C4D" w14:textId="77777777" w:rsidTr="005A4EA8">
        <w:tc>
          <w:tcPr>
            <w:tcW w:w="1673" w:type="dxa"/>
            <w:tcBorders>
              <w:top w:val="single" w:sz="4" w:space="0" w:color="auto"/>
              <w:left w:val="single" w:sz="4" w:space="0" w:color="auto"/>
              <w:bottom w:val="single" w:sz="4" w:space="0" w:color="auto"/>
              <w:right w:val="single" w:sz="4" w:space="0" w:color="auto"/>
            </w:tcBorders>
            <w:vAlign w:val="center"/>
          </w:tcPr>
          <w:p w14:paraId="3E9E8E5C" w14:textId="756951C6" w:rsidR="009A1FE6" w:rsidRPr="00B407FB" w:rsidRDefault="00487D8E" w:rsidP="00F32516">
            <w:pPr>
              <w:pStyle w:val="InstructionsText"/>
              <w:rPr>
                <w:rStyle w:val="FormatvorlageInstructionsTabelleText"/>
                <w:rFonts w:asciiTheme="minorHAnsi" w:hAnsiTheme="minorHAnsi"/>
              </w:rPr>
            </w:pPr>
            <w:r w:rsidRPr="00B407FB">
              <w:t>C00</w:t>
            </w:r>
            <w:r w:rsidR="00884A5A" w:rsidRPr="00B407FB">
              <w:t>8</w:t>
            </w:r>
            <w:r w:rsidRPr="00B407FB">
              <w:t>0</w:t>
            </w:r>
          </w:p>
        </w:tc>
        <w:tc>
          <w:tcPr>
            <w:tcW w:w="7616" w:type="dxa"/>
            <w:tcBorders>
              <w:top w:val="nil"/>
              <w:left w:val="single" w:sz="4" w:space="0" w:color="000000" w:themeColor="text1"/>
              <w:bottom w:val="single" w:sz="4" w:space="0" w:color="000000" w:themeColor="text1"/>
              <w:right w:val="single" w:sz="4" w:space="0" w:color="000000" w:themeColor="text1"/>
            </w:tcBorders>
          </w:tcPr>
          <w:p w14:paraId="775BFEB9" w14:textId="3D0C3EEF" w:rsidR="00491899" w:rsidRDefault="00491899" w:rsidP="00CA527A">
            <w:pPr>
              <w:spacing w:before="0" w:after="0" w:line="240" w:lineRule="auto"/>
              <w:jc w:val="both"/>
              <w:rPr>
                <w:rFonts w:asciiTheme="minorHAnsi" w:eastAsia="Times New Roman" w:hAnsiTheme="minorHAnsi" w:cs="Calibri"/>
                <w:b/>
                <w:bCs/>
                <w:color w:val="000000"/>
                <w:kern w:val="0"/>
                <w:sz w:val="20"/>
                <w:u w:val="single"/>
                <w:lang w:val="en-IE" w:eastAsia="en-IE"/>
              </w:rPr>
            </w:pPr>
            <w:r w:rsidRPr="00876B90">
              <w:rPr>
                <w:rFonts w:ascii="Aptos" w:eastAsia="Times New Roman" w:hAnsi="Aptos" w:cs="Calibri"/>
                <w:b/>
                <w:bCs/>
                <w:color w:val="000000"/>
                <w:kern w:val="0"/>
                <w:sz w:val="20"/>
                <w:u w:val="single"/>
                <w:lang w:val="en-IE" w:eastAsia="en-IE"/>
              </w:rPr>
              <w:t>Automated Monitoring System</w:t>
            </w:r>
            <w:r w:rsidR="00162DD2">
              <w:rPr>
                <w:rFonts w:ascii="Aptos" w:eastAsia="Times New Roman" w:hAnsi="Aptos" w:cs="Calibri"/>
                <w:b/>
                <w:bCs/>
                <w:color w:val="000000"/>
                <w:kern w:val="0"/>
                <w:sz w:val="20"/>
                <w:u w:val="single"/>
                <w:lang w:val="en-IE" w:eastAsia="en-IE"/>
              </w:rPr>
              <w:t xml:space="preserve"> </w:t>
            </w:r>
            <w:r w:rsidR="003609E9">
              <w:rPr>
                <w:rFonts w:ascii="Aptos" w:eastAsia="Times New Roman" w:hAnsi="Aptos" w:cs="Calibri"/>
                <w:b/>
                <w:bCs/>
                <w:color w:val="000000"/>
                <w:kern w:val="0"/>
                <w:sz w:val="20"/>
                <w:u w:val="single"/>
                <w:lang w:val="en-IE" w:eastAsia="en-IE"/>
              </w:rPr>
              <w:t xml:space="preserve">- </w:t>
            </w:r>
            <w:r w:rsidR="00EB2EAF">
              <w:rPr>
                <w:rFonts w:ascii="Aptos" w:eastAsia="Times New Roman" w:hAnsi="Aptos" w:cs="Calibri"/>
                <w:b/>
                <w:bCs/>
                <w:color w:val="000000"/>
                <w:kern w:val="0"/>
                <w:sz w:val="20"/>
                <w:u w:val="single"/>
                <w:lang w:val="en-IE" w:eastAsia="en-IE"/>
              </w:rPr>
              <w:t xml:space="preserve">CDD Inconsistencies: </w:t>
            </w:r>
            <w:r w:rsidRPr="003609E9">
              <w:rPr>
                <w:rFonts w:ascii="Aptos" w:eastAsia="Times New Roman" w:hAnsi="Aptos" w:cs="Calibri"/>
                <w:b/>
                <w:bCs/>
                <w:color w:val="000000"/>
                <w:kern w:val="0"/>
                <w:sz w:val="20"/>
                <w:u w:val="single"/>
                <w:lang w:val="en-IE" w:eastAsia="en-IE"/>
              </w:rPr>
              <w:t>Alerts on Countries</w:t>
            </w:r>
          </w:p>
          <w:p w14:paraId="39A65C54" w14:textId="03B5FA9D" w:rsidR="001506D8" w:rsidRPr="005F5EDE" w:rsidRDefault="001506D8" w:rsidP="00CA527A">
            <w:pPr>
              <w:spacing w:before="0" w:after="0" w:line="240" w:lineRule="auto"/>
              <w:jc w:val="both"/>
              <w:rPr>
                <w:rFonts w:asciiTheme="minorHAnsi" w:eastAsia="Times New Roman" w:hAnsiTheme="minorHAnsi" w:cs="Calibri"/>
                <w:b/>
                <w:bCs/>
                <w:color w:val="000000"/>
                <w:kern w:val="0"/>
                <w:sz w:val="20"/>
                <w:u w:val="single"/>
                <w:lang w:val="en-IE" w:eastAsia="en-IE"/>
              </w:rPr>
            </w:pPr>
          </w:p>
          <w:p w14:paraId="6BA15BCC" w14:textId="77777777" w:rsidR="003D203D" w:rsidRDefault="00C85CE8" w:rsidP="00C85CE8">
            <w:pPr>
              <w:spacing w:before="0" w:after="0" w:line="240" w:lineRule="auto"/>
              <w:jc w:val="both"/>
              <w:rPr>
                <w:rStyle w:val="cf01"/>
                <w:rFonts w:asciiTheme="minorHAnsi" w:hAnsiTheme="minorHAnsi" w:cs="Times New Roman"/>
                <w:sz w:val="20"/>
                <w:szCs w:val="20"/>
              </w:rPr>
            </w:pPr>
            <w:r w:rsidRPr="005F5EDE">
              <w:rPr>
                <w:rStyle w:val="cf01"/>
                <w:rFonts w:asciiTheme="minorHAnsi" w:hAnsiTheme="minorHAnsi" w:cs="Times New Roman"/>
                <w:sz w:val="20"/>
                <w:szCs w:val="20"/>
              </w:rPr>
              <w:t xml:space="preserve">If the transaction monitoring system is at least partly automated, indicate whether the system can generate alerts in case of inconsistencies between </w:t>
            </w:r>
            <w:r>
              <w:rPr>
                <w:rStyle w:val="cf01"/>
                <w:rFonts w:asciiTheme="minorHAnsi" w:hAnsiTheme="minorHAnsi" w:cs="Times New Roman"/>
                <w:sz w:val="20"/>
                <w:szCs w:val="20"/>
              </w:rPr>
              <w:t>the expected activity of</w:t>
            </w:r>
            <w:r w:rsidRPr="005F5EDE">
              <w:rPr>
                <w:rStyle w:val="cf01"/>
                <w:rFonts w:asciiTheme="minorHAnsi" w:hAnsiTheme="minorHAnsi" w:cs="Times New Roman"/>
                <w:sz w:val="20"/>
                <w:szCs w:val="20"/>
              </w:rPr>
              <w:t xml:space="preserve"> the customer</w:t>
            </w:r>
            <w:r>
              <w:rPr>
                <w:rStyle w:val="cf01"/>
                <w:rFonts w:asciiTheme="minorHAnsi" w:hAnsiTheme="minorHAnsi" w:cs="Times New Roman"/>
                <w:sz w:val="20"/>
                <w:szCs w:val="20"/>
              </w:rPr>
              <w:t xml:space="preserve"> (as per the purpose and intended nature of the business relationship and any other relevant information feeding the customer profile, such as CDD)</w:t>
            </w:r>
            <w:r w:rsidRPr="005F5EDE">
              <w:rPr>
                <w:rStyle w:val="cf01"/>
                <w:rFonts w:asciiTheme="minorHAnsi" w:hAnsiTheme="minorHAnsi" w:cs="Times New Roman"/>
                <w:sz w:val="20"/>
                <w:szCs w:val="20"/>
              </w:rPr>
              <w:t xml:space="preserve"> and the </w:t>
            </w:r>
            <w:r>
              <w:rPr>
                <w:rStyle w:val="cf01"/>
                <w:rFonts w:asciiTheme="minorHAnsi" w:hAnsiTheme="minorHAnsi" w:cs="Times New Roman"/>
                <w:sz w:val="20"/>
                <w:szCs w:val="20"/>
              </w:rPr>
              <w:t>Value of Aggregated Transactions attributed to the customer</w:t>
            </w:r>
            <w:r w:rsidR="0028024A">
              <w:rPr>
                <w:rStyle w:val="cf01"/>
                <w:rFonts w:asciiTheme="minorHAnsi" w:hAnsiTheme="minorHAnsi" w:cs="Times New Roman"/>
                <w:sz w:val="20"/>
                <w:szCs w:val="20"/>
              </w:rPr>
              <w:t>.</w:t>
            </w:r>
          </w:p>
          <w:p w14:paraId="78F10660" w14:textId="77777777" w:rsidR="003D203D" w:rsidRDefault="003D203D" w:rsidP="00C85CE8">
            <w:pPr>
              <w:spacing w:before="0" w:after="0" w:line="240" w:lineRule="auto"/>
              <w:jc w:val="both"/>
              <w:rPr>
                <w:rStyle w:val="cf01"/>
                <w:rFonts w:asciiTheme="minorHAnsi" w:hAnsiTheme="minorHAnsi" w:cs="Times New Roman"/>
                <w:sz w:val="20"/>
                <w:szCs w:val="20"/>
              </w:rPr>
            </w:pPr>
          </w:p>
          <w:p w14:paraId="7D521142" w14:textId="2457F396" w:rsidR="000D576A" w:rsidRPr="005F5EDE" w:rsidRDefault="003D203D" w:rsidP="004B2EFA">
            <w:pPr>
              <w:spacing w:before="0" w:after="0" w:line="240" w:lineRule="auto"/>
              <w:jc w:val="both"/>
              <w:rPr>
                <w:rFonts w:asciiTheme="minorHAnsi" w:eastAsia="Times New Roman" w:hAnsiTheme="minorHAnsi"/>
                <w:color w:val="auto"/>
                <w:kern w:val="0"/>
                <w:sz w:val="20"/>
                <w:lang w:val="en-IE" w:eastAsia="en-IE"/>
              </w:rPr>
            </w:pPr>
            <w:r w:rsidRPr="003D203D">
              <w:rPr>
                <w:rFonts w:asciiTheme="minorHAnsi" w:hAnsiTheme="minorHAnsi"/>
                <w:color w:val="262626"/>
                <w:sz w:val="20"/>
              </w:rPr>
              <w:t>For the purposes of this datapoint, “countries” refers to the geographic indicators captured in the entity’s monitoring framework, such as the origin or destination of funds or the location of a counterparty</w:t>
            </w:r>
            <w:r w:rsidR="00B87872">
              <w:rPr>
                <w:rFonts w:asciiTheme="minorHAnsi" w:hAnsiTheme="minorHAnsi"/>
                <w:color w:val="262626"/>
                <w:sz w:val="20"/>
              </w:rPr>
              <w:t>’s account</w:t>
            </w:r>
            <w:r w:rsidR="004B2EFA">
              <w:rPr>
                <w:rFonts w:asciiTheme="minorHAnsi" w:hAnsiTheme="minorHAnsi"/>
                <w:color w:val="262626"/>
                <w:sz w:val="20"/>
              </w:rPr>
              <w:t>.</w:t>
            </w:r>
          </w:p>
          <w:p w14:paraId="63C82973" w14:textId="77777777" w:rsidR="00AA30A5" w:rsidRPr="005F5EDE" w:rsidRDefault="00AA30A5" w:rsidP="00CA527A">
            <w:pPr>
              <w:spacing w:before="0" w:after="0" w:line="240" w:lineRule="auto"/>
              <w:jc w:val="both"/>
              <w:rPr>
                <w:rFonts w:asciiTheme="minorHAnsi" w:eastAsia="Times New Roman" w:hAnsiTheme="minorHAnsi" w:cs="Calibri"/>
                <w:b/>
                <w:bCs/>
                <w:color w:val="000000"/>
                <w:kern w:val="0"/>
                <w:sz w:val="20"/>
                <w:u w:val="single"/>
                <w:lang w:val="en-IE" w:eastAsia="en-IE"/>
              </w:rPr>
            </w:pPr>
          </w:p>
        </w:tc>
      </w:tr>
      <w:tr w:rsidR="005E211E" w:rsidRPr="009B282E" w14:paraId="7FE78B0E" w14:textId="77777777" w:rsidTr="005A4EA8">
        <w:tc>
          <w:tcPr>
            <w:tcW w:w="1673" w:type="dxa"/>
            <w:tcBorders>
              <w:top w:val="single" w:sz="4" w:space="0" w:color="auto"/>
              <w:left w:val="single" w:sz="4" w:space="0" w:color="auto"/>
              <w:bottom w:val="single" w:sz="4" w:space="0" w:color="auto"/>
              <w:right w:val="single" w:sz="4" w:space="0" w:color="auto"/>
            </w:tcBorders>
            <w:vAlign w:val="center"/>
          </w:tcPr>
          <w:p w14:paraId="62E91442" w14:textId="245049C1" w:rsidR="00CA527A" w:rsidRPr="00B407FB" w:rsidRDefault="00487D8E" w:rsidP="00F32516">
            <w:pPr>
              <w:pStyle w:val="InstructionsText"/>
              <w:rPr>
                <w:rStyle w:val="FormatvorlageInstructionsTabelleText"/>
                <w:rFonts w:asciiTheme="minorHAnsi" w:hAnsiTheme="minorHAnsi"/>
              </w:rPr>
            </w:pPr>
            <w:r w:rsidRPr="00B407FB">
              <w:t>C0</w:t>
            </w:r>
            <w:r w:rsidR="00884A5A" w:rsidRPr="00B407FB">
              <w:t>090</w:t>
            </w:r>
          </w:p>
        </w:tc>
        <w:tc>
          <w:tcPr>
            <w:tcW w:w="7616" w:type="dxa"/>
            <w:tcBorders>
              <w:top w:val="nil"/>
              <w:left w:val="single" w:sz="4" w:space="0" w:color="000000" w:themeColor="text1"/>
              <w:bottom w:val="single" w:sz="4" w:space="0" w:color="000000" w:themeColor="text1"/>
              <w:right w:val="single" w:sz="4" w:space="0" w:color="000000" w:themeColor="text1"/>
            </w:tcBorders>
          </w:tcPr>
          <w:p w14:paraId="2570F452" w14:textId="77777777" w:rsidR="005E257A" w:rsidRDefault="00CA527A" w:rsidP="00CA527A">
            <w:pPr>
              <w:spacing w:before="0" w:after="0" w:line="240" w:lineRule="auto"/>
              <w:jc w:val="both"/>
              <w:rPr>
                <w:rFonts w:asciiTheme="minorHAnsi" w:eastAsia="Times New Roman" w:hAnsiTheme="minorHAnsi" w:cs="Calibri"/>
                <w:b/>
                <w:bCs/>
                <w:color w:val="000000"/>
                <w:kern w:val="0"/>
                <w:sz w:val="20"/>
                <w:u w:val="single"/>
                <w:lang w:val="en-IE" w:eastAsia="en-IE"/>
              </w:rPr>
            </w:pPr>
            <w:r w:rsidRPr="005A4EA8">
              <w:rPr>
                <w:rFonts w:asciiTheme="minorHAnsi" w:eastAsia="Times New Roman" w:hAnsiTheme="minorHAnsi" w:cs="Calibri"/>
                <w:b/>
                <w:bCs/>
                <w:color w:val="000000"/>
                <w:kern w:val="0"/>
                <w:sz w:val="20"/>
                <w:u w:val="single"/>
                <w:lang w:val="en-IE" w:eastAsia="en-IE"/>
              </w:rPr>
              <w:t xml:space="preserve">If automated system: </w:t>
            </w:r>
            <w:r w:rsidR="005E257A" w:rsidRPr="00C67992">
              <w:rPr>
                <w:rFonts w:ascii="Aptos" w:eastAsia="Times New Roman" w:hAnsi="Aptos" w:cs="Calibri"/>
                <w:b/>
                <w:bCs/>
                <w:color w:val="000000"/>
                <w:kern w:val="0"/>
                <w:sz w:val="20"/>
                <w:u w:val="single"/>
                <w:lang w:val="en-IE" w:eastAsia="en-IE"/>
              </w:rPr>
              <w:t>Alerts Pending</w:t>
            </w:r>
            <w:r w:rsidR="005E257A" w:rsidRPr="005A4EA8">
              <w:rPr>
                <w:rFonts w:asciiTheme="minorHAnsi" w:eastAsia="Times New Roman" w:hAnsiTheme="minorHAnsi" w:cs="Calibri"/>
                <w:b/>
                <w:bCs/>
                <w:color w:val="000000"/>
                <w:kern w:val="0"/>
                <w:sz w:val="20"/>
                <w:u w:val="single"/>
                <w:lang w:val="en-IE" w:eastAsia="en-IE"/>
              </w:rPr>
              <w:t xml:space="preserve"> </w:t>
            </w:r>
          </w:p>
          <w:p w14:paraId="1FDA1FCE" w14:textId="77777777" w:rsidR="005E257A" w:rsidRDefault="005E257A" w:rsidP="00CA527A">
            <w:pPr>
              <w:spacing w:before="0" w:after="0" w:line="240" w:lineRule="auto"/>
              <w:jc w:val="both"/>
              <w:rPr>
                <w:rFonts w:asciiTheme="minorHAnsi" w:eastAsia="Times New Roman" w:hAnsiTheme="minorHAnsi" w:cs="Calibri"/>
                <w:b/>
                <w:bCs/>
                <w:color w:val="000000"/>
                <w:kern w:val="0"/>
                <w:sz w:val="20"/>
                <w:u w:val="single"/>
                <w:lang w:val="en-IE" w:eastAsia="en-IE"/>
              </w:rPr>
            </w:pPr>
          </w:p>
          <w:p w14:paraId="04839B04" w14:textId="22461FA5" w:rsidR="00491899" w:rsidRPr="00876B90" w:rsidRDefault="00D55029" w:rsidP="00CA527A">
            <w:pPr>
              <w:spacing w:before="0" w:after="0" w:line="240" w:lineRule="auto"/>
              <w:jc w:val="both"/>
              <w:rPr>
                <w:rFonts w:asciiTheme="minorHAnsi" w:eastAsia="Times New Roman" w:hAnsiTheme="minorHAnsi" w:cs="Calibri"/>
                <w:color w:val="000000"/>
                <w:kern w:val="0"/>
                <w:sz w:val="20"/>
                <w:lang w:val="en-IE" w:eastAsia="en-IE"/>
              </w:rPr>
            </w:pPr>
            <w:r w:rsidRPr="00876B90">
              <w:rPr>
                <w:rFonts w:asciiTheme="minorHAnsi" w:eastAsia="Times New Roman" w:hAnsiTheme="minorHAnsi" w:cs="Calibri"/>
                <w:color w:val="000000"/>
                <w:kern w:val="0"/>
                <w:sz w:val="20"/>
                <w:lang w:val="en-IE" w:eastAsia="en-IE"/>
              </w:rPr>
              <w:t>Indicate the n</w:t>
            </w:r>
            <w:r w:rsidR="00491899" w:rsidRPr="00876B90">
              <w:rPr>
                <w:rFonts w:asciiTheme="minorHAnsi" w:eastAsia="Times New Roman" w:hAnsiTheme="minorHAnsi" w:cs="Calibri"/>
                <w:color w:val="000000"/>
                <w:kern w:val="0"/>
                <w:sz w:val="20"/>
                <w:lang w:val="en-IE" w:eastAsia="en-IE"/>
              </w:rPr>
              <w:t>umber of alerts generated by the automated transaction monitoring system that remain open or pending analysis as of as of end of the reference year. An alert is considered 'not analysed' if a final decision (close or escalate to STR) has not yet been taken.</w:t>
            </w:r>
          </w:p>
          <w:p w14:paraId="22BB20D7" w14:textId="536C8052" w:rsidR="007D2A35" w:rsidRPr="005A4EA8" w:rsidRDefault="007D2A35" w:rsidP="00CA527A">
            <w:pPr>
              <w:spacing w:before="0" w:after="0" w:line="240" w:lineRule="auto"/>
              <w:jc w:val="both"/>
              <w:rPr>
                <w:rFonts w:asciiTheme="minorHAnsi" w:eastAsia="Times New Roman" w:hAnsiTheme="minorHAnsi" w:cs="Calibri"/>
                <w:b/>
                <w:bCs/>
                <w:color w:val="000000"/>
                <w:kern w:val="0"/>
                <w:sz w:val="20"/>
                <w:u w:val="single"/>
                <w:lang w:val="en-IE" w:eastAsia="en-IE"/>
              </w:rPr>
            </w:pPr>
          </w:p>
        </w:tc>
      </w:tr>
      <w:tr w:rsidR="005E211E" w:rsidRPr="009B282E" w14:paraId="2B7B0C0A" w14:textId="77777777" w:rsidTr="005A4EA8">
        <w:tc>
          <w:tcPr>
            <w:tcW w:w="1673" w:type="dxa"/>
            <w:tcBorders>
              <w:top w:val="single" w:sz="4" w:space="0" w:color="auto"/>
              <w:left w:val="single" w:sz="4" w:space="0" w:color="auto"/>
              <w:bottom w:val="single" w:sz="4" w:space="0" w:color="auto"/>
              <w:right w:val="single" w:sz="4" w:space="0" w:color="auto"/>
            </w:tcBorders>
            <w:vAlign w:val="center"/>
          </w:tcPr>
          <w:p w14:paraId="70CE85B4" w14:textId="0DFCF54F" w:rsidR="00CA527A" w:rsidRPr="00B407FB" w:rsidRDefault="00487D8E" w:rsidP="00F32516">
            <w:pPr>
              <w:pStyle w:val="InstructionsText"/>
              <w:rPr>
                <w:rStyle w:val="FormatvorlageInstructionsTabelleText"/>
                <w:rFonts w:asciiTheme="minorHAnsi" w:hAnsiTheme="minorHAnsi"/>
                <w:bCs/>
              </w:rPr>
            </w:pPr>
            <w:r w:rsidRPr="00B407FB">
              <w:t>C01</w:t>
            </w:r>
            <w:r w:rsidR="00884A5A" w:rsidRPr="00B407FB">
              <w:t>00</w:t>
            </w:r>
          </w:p>
        </w:tc>
        <w:tc>
          <w:tcPr>
            <w:tcW w:w="7616" w:type="dxa"/>
            <w:tcBorders>
              <w:top w:val="nil"/>
              <w:left w:val="single" w:sz="4" w:space="0" w:color="000000" w:themeColor="text1"/>
              <w:bottom w:val="single" w:sz="4" w:space="0" w:color="000000" w:themeColor="text1"/>
              <w:right w:val="single" w:sz="4" w:space="0" w:color="000000" w:themeColor="text1"/>
            </w:tcBorders>
            <w:vAlign w:val="bottom"/>
          </w:tcPr>
          <w:p w14:paraId="496F5081" w14:textId="77777777" w:rsidR="002C523E" w:rsidRDefault="00CA527A" w:rsidP="002C523E">
            <w:pPr>
              <w:spacing w:before="0" w:after="0" w:line="240" w:lineRule="auto"/>
              <w:jc w:val="both"/>
              <w:rPr>
                <w:rFonts w:asciiTheme="minorHAnsi" w:eastAsia="Times New Roman" w:hAnsiTheme="minorHAnsi" w:cs="Calibri"/>
                <w:b/>
                <w:bCs/>
                <w:color w:val="000000"/>
                <w:kern w:val="0"/>
                <w:sz w:val="20"/>
                <w:u w:val="single"/>
                <w:lang w:val="en-IE" w:eastAsia="en-IE"/>
              </w:rPr>
            </w:pPr>
            <w:r w:rsidRPr="005A4EA8">
              <w:rPr>
                <w:rFonts w:asciiTheme="minorHAnsi" w:eastAsia="Times New Roman" w:hAnsiTheme="minorHAnsi" w:cs="Calibri"/>
                <w:b/>
                <w:bCs/>
                <w:color w:val="000000"/>
                <w:kern w:val="0"/>
                <w:sz w:val="20"/>
                <w:u w:val="single"/>
                <w:lang w:val="en-IE" w:eastAsia="en-IE"/>
              </w:rPr>
              <w:t xml:space="preserve">If automated system: </w:t>
            </w:r>
            <w:r w:rsidRPr="002F64AB">
              <w:rPr>
                <w:rFonts w:ascii="Aptos" w:eastAsia="Times New Roman" w:hAnsi="Aptos" w:cs="Calibri"/>
                <w:b/>
                <w:color w:val="000000"/>
                <w:kern w:val="0"/>
                <w:sz w:val="20"/>
                <w:u w:val="single"/>
                <w:lang w:val="en-IE" w:eastAsia="en-IE"/>
              </w:rPr>
              <w:t xml:space="preserve">Average </w:t>
            </w:r>
            <w:r w:rsidR="002C523E" w:rsidRPr="002F64AB">
              <w:rPr>
                <w:rFonts w:ascii="Aptos" w:eastAsia="Times New Roman" w:hAnsi="Aptos" w:cs="Calibri"/>
                <w:b/>
                <w:bCs/>
                <w:color w:val="000000"/>
                <w:kern w:val="0"/>
                <w:sz w:val="20"/>
                <w:u w:val="single"/>
                <w:lang w:val="en-IE" w:eastAsia="en-IE"/>
              </w:rPr>
              <w:t>Alert Analysis Time (Days)</w:t>
            </w:r>
          </w:p>
          <w:p w14:paraId="7CC7FF71" w14:textId="77777777" w:rsidR="002C523E" w:rsidRDefault="002C523E" w:rsidP="00CA527A">
            <w:pPr>
              <w:spacing w:before="0" w:after="0" w:line="240" w:lineRule="auto"/>
              <w:jc w:val="both"/>
              <w:rPr>
                <w:rFonts w:asciiTheme="minorHAnsi" w:eastAsia="Times New Roman" w:hAnsiTheme="minorHAnsi" w:cs="Calibri"/>
                <w:b/>
                <w:bCs/>
                <w:color w:val="000000"/>
                <w:kern w:val="0"/>
                <w:sz w:val="20"/>
                <w:u w:val="single"/>
                <w:lang w:val="en-IE" w:eastAsia="en-IE"/>
              </w:rPr>
            </w:pPr>
          </w:p>
          <w:p w14:paraId="6D1D8E0A" w14:textId="3D4E7F1E" w:rsidR="00CA527A" w:rsidRPr="00207BD7" w:rsidRDefault="002C523E" w:rsidP="00CA527A">
            <w:pPr>
              <w:spacing w:before="0" w:after="0" w:line="240" w:lineRule="auto"/>
              <w:jc w:val="both"/>
              <w:rPr>
                <w:rFonts w:asciiTheme="minorHAnsi" w:eastAsia="Times New Roman" w:hAnsiTheme="minorHAnsi" w:cs="Calibri"/>
                <w:color w:val="000000"/>
                <w:kern w:val="0"/>
                <w:sz w:val="20"/>
                <w:lang w:val="en-IE" w:eastAsia="en-IE"/>
              </w:rPr>
            </w:pPr>
            <w:r w:rsidRPr="00876B90">
              <w:rPr>
                <w:rFonts w:asciiTheme="minorHAnsi" w:eastAsia="Times New Roman" w:hAnsiTheme="minorHAnsi" w:cs="Calibri"/>
                <w:color w:val="000000"/>
                <w:kern w:val="0"/>
                <w:sz w:val="20"/>
                <w:lang w:val="en-IE" w:eastAsia="en-IE"/>
              </w:rPr>
              <w:t xml:space="preserve">Indicate </w:t>
            </w:r>
            <w:r w:rsidR="00207BD7">
              <w:rPr>
                <w:rFonts w:asciiTheme="minorHAnsi" w:eastAsia="Times New Roman" w:hAnsiTheme="minorHAnsi" w:cs="Calibri"/>
                <w:color w:val="000000"/>
                <w:kern w:val="0"/>
                <w:sz w:val="20"/>
                <w:lang w:val="en-IE" w:eastAsia="en-IE"/>
              </w:rPr>
              <w:t xml:space="preserve">the </w:t>
            </w:r>
            <w:r w:rsidR="002547F4" w:rsidRPr="002547F4">
              <w:rPr>
                <w:rFonts w:asciiTheme="minorHAnsi" w:eastAsia="Times New Roman" w:hAnsiTheme="minorHAnsi" w:cs="Calibri"/>
                <w:color w:val="000000"/>
                <w:kern w:val="0"/>
                <w:sz w:val="20"/>
                <w:lang w:val="en-IE" w:eastAsia="en-IE"/>
              </w:rPr>
              <w:t>a</w:t>
            </w:r>
            <w:r w:rsidR="00CA527A" w:rsidRPr="00207BD7">
              <w:rPr>
                <w:rFonts w:asciiTheme="minorHAnsi" w:eastAsia="Times New Roman" w:hAnsiTheme="minorHAnsi" w:cs="Calibri"/>
                <w:color w:val="000000"/>
                <w:kern w:val="0"/>
                <w:sz w:val="20"/>
                <w:lang w:val="en-IE" w:eastAsia="en-IE"/>
              </w:rPr>
              <w:t xml:space="preserve">verage time to analyse an alert </w:t>
            </w:r>
            <w:r w:rsidRPr="00207BD7">
              <w:rPr>
                <w:rFonts w:asciiTheme="minorHAnsi" w:eastAsia="Times New Roman" w:hAnsiTheme="minorHAnsi" w:cs="Calibri"/>
                <w:color w:val="000000"/>
                <w:kern w:val="0"/>
                <w:sz w:val="20"/>
                <w:lang w:val="en-IE" w:eastAsia="en-IE"/>
              </w:rPr>
              <w:t>du</w:t>
            </w:r>
            <w:r w:rsidR="0064018A" w:rsidRPr="00207BD7">
              <w:rPr>
                <w:rFonts w:asciiTheme="minorHAnsi" w:eastAsia="Times New Roman" w:hAnsiTheme="minorHAnsi" w:cs="Calibri"/>
                <w:color w:val="000000"/>
                <w:kern w:val="0"/>
                <w:sz w:val="20"/>
                <w:lang w:val="en-IE" w:eastAsia="en-IE"/>
              </w:rPr>
              <w:t xml:space="preserve">ring the reference year </w:t>
            </w:r>
            <w:r w:rsidR="00CA527A" w:rsidRPr="00207BD7">
              <w:rPr>
                <w:rFonts w:asciiTheme="minorHAnsi" w:eastAsia="Times New Roman" w:hAnsiTheme="minorHAnsi" w:cs="Calibri"/>
                <w:color w:val="000000"/>
                <w:kern w:val="0"/>
                <w:sz w:val="20"/>
                <w:lang w:val="en-IE" w:eastAsia="en-IE"/>
              </w:rPr>
              <w:t>(number of days between that the alert was generated and the moment that the alert was closed)</w:t>
            </w:r>
          </w:p>
          <w:p w14:paraId="3DEC40B4" w14:textId="4D7A3F2A" w:rsidR="00364D11" w:rsidRPr="005A4EA8" w:rsidRDefault="00364D11" w:rsidP="00CA527A">
            <w:pPr>
              <w:spacing w:before="0" w:after="0" w:line="240" w:lineRule="auto"/>
              <w:jc w:val="both"/>
              <w:rPr>
                <w:rFonts w:asciiTheme="minorHAnsi" w:eastAsia="Times New Roman" w:hAnsiTheme="minorHAnsi" w:cs="Calibri"/>
                <w:color w:val="000000"/>
                <w:kern w:val="0"/>
                <w:sz w:val="20"/>
                <w:lang w:val="en-IE" w:eastAsia="en-IE"/>
              </w:rPr>
            </w:pPr>
          </w:p>
        </w:tc>
      </w:tr>
      <w:tr w:rsidR="005E211E" w:rsidRPr="009B282E" w14:paraId="379DA04A" w14:textId="77777777" w:rsidTr="005A4EA8">
        <w:tc>
          <w:tcPr>
            <w:tcW w:w="1673" w:type="dxa"/>
            <w:tcBorders>
              <w:top w:val="single" w:sz="4" w:space="0" w:color="auto"/>
              <w:left w:val="single" w:sz="4" w:space="0" w:color="auto"/>
              <w:bottom w:val="single" w:sz="4" w:space="0" w:color="auto"/>
              <w:right w:val="single" w:sz="4" w:space="0" w:color="auto"/>
            </w:tcBorders>
            <w:vAlign w:val="center"/>
          </w:tcPr>
          <w:p w14:paraId="2A899C86" w14:textId="034B5E19" w:rsidR="00CA527A" w:rsidRPr="00B407FB" w:rsidRDefault="00487D8E" w:rsidP="00F32516">
            <w:pPr>
              <w:pStyle w:val="InstructionsText"/>
              <w:rPr>
                <w:rStyle w:val="FormatvorlageInstructionsTabelleText"/>
                <w:rFonts w:asciiTheme="minorHAnsi" w:hAnsiTheme="minorHAnsi"/>
                <w:bCs/>
              </w:rPr>
            </w:pPr>
            <w:r w:rsidRPr="00B407FB">
              <w:t>C01</w:t>
            </w:r>
            <w:r w:rsidR="00884A5A" w:rsidRPr="00B407FB">
              <w:t>10</w:t>
            </w:r>
          </w:p>
        </w:tc>
        <w:tc>
          <w:tcPr>
            <w:tcW w:w="7616" w:type="dxa"/>
            <w:tcBorders>
              <w:top w:val="nil"/>
              <w:left w:val="single" w:sz="4" w:space="0" w:color="000000" w:themeColor="text1"/>
              <w:bottom w:val="single" w:sz="4" w:space="0" w:color="000000" w:themeColor="text1"/>
              <w:right w:val="single" w:sz="4" w:space="0" w:color="000000" w:themeColor="text1"/>
            </w:tcBorders>
          </w:tcPr>
          <w:p w14:paraId="7BA376D1" w14:textId="77777777" w:rsidR="006E5297" w:rsidRDefault="006E5297" w:rsidP="006E5297">
            <w:pPr>
              <w:spacing w:before="0" w:after="0" w:line="240" w:lineRule="auto"/>
              <w:jc w:val="both"/>
              <w:rPr>
                <w:rFonts w:asciiTheme="minorHAnsi" w:eastAsia="Times New Roman" w:hAnsiTheme="minorHAnsi" w:cs="Calibri"/>
                <w:color w:val="000000"/>
                <w:kern w:val="0"/>
                <w:sz w:val="20"/>
                <w:lang w:val="en-IE" w:eastAsia="en-IE"/>
              </w:rPr>
            </w:pPr>
            <w:r w:rsidRPr="00301540">
              <w:rPr>
                <w:rFonts w:asciiTheme="minorHAnsi" w:eastAsia="Times New Roman" w:hAnsiTheme="minorHAnsi" w:cs="Calibri"/>
                <w:b/>
                <w:bCs/>
                <w:color w:val="000000"/>
                <w:kern w:val="0"/>
                <w:sz w:val="20"/>
                <w:u w:val="single"/>
                <w:lang w:val="en-IE" w:eastAsia="en-IE"/>
              </w:rPr>
              <w:t xml:space="preserve">If automated system: total number of </w:t>
            </w:r>
            <w:r>
              <w:rPr>
                <w:rFonts w:asciiTheme="minorHAnsi" w:eastAsia="Times New Roman" w:hAnsiTheme="minorHAnsi" w:cs="Calibri"/>
                <w:b/>
                <w:bCs/>
                <w:color w:val="000000"/>
                <w:kern w:val="0"/>
                <w:sz w:val="20"/>
                <w:u w:val="single"/>
                <w:lang w:val="en-IE" w:eastAsia="en-IE"/>
              </w:rPr>
              <w:t>alerts</w:t>
            </w:r>
          </w:p>
          <w:p w14:paraId="491233F3" w14:textId="60F5A240" w:rsidR="006E5297" w:rsidRDefault="006E5297" w:rsidP="006E5297">
            <w:pPr>
              <w:spacing w:before="0" w:after="0" w:line="240" w:lineRule="auto"/>
              <w:jc w:val="both"/>
              <w:rPr>
                <w:rFonts w:asciiTheme="minorHAnsi" w:eastAsia="Times New Roman" w:hAnsiTheme="minorHAnsi" w:cs="Calibri"/>
                <w:color w:val="000000"/>
                <w:kern w:val="0"/>
                <w:sz w:val="20"/>
                <w:lang w:val="en-IE" w:eastAsia="en-IE"/>
              </w:rPr>
            </w:pPr>
          </w:p>
          <w:p w14:paraId="58A71B9A" w14:textId="30E67474" w:rsidR="00491899" w:rsidRDefault="00E80FCD" w:rsidP="00A554C8">
            <w:pPr>
              <w:spacing w:before="0" w:after="0" w:line="240" w:lineRule="auto"/>
              <w:jc w:val="both"/>
              <w:rPr>
                <w:rFonts w:asciiTheme="minorHAnsi" w:eastAsia="Times New Roman" w:hAnsiTheme="minorHAnsi" w:cs="Calibri"/>
                <w:color w:val="000000"/>
                <w:kern w:val="0"/>
                <w:sz w:val="20"/>
                <w:lang w:val="en-IE" w:eastAsia="en-IE"/>
              </w:rPr>
            </w:pPr>
            <w:r>
              <w:rPr>
                <w:rFonts w:asciiTheme="minorHAnsi" w:eastAsia="Times New Roman" w:hAnsiTheme="minorHAnsi" w:cs="Calibri"/>
                <w:color w:val="000000"/>
                <w:kern w:val="0"/>
                <w:sz w:val="20"/>
                <w:lang w:val="en-IE" w:eastAsia="en-IE"/>
              </w:rPr>
              <w:t>Indicate the n</w:t>
            </w:r>
            <w:r w:rsidR="00491899">
              <w:rPr>
                <w:rFonts w:asciiTheme="minorHAnsi" w:eastAsia="Times New Roman" w:hAnsiTheme="minorHAnsi" w:cs="Calibri"/>
                <w:color w:val="000000"/>
                <w:kern w:val="0"/>
                <w:sz w:val="20"/>
                <w:lang w:val="en-IE" w:eastAsia="en-IE"/>
              </w:rPr>
              <w:t>umber of alerts</w:t>
            </w:r>
            <w:r w:rsidR="00391D25">
              <w:rPr>
                <w:rFonts w:asciiTheme="minorHAnsi" w:eastAsia="Times New Roman" w:hAnsiTheme="minorHAnsi" w:cs="Calibri"/>
                <w:color w:val="000000"/>
                <w:kern w:val="0"/>
                <w:sz w:val="20"/>
                <w:lang w:val="en-IE" w:eastAsia="en-IE"/>
              </w:rPr>
              <w:t xml:space="preserve"> </w:t>
            </w:r>
            <w:r w:rsidR="00491899">
              <w:rPr>
                <w:rFonts w:asciiTheme="minorHAnsi" w:eastAsia="Times New Roman" w:hAnsiTheme="minorHAnsi" w:cs="Calibri"/>
                <w:color w:val="000000"/>
                <w:kern w:val="0"/>
                <w:sz w:val="20"/>
                <w:lang w:val="en-IE" w:eastAsia="en-IE"/>
              </w:rPr>
              <w:t xml:space="preserve">generated by the automated transaction monitoring systems in accordance with Article 26(1) AMLR. This should include alerts generated during the reference year even if the related STRs </w:t>
            </w:r>
            <w:r w:rsidR="005F29EB">
              <w:rPr>
                <w:rFonts w:asciiTheme="minorHAnsi" w:eastAsia="Times New Roman" w:hAnsiTheme="minorHAnsi" w:cs="Calibri"/>
                <w:color w:val="000000"/>
                <w:kern w:val="0"/>
                <w:sz w:val="20"/>
                <w:lang w:val="en-IE" w:eastAsia="en-IE"/>
              </w:rPr>
              <w:t>(if applicable)</w:t>
            </w:r>
            <w:r w:rsidR="00491899">
              <w:rPr>
                <w:rFonts w:asciiTheme="minorHAnsi" w:eastAsia="Times New Roman" w:hAnsiTheme="minorHAnsi" w:cs="Calibri"/>
                <w:color w:val="000000"/>
                <w:kern w:val="0"/>
                <w:sz w:val="20"/>
                <w:lang w:val="en-IE" w:eastAsia="en-IE"/>
              </w:rPr>
              <w:t xml:space="preserve"> were reported during the year following the reference year. </w:t>
            </w:r>
          </w:p>
          <w:p w14:paraId="212DFC97" w14:textId="77777777" w:rsidR="003D7140" w:rsidRDefault="003D7140" w:rsidP="00A554C8">
            <w:pPr>
              <w:spacing w:before="0" w:after="0" w:line="240" w:lineRule="auto"/>
              <w:jc w:val="both"/>
              <w:rPr>
                <w:rFonts w:asciiTheme="minorHAnsi" w:eastAsia="Times New Roman" w:hAnsiTheme="minorHAnsi" w:cs="Calibri"/>
                <w:color w:val="000000"/>
                <w:kern w:val="0"/>
                <w:sz w:val="20"/>
                <w:lang w:val="en-IE" w:eastAsia="en-IE"/>
              </w:rPr>
            </w:pPr>
          </w:p>
          <w:p w14:paraId="6F7D0F2B" w14:textId="75177D47" w:rsidR="00491899" w:rsidRDefault="00491899" w:rsidP="00A554C8">
            <w:pPr>
              <w:spacing w:before="0" w:after="0" w:line="240" w:lineRule="auto"/>
              <w:jc w:val="both"/>
              <w:rPr>
                <w:rFonts w:asciiTheme="minorHAnsi" w:eastAsia="Times New Roman" w:hAnsiTheme="minorHAnsi" w:cs="Calibri"/>
                <w:color w:val="000000"/>
                <w:kern w:val="0"/>
                <w:sz w:val="20"/>
                <w:lang w:val="en-IE" w:eastAsia="en-IE"/>
              </w:rPr>
            </w:pPr>
            <w:r>
              <w:rPr>
                <w:rFonts w:asciiTheme="minorHAnsi" w:eastAsia="Times New Roman" w:hAnsiTheme="minorHAnsi" w:cs="Calibri"/>
                <w:color w:val="000000"/>
                <w:kern w:val="0"/>
                <w:sz w:val="20"/>
                <w:lang w:val="en-IE" w:eastAsia="en-IE"/>
              </w:rPr>
              <w:t>This excludes alerts of systems exclusively meant to detect transaction subject to targeted financial sanctions or politically exposed persons.</w:t>
            </w:r>
          </w:p>
          <w:p w14:paraId="7C467FB1" w14:textId="1DDAD729" w:rsidR="00A554C8" w:rsidRPr="005A4EA8" w:rsidRDefault="00A554C8" w:rsidP="00A554C8">
            <w:pPr>
              <w:spacing w:before="0" w:after="0" w:line="240" w:lineRule="auto"/>
              <w:jc w:val="both"/>
              <w:rPr>
                <w:rFonts w:asciiTheme="minorHAnsi" w:eastAsia="Times New Roman" w:hAnsiTheme="minorHAnsi" w:cs="Calibri"/>
                <w:color w:val="000000"/>
                <w:kern w:val="0"/>
                <w:sz w:val="20"/>
                <w:lang w:val="en-IE" w:eastAsia="en-IE"/>
              </w:rPr>
            </w:pPr>
          </w:p>
        </w:tc>
      </w:tr>
      <w:tr w:rsidR="005E211E" w:rsidRPr="009B282E" w14:paraId="67A02872" w14:textId="77777777" w:rsidTr="005A4EA8">
        <w:tc>
          <w:tcPr>
            <w:tcW w:w="1673" w:type="dxa"/>
            <w:tcBorders>
              <w:top w:val="single" w:sz="4" w:space="0" w:color="auto"/>
              <w:left w:val="single" w:sz="4" w:space="0" w:color="auto"/>
              <w:bottom w:val="single" w:sz="4" w:space="0" w:color="auto"/>
              <w:right w:val="single" w:sz="4" w:space="0" w:color="auto"/>
            </w:tcBorders>
            <w:vAlign w:val="center"/>
          </w:tcPr>
          <w:p w14:paraId="55CE7E78" w14:textId="77777777" w:rsidR="00014B6B" w:rsidRPr="00A70B3F" w:rsidRDefault="00014B6B" w:rsidP="00F32516">
            <w:pPr>
              <w:pStyle w:val="InstructionsText"/>
            </w:pPr>
            <w:r w:rsidRPr="00A70B3F">
              <w:t>C0120</w:t>
            </w:r>
          </w:p>
          <w:p w14:paraId="114E7D39" w14:textId="77777777" w:rsidR="00014B6B" w:rsidRPr="00A70B3F" w:rsidRDefault="00014B6B" w:rsidP="00F32516">
            <w:pPr>
              <w:pStyle w:val="InstructionsText"/>
            </w:pPr>
          </w:p>
        </w:tc>
        <w:tc>
          <w:tcPr>
            <w:tcW w:w="7616" w:type="dxa"/>
            <w:tcBorders>
              <w:top w:val="nil"/>
              <w:left w:val="single" w:sz="4" w:space="0" w:color="000000" w:themeColor="text1"/>
              <w:bottom w:val="single" w:sz="4" w:space="0" w:color="000000" w:themeColor="text1"/>
              <w:right w:val="single" w:sz="4" w:space="0" w:color="000000" w:themeColor="text1"/>
            </w:tcBorders>
          </w:tcPr>
          <w:p w14:paraId="5652B762" w14:textId="68616385" w:rsidR="006E5297" w:rsidRPr="005A4EA8" w:rsidRDefault="006E5297" w:rsidP="006E5297">
            <w:pPr>
              <w:spacing w:before="0" w:after="0" w:line="240" w:lineRule="auto"/>
              <w:jc w:val="both"/>
              <w:rPr>
                <w:rFonts w:asciiTheme="minorHAnsi" w:eastAsia="Times New Roman" w:hAnsiTheme="minorHAnsi" w:cs="Calibri"/>
                <w:b/>
                <w:color w:val="000000"/>
                <w:kern w:val="0"/>
                <w:sz w:val="20"/>
                <w:u w:val="single"/>
                <w:lang w:val="en-IE" w:eastAsia="en-IE"/>
              </w:rPr>
            </w:pPr>
            <w:r w:rsidRPr="005A4EA8">
              <w:rPr>
                <w:rFonts w:asciiTheme="minorHAnsi" w:eastAsia="Times New Roman" w:hAnsiTheme="minorHAnsi" w:cs="Calibri"/>
                <w:b/>
                <w:color w:val="000000"/>
                <w:kern w:val="0"/>
                <w:sz w:val="20"/>
                <w:u w:val="single"/>
                <w:lang w:val="en-IE" w:eastAsia="en-IE"/>
              </w:rPr>
              <w:t>If automated system:</w:t>
            </w:r>
            <w:r>
              <w:rPr>
                <w:rFonts w:asciiTheme="minorHAnsi" w:eastAsia="Times New Roman" w:hAnsiTheme="minorHAnsi" w:cs="Calibri"/>
                <w:b/>
                <w:color w:val="000000"/>
                <w:kern w:val="0"/>
                <w:sz w:val="20"/>
                <w:u w:val="single"/>
                <w:lang w:val="en-IE" w:eastAsia="en-IE"/>
              </w:rPr>
              <w:t xml:space="preserve"> </w:t>
            </w:r>
            <w:r>
              <w:rPr>
                <w:rFonts w:asciiTheme="minorHAnsi" w:eastAsia="Times New Roman" w:hAnsiTheme="minorHAnsi" w:cs="Calibri"/>
                <w:b/>
                <w:bCs/>
                <w:color w:val="000000"/>
                <w:kern w:val="0"/>
                <w:sz w:val="20"/>
                <w:u w:val="single"/>
                <w:lang w:val="en-IE" w:eastAsia="en-IE"/>
              </w:rPr>
              <w:t>total</w:t>
            </w:r>
            <w:r w:rsidDel="00BB00E4">
              <w:rPr>
                <w:rFonts w:asciiTheme="minorHAnsi" w:eastAsia="Times New Roman" w:hAnsiTheme="minorHAnsi" w:cs="Calibri"/>
                <w:b/>
                <w:color w:val="000000"/>
                <w:kern w:val="0"/>
                <w:sz w:val="20"/>
                <w:u w:val="single"/>
                <w:lang w:val="en-IE" w:eastAsia="en-IE"/>
              </w:rPr>
              <w:t xml:space="preserve"> </w:t>
            </w:r>
            <w:r>
              <w:rPr>
                <w:rFonts w:asciiTheme="minorHAnsi" w:eastAsia="Times New Roman" w:hAnsiTheme="minorHAnsi" w:cs="Calibri"/>
                <w:b/>
                <w:bCs/>
                <w:color w:val="000000"/>
                <w:kern w:val="0"/>
                <w:sz w:val="20"/>
                <w:u w:val="single"/>
                <w:lang w:val="en-IE" w:eastAsia="en-IE"/>
              </w:rPr>
              <w:t>number of</w:t>
            </w:r>
            <w:r w:rsidR="00162DD2">
              <w:rPr>
                <w:rFonts w:asciiTheme="minorHAnsi" w:eastAsia="Times New Roman" w:hAnsiTheme="minorHAnsi" w:cs="Calibri"/>
                <w:b/>
                <w:bCs/>
                <w:color w:val="000000"/>
                <w:kern w:val="0"/>
                <w:sz w:val="20"/>
                <w:u w:val="single"/>
                <w:lang w:val="en-IE" w:eastAsia="en-IE"/>
              </w:rPr>
              <w:t xml:space="preserve"> </w:t>
            </w:r>
            <w:r w:rsidRPr="005A4EA8">
              <w:rPr>
                <w:rFonts w:asciiTheme="minorHAnsi" w:eastAsia="Times New Roman" w:hAnsiTheme="minorHAnsi" w:cs="Calibri"/>
                <w:b/>
                <w:bCs/>
                <w:color w:val="000000"/>
                <w:kern w:val="0"/>
                <w:sz w:val="20"/>
                <w:u w:val="single"/>
                <w:lang w:val="en-IE" w:eastAsia="en-IE"/>
              </w:rPr>
              <w:t>STRs</w:t>
            </w:r>
            <w:r>
              <w:rPr>
                <w:rFonts w:asciiTheme="minorHAnsi" w:eastAsia="Times New Roman" w:hAnsiTheme="minorHAnsi" w:cs="Calibri"/>
                <w:b/>
                <w:bCs/>
                <w:color w:val="000000"/>
                <w:kern w:val="0"/>
                <w:sz w:val="20"/>
                <w:u w:val="single"/>
                <w:lang w:val="en-IE" w:eastAsia="en-IE"/>
              </w:rPr>
              <w:t xml:space="preserve"> submitted to the FIU</w:t>
            </w:r>
          </w:p>
          <w:p w14:paraId="3E521D9E" w14:textId="2BBBC535" w:rsidR="006E5297" w:rsidRDefault="006E5297" w:rsidP="006E5297">
            <w:pPr>
              <w:spacing w:before="0" w:after="0" w:line="240" w:lineRule="auto"/>
              <w:jc w:val="both"/>
              <w:rPr>
                <w:rFonts w:asciiTheme="minorHAnsi" w:eastAsia="Times New Roman" w:hAnsiTheme="minorHAnsi" w:cs="Calibri"/>
                <w:color w:val="000000"/>
                <w:kern w:val="0"/>
                <w:sz w:val="20"/>
                <w:lang w:val="en-IE" w:eastAsia="en-IE"/>
              </w:rPr>
            </w:pPr>
          </w:p>
          <w:p w14:paraId="0C6DB74E" w14:textId="426A1D7B" w:rsidR="003F5427" w:rsidRDefault="00491899" w:rsidP="00CA527A">
            <w:pPr>
              <w:spacing w:before="0" w:after="0" w:line="240" w:lineRule="auto"/>
              <w:jc w:val="both"/>
              <w:rPr>
                <w:rFonts w:asciiTheme="minorHAnsi" w:eastAsia="Times New Roman" w:hAnsiTheme="minorHAnsi" w:cs="Calibri"/>
                <w:color w:val="000000"/>
                <w:kern w:val="0"/>
                <w:sz w:val="20"/>
                <w:lang w:val="en-IE" w:eastAsia="en-IE"/>
              </w:rPr>
            </w:pPr>
            <w:r w:rsidRPr="003C1E55">
              <w:rPr>
                <w:rFonts w:asciiTheme="minorHAnsi" w:eastAsia="Times New Roman" w:hAnsiTheme="minorHAnsi" w:cs="Calibri"/>
                <w:color w:val="000000"/>
                <w:kern w:val="0"/>
                <w:sz w:val="20"/>
                <w:lang w:val="en-IE" w:eastAsia="en-IE"/>
              </w:rPr>
              <w:t xml:space="preserve">The data to be provided here is the number of STRs </w:t>
            </w:r>
            <w:r w:rsidR="00F22334">
              <w:rPr>
                <w:rFonts w:asciiTheme="minorHAnsi" w:eastAsia="Times New Roman" w:hAnsiTheme="minorHAnsi" w:cs="Calibri"/>
                <w:color w:val="000000"/>
                <w:kern w:val="0"/>
                <w:sz w:val="20"/>
                <w:lang w:val="en-IE" w:eastAsia="en-IE"/>
              </w:rPr>
              <w:t xml:space="preserve">initially </w:t>
            </w:r>
            <w:r w:rsidRPr="003C1E55">
              <w:rPr>
                <w:rFonts w:asciiTheme="minorHAnsi" w:eastAsia="Times New Roman" w:hAnsiTheme="minorHAnsi" w:cs="Calibri"/>
                <w:color w:val="000000"/>
                <w:kern w:val="0"/>
                <w:sz w:val="20"/>
                <w:lang w:val="en-IE" w:eastAsia="en-IE"/>
              </w:rPr>
              <w:t xml:space="preserve">reported during the reference year and resulting from alerts generated by the automated transaction monitoring systems in accordance with Article 26(1) AMLR. </w:t>
            </w:r>
          </w:p>
          <w:p w14:paraId="4734858F" w14:textId="77777777" w:rsidR="003F5427" w:rsidRDefault="003F5427" w:rsidP="00CA527A">
            <w:pPr>
              <w:spacing w:before="0" w:after="0" w:line="240" w:lineRule="auto"/>
              <w:jc w:val="both"/>
              <w:rPr>
                <w:rFonts w:asciiTheme="minorHAnsi" w:eastAsia="Times New Roman" w:hAnsiTheme="minorHAnsi" w:cs="Calibri"/>
                <w:color w:val="000000"/>
                <w:kern w:val="0"/>
                <w:sz w:val="20"/>
                <w:lang w:val="en-IE" w:eastAsia="en-IE"/>
              </w:rPr>
            </w:pPr>
          </w:p>
          <w:p w14:paraId="3E7CBB03" w14:textId="513DB7A5" w:rsidR="00491899" w:rsidRPr="003C1E55" w:rsidRDefault="00491899" w:rsidP="00CA527A">
            <w:pPr>
              <w:spacing w:before="0" w:after="0" w:line="240" w:lineRule="auto"/>
              <w:jc w:val="both"/>
              <w:rPr>
                <w:rFonts w:asciiTheme="minorHAnsi" w:eastAsia="Times New Roman" w:hAnsiTheme="minorHAnsi" w:cs="Calibri"/>
                <w:color w:val="000000"/>
                <w:kern w:val="0"/>
                <w:sz w:val="20"/>
                <w:lang w:val="en-IE" w:eastAsia="en-IE"/>
              </w:rPr>
            </w:pPr>
            <w:r w:rsidRPr="003C1E55">
              <w:rPr>
                <w:rFonts w:asciiTheme="minorHAnsi" w:eastAsia="Times New Roman" w:hAnsiTheme="minorHAnsi" w:cs="Calibri"/>
                <w:color w:val="000000"/>
                <w:kern w:val="0"/>
                <w:sz w:val="20"/>
                <w:lang w:val="en-IE" w:eastAsia="en-IE"/>
              </w:rPr>
              <w:t xml:space="preserve">This should include STRs </w:t>
            </w:r>
            <w:r w:rsidR="003C1DD1">
              <w:rPr>
                <w:rFonts w:asciiTheme="minorHAnsi" w:eastAsia="Times New Roman" w:hAnsiTheme="minorHAnsi" w:cs="Calibri"/>
                <w:color w:val="000000"/>
                <w:kern w:val="0"/>
                <w:sz w:val="20"/>
                <w:lang w:val="en-IE" w:eastAsia="en-IE"/>
              </w:rPr>
              <w:t xml:space="preserve">initially </w:t>
            </w:r>
            <w:r w:rsidRPr="003C1E55">
              <w:rPr>
                <w:rFonts w:asciiTheme="minorHAnsi" w:eastAsia="Times New Roman" w:hAnsiTheme="minorHAnsi" w:cs="Calibri"/>
                <w:color w:val="000000"/>
                <w:kern w:val="0"/>
                <w:sz w:val="20"/>
                <w:lang w:val="en-IE" w:eastAsia="en-IE"/>
              </w:rPr>
              <w:t>reported during the reference year even if the related alerts from the automated system were generated during the year before the reference year.</w:t>
            </w:r>
          </w:p>
          <w:p w14:paraId="0B26B952" w14:textId="51477C69" w:rsidR="00014B6B" w:rsidRPr="005A4EA8" w:rsidRDefault="00014B6B" w:rsidP="00CA527A">
            <w:pPr>
              <w:spacing w:before="0" w:after="0" w:line="240" w:lineRule="auto"/>
              <w:jc w:val="both"/>
              <w:rPr>
                <w:rFonts w:asciiTheme="minorHAnsi" w:eastAsia="Times New Roman" w:hAnsiTheme="minorHAnsi" w:cs="Calibri"/>
                <w:b/>
                <w:color w:val="000000"/>
                <w:kern w:val="0"/>
                <w:sz w:val="20"/>
                <w:u w:val="single"/>
                <w:lang w:val="en-IE" w:eastAsia="en-IE"/>
              </w:rPr>
            </w:pPr>
          </w:p>
        </w:tc>
      </w:tr>
      <w:tr w:rsidR="005E211E" w:rsidRPr="009B282E" w14:paraId="4456CA2E" w14:textId="77777777" w:rsidTr="005A4EA8">
        <w:tc>
          <w:tcPr>
            <w:tcW w:w="1673" w:type="dxa"/>
            <w:tcBorders>
              <w:top w:val="single" w:sz="4" w:space="0" w:color="auto"/>
              <w:left w:val="single" w:sz="4" w:space="0" w:color="auto"/>
              <w:bottom w:val="single" w:sz="4" w:space="0" w:color="auto"/>
              <w:right w:val="single" w:sz="4" w:space="0" w:color="auto"/>
            </w:tcBorders>
            <w:vAlign w:val="center"/>
          </w:tcPr>
          <w:p w14:paraId="33FC8EDD" w14:textId="3C9BE061" w:rsidR="00487D8E" w:rsidRPr="00B407FB" w:rsidRDefault="00884A5A" w:rsidP="00F32516">
            <w:pPr>
              <w:pStyle w:val="InstructionsText"/>
            </w:pPr>
            <w:r w:rsidRPr="00A70B3F">
              <w:t>C01</w:t>
            </w:r>
            <w:r w:rsidR="005419F1">
              <w:t>3</w:t>
            </w:r>
            <w:r w:rsidRPr="00A70B3F">
              <w:t>0</w:t>
            </w:r>
          </w:p>
          <w:p w14:paraId="351AFB71" w14:textId="61E7331D" w:rsidR="00CA527A" w:rsidRPr="00B407FB" w:rsidRDefault="00CA527A" w:rsidP="00F32516">
            <w:pPr>
              <w:pStyle w:val="InstructionsText"/>
              <w:rPr>
                <w:rStyle w:val="FormatvorlageInstructionsTabelleText"/>
                <w:rFonts w:asciiTheme="minorHAnsi" w:hAnsiTheme="minorHAnsi"/>
                <w:bCs/>
              </w:rPr>
            </w:pPr>
          </w:p>
        </w:tc>
        <w:tc>
          <w:tcPr>
            <w:tcW w:w="7616" w:type="dxa"/>
            <w:tcBorders>
              <w:top w:val="nil"/>
              <w:left w:val="single" w:sz="4" w:space="0" w:color="000000" w:themeColor="text1"/>
              <w:bottom w:val="nil"/>
              <w:right w:val="single" w:sz="4" w:space="0" w:color="000000" w:themeColor="text1"/>
            </w:tcBorders>
          </w:tcPr>
          <w:p w14:paraId="1028EF38" w14:textId="77777777" w:rsidR="00491899" w:rsidRDefault="00491899" w:rsidP="00CA527A">
            <w:pPr>
              <w:spacing w:before="0" w:after="0" w:line="240" w:lineRule="auto"/>
              <w:jc w:val="both"/>
              <w:rPr>
                <w:rFonts w:asciiTheme="minorHAnsi" w:eastAsia="Times New Roman" w:hAnsiTheme="minorHAnsi" w:cs="Calibri"/>
                <w:b/>
                <w:bCs/>
                <w:color w:val="000000"/>
                <w:kern w:val="0"/>
                <w:sz w:val="20"/>
                <w:u w:val="single"/>
                <w:lang w:val="en-IE" w:eastAsia="en-IE"/>
              </w:rPr>
            </w:pPr>
            <w:r w:rsidRPr="00075902">
              <w:rPr>
                <w:rFonts w:ascii="Aptos" w:eastAsia="Times New Roman" w:hAnsi="Aptos" w:cs="Calibri"/>
                <w:b/>
                <w:bCs/>
                <w:color w:val="000000"/>
                <w:kern w:val="0"/>
                <w:sz w:val="20"/>
                <w:u w:val="single"/>
                <w:lang w:val="en-IE" w:eastAsia="en-IE"/>
              </w:rPr>
              <w:t>DLT/Blockchain Analysis Tool</w:t>
            </w:r>
          </w:p>
          <w:p w14:paraId="7526228D" w14:textId="521F2706" w:rsidR="0046549E" w:rsidRDefault="0046549E" w:rsidP="00CA527A">
            <w:pPr>
              <w:spacing w:before="0" w:after="0" w:line="240" w:lineRule="auto"/>
              <w:jc w:val="both"/>
              <w:rPr>
                <w:rFonts w:asciiTheme="minorHAnsi" w:eastAsia="Times New Roman" w:hAnsiTheme="minorHAnsi" w:cs="Calibri"/>
                <w:b/>
                <w:bCs/>
                <w:color w:val="000000"/>
                <w:kern w:val="0"/>
                <w:sz w:val="20"/>
                <w:u w:val="single"/>
                <w:lang w:val="en-IE" w:eastAsia="en-IE"/>
              </w:rPr>
            </w:pPr>
          </w:p>
          <w:p w14:paraId="5CCFC3EE" w14:textId="3FCCB188" w:rsidR="0004703B" w:rsidRPr="0004703B" w:rsidRDefault="0004703B" w:rsidP="0004703B">
            <w:pPr>
              <w:spacing w:before="0" w:after="0" w:line="240" w:lineRule="auto"/>
              <w:jc w:val="both"/>
              <w:rPr>
                <w:rFonts w:asciiTheme="minorHAnsi" w:eastAsia="Times New Roman" w:hAnsiTheme="minorHAnsi" w:cs="Calibri"/>
                <w:bCs/>
                <w:iCs/>
                <w:color w:val="000000"/>
                <w:kern w:val="0"/>
                <w:sz w:val="20"/>
                <w:lang w:eastAsia="en-IE"/>
              </w:rPr>
            </w:pPr>
            <w:r w:rsidRPr="0004703B">
              <w:rPr>
                <w:rFonts w:asciiTheme="minorHAnsi" w:eastAsia="Times New Roman" w:hAnsiTheme="minorHAnsi" w:cs="Calibri"/>
                <w:bCs/>
                <w:iCs/>
                <w:color w:val="000000"/>
                <w:kern w:val="0"/>
                <w:sz w:val="20"/>
                <w:lang w:eastAsia="en-IE"/>
              </w:rPr>
              <w:t xml:space="preserve">This datapoint is </w:t>
            </w:r>
            <w:r>
              <w:rPr>
                <w:rFonts w:asciiTheme="minorHAnsi" w:eastAsia="Times New Roman" w:hAnsiTheme="minorHAnsi" w:cs="Calibri"/>
                <w:bCs/>
                <w:iCs/>
                <w:color w:val="000000"/>
                <w:kern w:val="0"/>
                <w:sz w:val="20"/>
                <w:lang w:eastAsia="en-IE"/>
              </w:rPr>
              <w:t xml:space="preserve">only </w:t>
            </w:r>
            <w:r w:rsidRPr="0004703B">
              <w:rPr>
                <w:rFonts w:asciiTheme="minorHAnsi" w:eastAsia="Times New Roman" w:hAnsiTheme="minorHAnsi" w:cs="Calibri"/>
                <w:bCs/>
                <w:iCs/>
                <w:color w:val="000000"/>
                <w:kern w:val="0"/>
                <w:sz w:val="20"/>
                <w:lang w:eastAsia="en-IE"/>
              </w:rPr>
              <w:t xml:space="preserve">applicable for </w:t>
            </w:r>
            <w:r w:rsidR="0013552C">
              <w:rPr>
                <w:rFonts w:asciiTheme="minorHAnsi" w:eastAsia="Times New Roman" w:hAnsiTheme="minorHAnsi" w:cs="Calibri"/>
                <w:bCs/>
                <w:iCs/>
                <w:color w:val="000000"/>
                <w:kern w:val="0"/>
                <w:sz w:val="20"/>
                <w:lang w:eastAsia="en-IE"/>
              </w:rPr>
              <w:t>CI, EMI, PI, IF and CASP</w:t>
            </w:r>
            <w:r w:rsidRPr="0004703B">
              <w:rPr>
                <w:rFonts w:asciiTheme="minorHAnsi" w:eastAsia="Times New Roman" w:hAnsiTheme="minorHAnsi" w:cs="Calibri"/>
                <w:bCs/>
                <w:iCs/>
                <w:color w:val="000000"/>
                <w:kern w:val="0"/>
                <w:sz w:val="20"/>
                <w:lang w:eastAsia="en-IE"/>
              </w:rPr>
              <w:t xml:space="preserve">. </w:t>
            </w:r>
          </w:p>
          <w:p w14:paraId="2E838338" w14:textId="77777777" w:rsidR="00BD4009" w:rsidRDefault="00BD4009" w:rsidP="00CA527A">
            <w:pPr>
              <w:spacing w:before="0" w:after="0" w:line="240" w:lineRule="auto"/>
              <w:jc w:val="both"/>
              <w:rPr>
                <w:rFonts w:asciiTheme="minorHAnsi" w:eastAsia="Times New Roman" w:hAnsiTheme="minorHAnsi" w:cs="Calibri"/>
                <w:color w:val="000000"/>
                <w:kern w:val="0"/>
                <w:sz w:val="20"/>
                <w:lang w:val="en-IE" w:eastAsia="en-IE"/>
              </w:rPr>
            </w:pPr>
          </w:p>
          <w:p w14:paraId="5A2E7A4E" w14:textId="36ADAA53" w:rsidR="00CA527A" w:rsidRPr="007674A6" w:rsidRDefault="00793323" w:rsidP="00CA527A">
            <w:pPr>
              <w:spacing w:before="0" w:after="0" w:line="240" w:lineRule="auto"/>
              <w:jc w:val="both"/>
              <w:rPr>
                <w:rFonts w:asciiTheme="minorHAnsi" w:eastAsia="Times New Roman" w:hAnsiTheme="minorHAnsi" w:cs="Calibri"/>
                <w:color w:val="000000"/>
                <w:kern w:val="0"/>
                <w:sz w:val="20"/>
                <w:lang w:val="en-IE" w:eastAsia="en-IE"/>
              </w:rPr>
            </w:pPr>
            <w:r>
              <w:rPr>
                <w:rFonts w:asciiTheme="minorHAnsi" w:eastAsia="Times New Roman" w:hAnsiTheme="minorHAnsi" w:cs="Calibri"/>
                <w:color w:val="000000"/>
                <w:kern w:val="0"/>
                <w:sz w:val="20"/>
                <w:lang w:val="en-IE" w:eastAsia="en-IE"/>
              </w:rPr>
              <w:t>Indicate whether t</w:t>
            </w:r>
            <w:r w:rsidR="00CA527A" w:rsidRPr="007674A6">
              <w:rPr>
                <w:rFonts w:asciiTheme="minorHAnsi" w:eastAsia="Times New Roman" w:hAnsiTheme="minorHAnsi" w:cs="Calibri"/>
                <w:color w:val="000000"/>
                <w:kern w:val="0"/>
                <w:sz w:val="20"/>
                <w:lang w:val="en-IE" w:eastAsia="en-IE"/>
              </w:rPr>
              <w:t>he entity has implemented a tool that enables it to analyse information available on distributed ledgers and generate alerts where unusual patterns or risk factors are identified, in relation to the transactions carried out by the customer</w:t>
            </w:r>
            <w:r w:rsidR="007674A6">
              <w:rPr>
                <w:rFonts w:asciiTheme="minorHAnsi" w:eastAsia="Times New Roman" w:hAnsiTheme="minorHAnsi" w:cs="Calibri"/>
                <w:color w:val="000000"/>
                <w:kern w:val="0"/>
                <w:sz w:val="20"/>
                <w:lang w:val="en-IE" w:eastAsia="en-IE"/>
              </w:rPr>
              <w:t>.</w:t>
            </w:r>
          </w:p>
          <w:p w14:paraId="2B173560" w14:textId="77777777" w:rsidR="0046549E" w:rsidRDefault="0046549E" w:rsidP="00CA527A">
            <w:pPr>
              <w:spacing w:before="0" w:after="0" w:line="240" w:lineRule="auto"/>
              <w:jc w:val="both"/>
              <w:rPr>
                <w:rFonts w:asciiTheme="minorHAnsi" w:eastAsia="Times New Roman" w:hAnsiTheme="minorHAnsi" w:cs="Calibri"/>
                <w:color w:val="000000"/>
                <w:kern w:val="0"/>
                <w:sz w:val="20"/>
                <w:lang w:val="en-GB" w:eastAsia="en-IE"/>
              </w:rPr>
            </w:pPr>
          </w:p>
          <w:p w14:paraId="67308597" w14:textId="76772C00" w:rsidR="00E23DB8" w:rsidRPr="00E23DB8" w:rsidRDefault="00E23DB8" w:rsidP="00E23DB8">
            <w:pPr>
              <w:spacing w:before="0" w:after="0" w:line="240" w:lineRule="auto"/>
              <w:jc w:val="both"/>
              <w:rPr>
                <w:rFonts w:asciiTheme="minorHAnsi" w:eastAsia="Times New Roman" w:hAnsiTheme="minorHAnsi" w:cs="Calibri"/>
                <w:color w:val="000000"/>
                <w:kern w:val="0"/>
                <w:sz w:val="20"/>
                <w:lang w:val="en-GB" w:eastAsia="en-IE"/>
              </w:rPr>
            </w:pPr>
            <w:r w:rsidRPr="00E23DB8">
              <w:rPr>
                <w:rFonts w:asciiTheme="minorHAnsi" w:eastAsia="Times New Roman" w:hAnsiTheme="minorHAnsi" w:cs="Calibri"/>
                <w:color w:val="000000"/>
                <w:kern w:val="0"/>
                <w:sz w:val="20"/>
                <w:lang w:val="en-GB" w:eastAsia="en-IE"/>
              </w:rPr>
              <w:t xml:space="preserve">This datapoint should only be completed by obliged </w:t>
            </w:r>
            <w:r w:rsidR="003A5D94">
              <w:rPr>
                <w:rFonts w:asciiTheme="minorHAnsi" w:eastAsia="Times New Roman" w:hAnsiTheme="minorHAnsi" w:cs="Calibri"/>
                <w:color w:val="000000"/>
                <w:kern w:val="0"/>
                <w:sz w:val="20"/>
                <w:lang w:val="en-GB" w:eastAsia="en-IE"/>
              </w:rPr>
              <w:t xml:space="preserve">reporting </w:t>
            </w:r>
            <w:r w:rsidRPr="00E23DB8">
              <w:rPr>
                <w:rFonts w:asciiTheme="minorHAnsi" w:eastAsia="Times New Roman" w:hAnsiTheme="minorHAnsi" w:cs="Calibri"/>
                <w:color w:val="000000"/>
                <w:kern w:val="0"/>
                <w:sz w:val="20"/>
                <w:lang w:val="en-GB" w:eastAsia="en-IE"/>
              </w:rPr>
              <w:t>entities providing services under MiCA</w:t>
            </w:r>
            <w:r>
              <w:rPr>
                <w:rFonts w:asciiTheme="minorHAnsi" w:eastAsia="Times New Roman" w:hAnsiTheme="minorHAnsi" w:cs="Calibri"/>
                <w:color w:val="000000"/>
                <w:kern w:val="0"/>
                <w:sz w:val="20"/>
                <w:lang w:val="en-GB" w:eastAsia="en-IE"/>
              </w:rPr>
              <w:t xml:space="preserve"> </w:t>
            </w:r>
            <w:r w:rsidR="005D6039">
              <w:rPr>
                <w:rFonts w:asciiTheme="minorHAnsi" w:eastAsia="Times New Roman" w:hAnsiTheme="minorHAnsi" w:cs="Calibri"/>
                <w:color w:val="000000"/>
                <w:kern w:val="0"/>
                <w:sz w:val="20"/>
                <w:lang w:val="en-GB" w:eastAsia="en-IE"/>
              </w:rPr>
              <w:t>(C</w:t>
            </w:r>
            <w:r w:rsidR="000853A5">
              <w:rPr>
                <w:rFonts w:asciiTheme="minorHAnsi" w:eastAsia="Times New Roman" w:hAnsiTheme="minorHAnsi" w:cs="Calibri"/>
                <w:color w:val="000000"/>
                <w:kern w:val="0"/>
                <w:sz w:val="20"/>
                <w:lang w:val="en-GB" w:eastAsia="en-IE"/>
              </w:rPr>
              <w:t>I</w:t>
            </w:r>
            <w:r w:rsidR="005D6039">
              <w:rPr>
                <w:rFonts w:asciiTheme="minorHAnsi" w:eastAsia="Times New Roman" w:hAnsiTheme="minorHAnsi" w:cs="Calibri"/>
                <w:color w:val="000000"/>
                <w:kern w:val="0"/>
                <w:sz w:val="20"/>
                <w:lang w:val="en-GB" w:eastAsia="en-IE"/>
              </w:rPr>
              <w:t xml:space="preserve">s, </w:t>
            </w:r>
            <w:r w:rsidR="000853A5">
              <w:rPr>
                <w:rFonts w:asciiTheme="minorHAnsi" w:eastAsia="Times New Roman" w:hAnsiTheme="minorHAnsi" w:cs="Calibri"/>
                <w:color w:val="000000"/>
                <w:kern w:val="0"/>
                <w:sz w:val="20"/>
                <w:lang w:val="en-GB" w:eastAsia="en-IE"/>
              </w:rPr>
              <w:t>EMIs, PIs IFs and CASPs)</w:t>
            </w:r>
            <w:r w:rsidR="00793323">
              <w:rPr>
                <w:rFonts w:asciiTheme="minorHAnsi" w:eastAsia="Times New Roman" w:hAnsiTheme="minorHAnsi" w:cs="Calibri"/>
                <w:color w:val="000000"/>
                <w:kern w:val="0"/>
                <w:sz w:val="20"/>
                <w:lang w:val="en-GB" w:eastAsia="en-IE"/>
              </w:rPr>
              <w:t>.</w:t>
            </w:r>
          </w:p>
          <w:p w14:paraId="672CFF9B" w14:textId="07E659FF" w:rsidR="004E0225" w:rsidRPr="005A4EA8" w:rsidRDefault="004E0225" w:rsidP="00CA527A">
            <w:pPr>
              <w:spacing w:before="0" w:after="0" w:line="240" w:lineRule="auto"/>
              <w:jc w:val="both"/>
              <w:rPr>
                <w:rFonts w:asciiTheme="minorHAnsi" w:eastAsia="Times New Roman" w:hAnsiTheme="minorHAnsi" w:cs="Calibri"/>
                <w:color w:val="000000"/>
                <w:kern w:val="0"/>
                <w:sz w:val="20"/>
                <w:lang w:val="en-IE" w:eastAsia="en-IE"/>
              </w:rPr>
            </w:pPr>
          </w:p>
        </w:tc>
      </w:tr>
      <w:tr w:rsidR="00A10CBD" w:rsidRPr="009B282E" w14:paraId="6CFE12D8" w14:textId="77777777" w:rsidTr="005A4EA8">
        <w:tc>
          <w:tcPr>
            <w:tcW w:w="1673" w:type="dxa"/>
            <w:tcBorders>
              <w:top w:val="single" w:sz="4" w:space="0" w:color="auto"/>
              <w:left w:val="single" w:sz="4" w:space="0" w:color="auto"/>
              <w:bottom w:val="single" w:sz="4" w:space="0" w:color="auto"/>
              <w:right w:val="single" w:sz="4" w:space="0" w:color="auto"/>
            </w:tcBorders>
            <w:vAlign w:val="center"/>
          </w:tcPr>
          <w:p w14:paraId="50971DA1" w14:textId="34EB3CE2" w:rsidR="00CA527A" w:rsidRPr="00B407FB" w:rsidRDefault="00DE6E7F" w:rsidP="00F32516">
            <w:pPr>
              <w:pStyle w:val="InstructionsText"/>
              <w:rPr>
                <w:rStyle w:val="FormatvorlageInstructionsTabelleText"/>
                <w:rFonts w:asciiTheme="minorHAnsi" w:hAnsiTheme="minorHAnsi"/>
                <w:bCs/>
              </w:rPr>
            </w:pPr>
            <w:r w:rsidRPr="009275BC">
              <w:rPr>
                <w:rStyle w:val="FormatvorlageInstructionsTabelleText"/>
                <w:rFonts w:asciiTheme="minorHAnsi" w:hAnsiTheme="minorHAnsi"/>
              </w:rPr>
              <w:t>C01</w:t>
            </w:r>
            <w:r w:rsidR="00E16671">
              <w:rPr>
                <w:rStyle w:val="FormatvorlageInstructionsTabelleText"/>
                <w:rFonts w:asciiTheme="minorHAnsi" w:hAnsiTheme="minorHAnsi"/>
              </w:rPr>
              <w:t>4</w:t>
            </w:r>
            <w:r w:rsidRPr="009275BC">
              <w:rPr>
                <w:rStyle w:val="FormatvorlageInstructionsTabelleText"/>
                <w:rFonts w:asciiTheme="minorHAnsi" w:hAnsiTheme="minorHAnsi"/>
              </w:rPr>
              <w:t>0</w:t>
            </w:r>
          </w:p>
        </w:tc>
        <w:tc>
          <w:tcPr>
            <w:tcW w:w="76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C99EEAD" w14:textId="7BA5A443" w:rsidR="00491899" w:rsidRDefault="00491899" w:rsidP="00CA527A">
            <w:pPr>
              <w:spacing w:before="0" w:after="0" w:line="240" w:lineRule="auto"/>
              <w:jc w:val="both"/>
              <w:rPr>
                <w:rFonts w:asciiTheme="minorHAnsi" w:eastAsia="Times New Roman" w:hAnsiTheme="minorHAnsi" w:cs="Calibri"/>
                <w:b/>
                <w:bCs/>
                <w:color w:val="000000"/>
                <w:kern w:val="0"/>
                <w:sz w:val="20"/>
                <w:u w:val="single"/>
                <w:lang w:val="en-IE" w:eastAsia="en-IE"/>
              </w:rPr>
            </w:pPr>
            <w:r w:rsidRPr="00BE3B4C">
              <w:rPr>
                <w:rFonts w:ascii="Aptos" w:eastAsia="Times New Roman" w:hAnsi="Aptos" w:cs="Calibri"/>
                <w:b/>
                <w:bCs/>
                <w:color w:val="000000"/>
                <w:kern w:val="0"/>
                <w:sz w:val="20"/>
                <w:u w:val="single"/>
                <w:lang w:val="en-IE" w:eastAsia="en-IE"/>
              </w:rPr>
              <w:t>Average STR Processing Time (Days)</w:t>
            </w:r>
          </w:p>
          <w:p w14:paraId="30D2EAB9" w14:textId="0D6DE940" w:rsidR="00CF3873" w:rsidRDefault="00CF3873" w:rsidP="00CA527A">
            <w:pPr>
              <w:spacing w:before="0" w:after="0" w:line="240" w:lineRule="auto"/>
              <w:jc w:val="both"/>
              <w:rPr>
                <w:rFonts w:asciiTheme="minorHAnsi" w:eastAsia="Times New Roman" w:hAnsiTheme="minorHAnsi" w:cs="Calibri"/>
                <w:b/>
                <w:bCs/>
                <w:color w:val="000000"/>
                <w:kern w:val="0"/>
                <w:sz w:val="20"/>
                <w:u w:val="single"/>
                <w:lang w:val="en-IE" w:eastAsia="en-IE"/>
              </w:rPr>
            </w:pPr>
          </w:p>
          <w:p w14:paraId="7B51AC00" w14:textId="2A14D346" w:rsidR="0021590E" w:rsidRPr="00AA1BCB" w:rsidRDefault="004847ED" w:rsidP="00CA527A">
            <w:pPr>
              <w:spacing w:before="0" w:after="0" w:line="240" w:lineRule="auto"/>
              <w:jc w:val="both"/>
              <w:rPr>
                <w:rFonts w:asciiTheme="minorHAnsi" w:eastAsia="Times New Roman" w:hAnsiTheme="minorHAnsi" w:cs="Calibri"/>
                <w:color w:val="000000"/>
                <w:kern w:val="0"/>
                <w:sz w:val="20"/>
                <w:lang w:val="en-IE" w:eastAsia="en-IE"/>
              </w:rPr>
            </w:pPr>
            <w:r>
              <w:rPr>
                <w:rFonts w:asciiTheme="minorHAnsi" w:eastAsia="Times New Roman" w:hAnsiTheme="minorHAnsi" w:cs="Calibri"/>
                <w:color w:val="000000"/>
                <w:kern w:val="0"/>
                <w:sz w:val="20"/>
                <w:lang w:val="en-IE" w:eastAsia="en-IE"/>
              </w:rPr>
              <w:t>Indicate the a</w:t>
            </w:r>
            <w:r w:rsidR="00CA527A" w:rsidRPr="00AA1BCB">
              <w:rPr>
                <w:rFonts w:asciiTheme="minorHAnsi" w:eastAsia="Times New Roman" w:hAnsiTheme="minorHAnsi" w:cs="Calibri"/>
                <w:color w:val="000000"/>
                <w:kern w:val="0"/>
                <w:sz w:val="20"/>
                <w:lang w:val="en-IE" w:eastAsia="en-IE"/>
              </w:rPr>
              <w:t xml:space="preserve">verage number of days between the date of identification of potential suspicious transactions (prior to the analysis of the transaction) and the date when the transaction is reported to the FIU (after the analysis of the transaction) during the </w:t>
            </w:r>
            <w:r w:rsidR="00CB3F74" w:rsidRPr="00AA1BCB">
              <w:rPr>
                <w:rFonts w:asciiTheme="minorHAnsi" w:eastAsia="Times New Roman" w:hAnsiTheme="minorHAnsi" w:cs="Calibri"/>
                <w:color w:val="000000"/>
                <w:kern w:val="0"/>
                <w:sz w:val="20"/>
                <w:lang w:val="en-IE" w:eastAsia="en-IE"/>
              </w:rPr>
              <w:t>reference</w:t>
            </w:r>
            <w:r w:rsidR="003C7D02" w:rsidRPr="00AA1BCB">
              <w:rPr>
                <w:rFonts w:asciiTheme="minorHAnsi" w:eastAsia="Times New Roman" w:hAnsiTheme="minorHAnsi" w:cs="Calibri"/>
                <w:color w:val="000000"/>
                <w:kern w:val="0"/>
                <w:sz w:val="20"/>
                <w:lang w:val="en-IE" w:eastAsia="en-IE"/>
              </w:rPr>
              <w:t xml:space="preserve"> year</w:t>
            </w:r>
            <w:r w:rsidR="000447C3">
              <w:rPr>
                <w:rFonts w:asciiTheme="minorHAnsi" w:eastAsia="Times New Roman" w:hAnsiTheme="minorHAnsi" w:cs="Calibri"/>
                <w:color w:val="000000"/>
                <w:kern w:val="0"/>
                <w:sz w:val="20"/>
                <w:lang w:val="en-IE" w:eastAsia="en-IE"/>
              </w:rPr>
              <w:t>.</w:t>
            </w:r>
          </w:p>
          <w:p w14:paraId="42178E56" w14:textId="77777777" w:rsidR="00D64B46" w:rsidRDefault="00D64B46" w:rsidP="00CA527A">
            <w:pPr>
              <w:spacing w:before="0" w:after="0" w:line="240" w:lineRule="auto"/>
              <w:jc w:val="both"/>
              <w:rPr>
                <w:rFonts w:asciiTheme="minorHAnsi" w:eastAsia="Times New Roman" w:hAnsiTheme="minorHAnsi" w:cs="Calibri"/>
                <w:color w:val="000000"/>
                <w:kern w:val="0"/>
                <w:sz w:val="20"/>
                <w:lang w:val="en-GB" w:eastAsia="en-IE"/>
              </w:rPr>
            </w:pPr>
          </w:p>
          <w:p w14:paraId="37CA9242" w14:textId="77777777" w:rsidR="00CA527A" w:rsidRDefault="002069C4" w:rsidP="00CA527A">
            <w:pPr>
              <w:spacing w:before="0" w:after="0" w:line="240" w:lineRule="auto"/>
              <w:jc w:val="both"/>
              <w:rPr>
                <w:rFonts w:asciiTheme="minorHAnsi" w:eastAsia="Times New Roman" w:hAnsiTheme="minorHAnsi" w:cs="Calibri"/>
                <w:color w:val="000000"/>
                <w:kern w:val="0"/>
                <w:sz w:val="20"/>
                <w:lang w:val="en-GB" w:eastAsia="en-IE"/>
              </w:rPr>
            </w:pPr>
            <w:r>
              <w:rPr>
                <w:rFonts w:asciiTheme="minorHAnsi" w:eastAsia="Times New Roman" w:hAnsiTheme="minorHAnsi" w:cs="Calibri"/>
                <w:color w:val="000000"/>
                <w:kern w:val="0"/>
                <w:sz w:val="20"/>
                <w:lang w:val="en-GB" w:eastAsia="en-IE"/>
              </w:rPr>
              <w:t>Date of identification is the d</w:t>
            </w:r>
            <w:r w:rsidR="0021590E" w:rsidRPr="005A4EA8">
              <w:rPr>
                <w:rFonts w:asciiTheme="minorHAnsi" w:eastAsia="Times New Roman" w:hAnsiTheme="minorHAnsi" w:cs="Calibri"/>
                <w:color w:val="000000"/>
                <w:kern w:val="0"/>
                <w:sz w:val="20"/>
                <w:lang w:val="en-GB" w:eastAsia="en-IE"/>
              </w:rPr>
              <w:t>ate on which a transaction reported as suspicious was first identified as inconsistent with the entity’s knowledge of the customer (pursuant to Article 26(1) AMLR), before conducting the assessment of such transactions pursuant to Article 69(2) AMLR.</w:t>
            </w:r>
          </w:p>
          <w:p w14:paraId="505877F0" w14:textId="39884FE7" w:rsidR="004E0225" w:rsidRPr="005A4EA8" w:rsidRDefault="004E0225" w:rsidP="00CA527A">
            <w:pPr>
              <w:spacing w:before="0" w:after="0" w:line="240" w:lineRule="auto"/>
              <w:jc w:val="both"/>
              <w:rPr>
                <w:rFonts w:asciiTheme="minorHAnsi" w:eastAsia="Times New Roman" w:hAnsiTheme="minorHAnsi" w:cs="Calibri"/>
                <w:color w:val="000000"/>
                <w:kern w:val="0"/>
                <w:sz w:val="20"/>
                <w:lang w:val="en-IE" w:eastAsia="en-IE"/>
              </w:rPr>
            </w:pPr>
          </w:p>
        </w:tc>
      </w:tr>
      <w:tr w:rsidR="00A10CBD" w:rsidRPr="009B282E" w14:paraId="5A71520F" w14:textId="77777777" w:rsidTr="005A4EA8">
        <w:trPr>
          <w:trHeight w:val="300"/>
        </w:trPr>
        <w:tc>
          <w:tcPr>
            <w:tcW w:w="1673" w:type="dxa"/>
            <w:tcBorders>
              <w:top w:val="single" w:sz="4" w:space="0" w:color="auto"/>
              <w:left w:val="single" w:sz="4" w:space="0" w:color="auto"/>
              <w:bottom w:val="single" w:sz="4" w:space="0" w:color="auto"/>
              <w:right w:val="single" w:sz="4" w:space="0" w:color="auto"/>
            </w:tcBorders>
            <w:vAlign w:val="center"/>
          </w:tcPr>
          <w:p w14:paraId="6A25CE72" w14:textId="5C1BD737" w:rsidR="00CA527A" w:rsidRPr="00B407FB" w:rsidRDefault="00DE6E7F" w:rsidP="00F32516">
            <w:pPr>
              <w:pStyle w:val="InstructionsText"/>
              <w:rPr>
                <w:rStyle w:val="FormatvorlageInstructionsTabelleText"/>
                <w:rFonts w:asciiTheme="minorHAnsi" w:hAnsiTheme="minorHAnsi"/>
                <w:bCs/>
              </w:rPr>
            </w:pPr>
            <w:r w:rsidRPr="009275BC">
              <w:rPr>
                <w:rStyle w:val="FormatvorlageInstructionsTabelleText"/>
                <w:rFonts w:asciiTheme="minorHAnsi" w:hAnsiTheme="minorHAnsi"/>
              </w:rPr>
              <w:t>C01</w:t>
            </w:r>
            <w:r w:rsidR="00F634D8">
              <w:rPr>
                <w:rStyle w:val="FormatvorlageInstructionsTabelleText"/>
                <w:rFonts w:asciiTheme="minorHAnsi" w:hAnsiTheme="minorHAnsi"/>
              </w:rPr>
              <w:t>5</w:t>
            </w:r>
            <w:r w:rsidRPr="009275BC">
              <w:rPr>
                <w:rStyle w:val="FormatvorlageInstructionsTabelleText"/>
                <w:rFonts w:asciiTheme="minorHAnsi" w:hAnsiTheme="minorHAnsi"/>
              </w:rPr>
              <w:t>0</w:t>
            </w:r>
          </w:p>
        </w:tc>
        <w:tc>
          <w:tcPr>
            <w:tcW w:w="7616"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2D3EE2F" w14:textId="77777777" w:rsidR="00491899" w:rsidRDefault="00491899" w:rsidP="00CA527A">
            <w:pPr>
              <w:spacing w:before="0" w:after="0" w:line="240" w:lineRule="auto"/>
              <w:jc w:val="both"/>
              <w:rPr>
                <w:rFonts w:asciiTheme="minorHAnsi" w:eastAsia="Times New Roman" w:hAnsiTheme="minorHAnsi" w:cs="Calibri"/>
                <w:b/>
                <w:bCs/>
                <w:color w:val="000000"/>
                <w:kern w:val="0"/>
                <w:sz w:val="20"/>
                <w:u w:val="single"/>
                <w:lang w:val="en-IE" w:eastAsia="en-IE"/>
              </w:rPr>
            </w:pPr>
            <w:r w:rsidRPr="005D17B4">
              <w:rPr>
                <w:rFonts w:ascii="Aptos" w:eastAsia="Times New Roman" w:hAnsi="Aptos" w:cs="Calibri"/>
                <w:b/>
                <w:bCs/>
                <w:color w:val="000000"/>
                <w:kern w:val="0"/>
                <w:sz w:val="20"/>
                <w:u w:val="single"/>
                <w:lang w:val="en-IE" w:eastAsia="en-IE"/>
              </w:rPr>
              <w:t>STRs Submitted (Total)</w:t>
            </w:r>
          </w:p>
          <w:p w14:paraId="1AEFAC8D" w14:textId="44433EFB" w:rsidR="004C495F" w:rsidRDefault="004C495F" w:rsidP="00CA527A">
            <w:pPr>
              <w:spacing w:before="0" w:after="0" w:line="240" w:lineRule="auto"/>
              <w:jc w:val="both"/>
              <w:rPr>
                <w:rFonts w:asciiTheme="minorHAnsi" w:eastAsia="Times New Roman" w:hAnsiTheme="minorHAnsi" w:cs="Calibri"/>
                <w:b/>
                <w:bCs/>
                <w:color w:val="000000"/>
                <w:kern w:val="0"/>
                <w:sz w:val="20"/>
                <w:u w:val="single"/>
                <w:lang w:val="en-IE" w:eastAsia="en-IE"/>
              </w:rPr>
            </w:pPr>
          </w:p>
          <w:p w14:paraId="71B0AE1D" w14:textId="4563E1EA" w:rsidR="007B6935" w:rsidRDefault="007B6935" w:rsidP="007B6935">
            <w:pPr>
              <w:spacing w:before="0" w:after="0" w:line="240" w:lineRule="auto"/>
              <w:jc w:val="both"/>
              <w:rPr>
                <w:rFonts w:asciiTheme="minorHAnsi" w:eastAsia="Times New Roman" w:hAnsiTheme="minorHAnsi" w:cs="Calibri"/>
                <w:b/>
                <w:bCs/>
                <w:color w:val="000000"/>
                <w:kern w:val="0"/>
                <w:sz w:val="20"/>
                <w:u w:val="single"/>
                <w:lang w:val="en-IE" w:eastAsia="en-IE"/>
              </w:rPr>
            </w:pPr>
            <w:r w:rsidRPr="003C1E55">
              <w:rPr>
                <w:rFonts w:asciiTheme="minorHAnsi" w:eastAsia="Times New Roman" w:hAnsiTheme="minorHAnsi" w:cs="Calibri"/>
                <w:color w:val="000000"/>
                <w:kern w:val="0"/>
                <w:sz w:val="20"/>
                <w:lang w:val="en-IE" w:eastAsia="en-IE"/>
              </w:rPr>
              <w:t>Indicate the t</w:t>
            </w:r>
            <w:r w:rsidR="00D727C8" w:rsidRPr="003C1E55">
              <w:rPr>
                <w:rFonts w:asciiTheme="minorHAnsi" w:eastAsia="Times New Roman" w:hAnsiTheme="minorHAnsi" w:cs="Calibri"/>
                <w:color w:val="000000"/>
                <w:kern w:val="0"/>
                <w:sz w:val="20"/>
                <w:lang w:val="en-IE" w:eastAsia="en-IE"/>
              </w:rPr>
              <w:t>o</w:t>
            </w:r>
            <w:r w:rsidRPr="003C1E55">
              <w:rPr>
                <w:rFonts w:asciiTheme="minorHAnsi" w:eastAsia="Times New Roman" w:hAnsiTheme="minorHAnsi" w:cs="Calibri"/>
                <w:color w:val="000000"/>
                <w:kern w:val="0"/>
                <w:sz w:val="20"/>
                <w:lang w:val="en-IE" w:eastAsia="en-IE"/>
              </w:rPr>
              <w:t xml:space="preserve">tal number of STRs </w:t>
            </w:r>
            <w:r w:rsidR="00EC2EC7">
              <w:rPr>
                <w:rFonts w:asciiTheme="minorHAnsi" w:eastAsia="Times New Roman" w:hAnsiTheme="minorHAnsi" w:cs="Calibri"/>
                <w:color w:val="000000"/>
                <w:kern w:val="0"/>
                <w:sz w:val="20"/>
                <w:lang w:val="en-IE" w:eastAsia="en-IE"/>
              </w:rPr>
              <w:t>and SARs</w:t>
            </w:r>
            <w:r w:rsidRPr="003C1E55">
              <w:rPr>
                <w:rFonts w:asciiTheme="minorHAnsi" w:eastAsia="Times New Roman" w:hAnsiTheme="minorHAnsi" w:cs="Calibri"/>
                <w:color w:val="000000"/>
                <w:kern w:val="0"/>
                <w:sz w:val="20"/>
                <w:lang w:val="en-IE" w:eastAsia="en-IE"/>
              </w:rPr>
              <w:t xml:space="preserve"> submitted to the FIU</w:t>
            </w:r>
            <w:r w:rsidR="005C7D6B" w:rsidRPr="003C1E55">
              <w:rPr>
                <w:rFonts w:asciiTheme="minorHAnsi" w:eastAsia="Times New Roman" w:hAnsiTheme="minorHAnsi" w:cs="Calibri"/>
                <w:color w:val="000000"/>
                <w:kern w:val="0"/>
                <w:sz w:val="20"/>
                <w:lang w:val="en-IE" w:eastAsia="en-IE"/>
              </w:rPr>
              <w:t xml:space="preserve"> during the reference year</w:t>
            </w:r>
            <w:r w:rsidR="005D17B4">
              <w:rPr>
                <w:rFonts w:asciiTheme="minorHAnsi" w:eastAsia="Times New Roman" w:hAnsiTheme="minorHAnsi" w:cs="Calibri"/>
                <w:color w:val="000000"/>
                <w:kern w:val="0"/>
                <w:sz w:val="20"/>
                <w:lang w:val="en-IE" w:eastAsia="en-IE"/>
              </w:rPr>
              <w:t xml:space="preserve"> (including manual)</w:t>
            </w:r>
            <w:r w:rsidR="006C664C" w:rsidRPr="005D17B4">
              <w:rPr>
                <w:rFonts w:asciiTheme="minorHAnsi" w:eastAsia="Times New Roman" w:hAnsiTheme="minorHAnsi" w:cs="Calibri"/>
                <w:color w:val="000000"/>
                <w:kern w:val="0"/>
                <w:sz w:val="20"/>
                <w:lang w:val="en-IE" w:eastAsia="en-IE"/>
              </w:rPr>
              <w:t>.</w:t>
            </w:r>
            <w:r w:rsidR="005C7D6B">
              <w:rPr>
                <w:rFonts w:asciiTheme="minorHAnsi" w:eastAsia="Times New Roman" w:hAnsiTheme="minorHAnsi" w:cs="Calibri"/>
                <w:b/>
                <w:bCs/>
                <w:color w:val="000000"/>
                <w:kern w:val="0"/>
                <w:sz w:val="20"/>
                <w:u w:val="single"/>
                <w:lang w:val="en-IE" w:eastAsia="en-IE"/>
              </w:rPr>
              <w:t xml:space="preserve"> </w:t>
            </w:r>
          </w:p>
          <w:p w14:paraId="0B17BE3D" w14:textId="77777777" w:rsidR="00491899" w:rsidRDefault="00491899" w:rsidP="00CA527A">
            <w:pPr>
              <w:spacing w:before="0" w:after="0" w:line="240" w:lineRule="auto"/>
              <w:jc w:val="both"/>
              <w:rPr>
                <w:rFonts w:asciiTheme="minorHAnsi" w:eastAsia="Times New Roman" w:hAnsiTheme="minorHAnsi" w:cs="Calibri"/>
                <w:color w:val="000000"/>
                <w:kern w:val="0"/>
                <w:sz w:val="20"/>
                <w:lang w:val="en-IE" w:eastAsia="en-IE"/>
              </w:rPr>
            </w:pPr>
          </w:p>
          <w:p w14:paraId="1B718DB1" w14:textId="41657B98" w:rsidR="00A42952" w:rsidRDefault="00491899" w:rsidP="00CA527A">
            <w:pPr>
              <w:spacing w:before="0" w:after="0" w:line="240" w:lineRule="auto"/>
              <w:jc w:val="both"/>
              <w:rPr>
                <w:rFonts w:asciiTheme="minorHAnsi" w:eastAsia="Times New Roman" w:hAnsiTheme="minorHAnsi" w:cs="Calibri"/>
                <w:color w:val="000000"/>
                <w:kern w:val="0"/>
                <w:sz w:val="20"/>
                <w:lang w:val="en-IE" w:eastAsia="en-IE"/>
              </w:rPr>
            </w:pPr>
            <w:r>
              <w:rPr>
                <w:rFonts w:asciiTheme="minorHAnsi" w:eastAsia="Times New Roman" w:hAnsiTheme="minorHAnsi" w:cs="Calibri"/>
                <w:color w:val="000000"/>
                <w:kern w:val="0"/>
                <w:sz w:val="20"/>
                <w:lang w:val="en-IE" w:eastAsia="en-IE"/>
              </w:rPr>
              <w:t xml:space="preserve">The reporting of suspicions transactions </w:t>
            </w:r>
            <w:r w:rsidR="00BA5470">
              <w:rPr>
                <w:rFonts w:asciiTheme="minorHAnsi" w:eastAsia="Times New Roman" w:hAnsiTheme="minorHAnsi" w:cs="Calibri"/>
                <w:color w:val="000000"/>
                <w:kern w:val="0"/>
                <w:sz w:val="20"/>
                <w:lang w:val="en-IE" w:eastAsia="en-IE"/>
              </w:rPr>
              <w:t xml:space="preserve">should be carried out </w:t>
            </w:r>
            <w:r>
              <w:rPr>
                <w:rFonts w:asciiTheme="minorHAnsi" w:eastAsia="Times New Roman" w:hAnsiTheme="minorHAnsi" w:cs="Calibri"/>
                <w:color w:val="000000"/>
                <w:kern w:val="0"/>
                <w:sz w:val="20"/>
                <w:lang w:val="en-IE" w:eastAsia="en-IE"/>
              </w:rPr>
              <w:t xml:space="preserve">according to </w:t>
            </w:r>
            <w:r w:rsidR="00D656A7">
              <w:rPr>
                <w:rFonts w:asciiTheme="minorHAnsi" w:eastAsia="Times New Roman" w:hAnsiTheme="minorHAnsi" w:cs="Calibri"/>
                <w:color w:val="000000"/>
                <w:kern w:val="0"/>
                <w:sz w:val="20"/>
                <w:lang w:val="en-IE" w:eastAsia="en-IE"/>
              </w:rPr>
              <w:t>A</w:t>
            </w:r>
            <w:r>
              <w:rPr>
                <w:rFonts w:asciiTheme="minorHAnsi" w:eastAsia="Times New Roman" w:hAnsiTheme="minorHAnsi" w:cs="Calibri"/>
                <w:color w:val="000000"/>
                <w:kern w:val="0"/>
                <w:sz w:val="20"/>
                <w:lang w:val="en-IE" w:eastAsia="en-IE"/>
              </w:rPr>
              <w:t>rticle 69</w:t>
            </w:r>
            <w:r w:rsidR="003600F0">
              <w:rPr>
                <w:rFonts w:asciiTheme="minorHAnsi" w:eastAsia="Times New Roman" w:hAnsiTheme="minorHAnsi" w:cs="Calibri"/>
                <w:color w:val="000000"/>
                <w:kern w:val="0"/>
                <w:sz w:val="20"/>
                <w:lang w:val="en-IE" w:eastAsia="en-IE"/>
              </w:rPr>
              <w:t>(1)(a)</w:t>
            </w:r>
            <w:r>
              <w:rPr>
                <w:rFonts w:asciiTheme="minorHAnsi" w:eastAsia="Times New Roman" w:hAnsiTheme="minorHAnsi" w:cs="Calibri"/>
                <w:color w:val="000000"/>
                <w:kern w:val="0"/>
                <w:sz w:val="20"/>
                <w:lang w:val="en-IE" w:eastAsia="en-IE"/>
              </w:rPr>
              <w:t xml:space="preserve"> </w:t>
            </w:r>
            <w:r w:rsidR="00D656A7">
              <w:rPr>
                <w:rFonts w:asciiTheme="minorHAnsi" w:eastAsia="Times New Roman" w:hAnsiTheme="minorHAnsi" w:cs="Calibri"/>
                <w:color w:val="000000"/>
                <w:kern w:val="0"/>
                <w:sz w:val="20"/>
                <w:lang w:val="en-IE" w:eastAsia="en-IE"/>
              </w:rPr>
              <w:t>AMLR</w:t>
            </w:r>
            <w:r w:rsidR="00BA5470">
              <w:rPr>
                <w:rFonts w:asciiTheme="minorHAnsi" w:eastAsia="Times New Roman" w:hAnsiTheme="minorHAnsi" w:cs="Calibri"/>
                <w:color w:val="000000"/>
                <w:kern w:val="0"/>
                <w:sz w:val="20"/>
                <w:lang w:val="en-IE" w:eastAsia="en-IE"/>
              </w:rPr>
              <w:t>.</w:t>
            </w:r>
          </w:p>
          <w:p w14:paraId="476DCD7F" w14:textId="78B045F9" w:rsidR="004E0225" w:rsidRPr="005A4EA8" w:rsidRDefault="004E0225" w:rsidP="00CA527A">
            <w:pPr>
              <w:spacing w:before="0" w:after="0" w:line="240" w:lineRule="auto"/>
              <w:jc w:val="both"/>
              <w:rPr>
                <w:rFonts w:asciiTheme="minorHAnsi" w:eastAsia="Times New Roman" w:hAnsiTheme="minorHAnsi" w:cs="Calibri"/>
                <w:color w:val="000000"/>
                <w:kern w:val="0"/>
                <w:sz w:val="20"/>
                <w:lang w:val="en-IE" w:eastAsia="en-IE"/>
              </w:rPr>
            </w:pPr>
          </w:p>
        </w:tc>
      </w:tr>
    </w:tbl>
    <w:p w14:paraId="02875B0D" w14:textId="6B534973" w:rsidR="004E167E" w:rsidRPr="005A4EA8" w:rsidRDefault="00DE6E7F" w:rsidP="004E167E">
      <w:pPr>
        <w:pStyle w:val="Heading2"/>
        <w:rPr>
          <w:rFonts w:asciiTheme="minorHAnsi" w:hAnsiTheme="minorHAnsi"/>
          <w:lang w:val="en-IE"/>
        </w:rPr>
      </w:pPr>
      <w:bookmarkStart w:id="308" w:name="_Toc223018940"/>
      <w:bookmarkStart w:id="309" w:name="_Toc223021738"/>
      <w:bookmarkStart w:id="310" w:name="_Toc223086604"/>
      <w:bookmarkStart w:id="311" w:name="_Toc223086698"/>
      <w:bookmarkStart w:id="312" w:name="_Toc223086792"/>
      <w:bookmarkStart w:id="313" w:name="_Toc223086886"/>
      <w:bookmarkStart w:id="314" w:name="_Toc221356005"/>
      <w:bookmarkStart w:id="315" w:name="_Toc223104871"/>
      <w:bookmarkEnd w:id="308"/>
      <w:bookmarkEnd w:id="309"/>
      <w:bookmarkEnd w:id="310"/>
      <w:bookmarkEnd w:id="311"/>
      <w:bookmarkEnd w:id="312"/>
      <w:bookmarkEnd w:id="313"/>
      <w:r w:rsidRPr="005A4EA8">
        <w:rPr>
          <w:rFonts w:asciiTheme="minorHAnsi" w:hAnsiTheme="minorHAnsi"/>
          <w:lang w:val="en-IE"/>
        </w:rPr>
        <w:t xml:space="preserve">AML.07.06 </w:t>
      </w:r>
      <w:r w:rsidR="004E167E" w:rsidRPr="005A4EA8">
        <w:rPr>
          <w:rFonts w:asciiTheme="minorHAnsi" w:hAnsiTheme="minorHAnsi"/>
          <w:lang w:val="en-IE"/>
        </w:rPr>
        <w:t>Targeted Financial Sanctions and Compliance with Fund Transfers Regulation</w:t>
      </w:r>
      <w:bookmarkEnd w:id="314"/>
      <w:bookmarkEnd w:id="315"/>
    </w:p>
    <w:p w14:paraId="725C0E8B" w14:textId="77777777" w:rsidR="008E1D72" w:rsidRPr="00A017EB" w:rsidRDefault="008E1D72" w:rsidP="008E1D72">
      <w:pPr>
        <w:rPr>
          <w:rFonts w:asciiTheme="minorHAnsi" w:hAnsiTheme="minorHAnsi"/>
          <w:b/>
          <w:bCs/>
          <w:iCs/>
        </w:rPr>
      </w:pPr>
      <w:r w:rsidRPr="00A017EB">
        <w:rPr>
          <w:rFonts w:asciiTheme="minorHAnsi" w:hAnsiTheme="minorHAnsi"/>
          <w:b/>
          <w:bCs/>
          <w:iCs/>
        </w:rPr>
        <w:t>Template Remarks</w:t>
      </w:r>
    </w:p>
    <w:p w14:paraId="0974EBB1" w14:textId="3AEC59E6" w:rsidR="008E1D72" w:rsidRPr="00003055" w:rsidRDefault="008E1D72" w:rsidP="00003055">
      <w:pPr>
        <w:jc w:val="both"/>
        <w:rPr>
          <w:rFonts w:asciiTheme="minorHAnsi" w:eastAsia="Times New Roman" w:hAnsiTheme="minorHAnsi" w:cs="Calibri"/>
          <w:color w:val="000000"/>
          <w:kern w:val="0"/>
          <w:szCs w:val="22"/>
          <w:lang w:val="en-IE" w:eastAsia="en-IE"/>
        </w:rPr>
      </w:pPr>
      <w:r w:rsidRPr="00003055">
        <w:rPr>
          <w:rFonts w:asciiTheme="minorHAnsi" w:eastAsia="Times New Roman" w:hAnsiTheme="minorHAnsi" w:cs="Calibri"/>
          <w:color w:val="000000"/>
          <w:kern w:val="0"/>
          <w:szCs w:val="22"/>
          <w:lang w:val="en-IE" w:eastAsia="en-IE"/>
        </w:rPr>
        <w:t xml:space="preserve">This template (cluster of datapoints) is applicable for all sectors (unless it is mentioned in the datapoint otherwise). </w:t>
      </w:r>
    </w:p>
    <w:tbl>
      <w:tblPr>
        <w:tblW w:w="92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3"/>
        <w:gridCol w:w="7616"/>
      </w:tblGrid>
      <w:tr w:rsidR="005E211E" w:rsidRPr="009B282E" w14:paraId="1D7369CF" w14:textId="77777777">
        <w:tc>
          <w:tcPr>
            <w:tcW w:w="16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97ED2C" w14:textId="77777777" w:rsidR="00F17C1D" w:rsidRPr="009275BC" w:rsidRDefault="00F17C1D" w:rsidP="00F32516">
            <w:pPr>
              <w:pStyle w:val="InstructionsText"/>
              <w:rPr>
                <w:rStyle w:val="InstructionsTabelleText"/>
                <w:rFonts w:asciiTheme="minorHAnsi" w:hAnsiTheme="minorHAnsi"/>
                <w:bCs w:val="0"/>
                <w:lang w:eastAsia="en-US"/>
              </w:rPr>
            </w:pPr>
            <w:r w:rsidRPr="009275BC">
              <w:rPr>
                <w:rStyle w:val="InstructionsTabelleText"/>
                <w:rFonts w:asciiTheme="minorHAnsi" w:hAnsiTheme="minorHAnsi"/>
              </w:rPr>
              <w:t>Column code</w:t>
            </w:r>
          </w:p>
        </w:tc>
        <w:tc>
          <w:tcPr>
            <w:tcW w:w="76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726AAF" w14:textId="77777777" w:rsidR="00F17C1D" w:rsidRPr="009275BC" w:rsidRDefault="00F17C1D" w:rsidP="00F32516">
            <w:pPr>
              <w:pStyle w:val="InstructionsText"/>
              <w:rPr>
                <w:rStyle w:val="InstructionsTabelleText"/>
                <w:rFonts w:asciiTheme="minorHAnsi" w:hAnsiTheme="minorHAnsi"/>
                <w:bCs w:val="0"/>
                <w:lang w:eastAsia="en-US"/>
              </w:rPr>
            </w:pPr>
            <w:r w:rsidRPr="009275BC">
              <w:rPr>
                <w:rStyle w:val="InstructionsTabelleText"/>
                <w:rFonts w:asciiTheme="minorHAnsi" w:hAnsiTheme="minorHAnsi"/>
              </w:rPr>
              <w:t>Legal references and instructions</w:t>
            </w:r>
          </w:p>
        </w:tc>
      </w:tr>
      <w:tr w:rsidR="00A10CBD" w:rsidRPr="009B282E" w14:paraId="56C2DCEC" w14:textId="77777777" w:rsidTr="00BF2698">
        <w:tc>
          <w:tcPr>
            <w:tcW w:w="1673" w:type="dxa"/>
            <w:tcBorders>
              <w:top w:val="single" w:sz="4" w:space="0" w:color="auto"/>
              <w:left w:val="single" w:sz="4" w:space="0" w:color="auto"/>
              <w:bottom w:val="single" w:sz="4" w:space="0" w:color="auto"/>
              <w:right w:val="single" w:sz="4" w:space="0" w:color="auto"/>
            </w:tcBorders>
            <w:vAlign w:val="center"/>
          </w:tcPr>
          <w:p w14:paraId="6FAEE072" w14:textId="5F1BA586" w:rsidR="00DC08B7" w:rsidRPr="009275BC" w:rsidRDefault="00BF163C"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C0010</w:t>
            </w:r>
          </w:p>
        </w:tc>
        <w:tc>
          <w:tcPr>
            <w:tcW w:w="76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47C7C23" w14:textId="77777777" w:rsidR="00491899" w:rsidRDefault="00491899" w:rsidP="006075C1">
            <w:pPr>
              <w:spacing w:before="0" w:after="0" w:line="240" w:lineRule="auto"/>
              <w:jc w:val="both"/>
              <w:rPr>
                <w:rFonts w:asciiTheme="minorHAnsi" w:eastAsia="Times New Roman" w:hAnsiTheme="minorHAnsi" w:cs="Calibri"/>
                <w:b/>
                <w:bCs/>
                <w:color w:val="000000"/>
                <w:kern w:val="0"/>
                <w:sz w:val="20"/>
                <w:u w:val="single"/>
                <w:lang w:val="en-IE" w:eastAsia="en-IE"/>
              </w:rPr>
            </w:pPr>
            <w:r w:rsidRPr="00946C13">
              <w:rPr>
                <w:rFonts w:ascii="Aptos" w:eastAsia="Times New Roman" w:hAnsi="Aptos" w:cs="Calibri"/>
                <w:b/>
                <w:bCs/>
                <w:color w:val="000000"/>
                <w:kern w:val="0"/>
                <w:sz w:val="20"/>
                <w:u w:val="single"/>
                <w:lang w:val="en-IE" w:eastAsia="en-IE"/>
              </w:rPr>
              <w:t>TFS Implementation Time (Hours)</w:t>
            </w:r>
          </w:p>
          <w:p w14:paraId="6DC763E1" w14:textId="51E9E17E" w:rsidR="003F4776" w:rsidRPr="00946C13" w:rsidRDefault="003F4776" w:rsidP="006075C1">
            <w:pPr>
              <w:spacing w:before="0" w:after="0" w:line="240" w:lineRule="auto"/>
              <w:jc w:val="both"/>
              <w:rPr>
                <w:rFonts w:asciiTheme="minorHAnsi" w:eastAsia="Times New Roman" w:hAnsiTheme="minorHAnsi" w:cs="Calibri"/>
                <w:color w:val="000000"/>
                <w:kern w:val="0"/>
                <w:sz w:val="20"/>
                <w:lang w:val="en-IE" w:eastAsia="en-IE"/>
              </w:rPr>
            </w:pPr>
          </w:p>
          <w:p w14:paraId="438E2FCA" w14:textId="4EE6B16C" w:rsidR="0090159A" w:rsidRPr="0090159A" w:rsidRDefault="0090159A" w:rsidP="0090159A">
            <w:pPr>
              <w:spacing w:before="0" w:after="0" w:line="240" w:lineRule="auto"/>
              <w:jc w:val="both"/>
              <w:rPr>
                <w:rFonts w:asciiTheme="minorHAnsi" w:eastAsia="Times New Roman" w:hAnsiTheme="minorHAnsi" w:cs="Calibri"/>
                <w:bCs/>
                <w:iCs/>
                <w:color w:val="000000"/>
                <w:kern w:val="0"/>
                <w:sz w:val="20"/>
                <w:lang w:eastAsia="en-IE"/>
              </w:rPr>
            </w:pPr>
            <w:r w:rsidRPr="0090159A">
              <w:rPr>
                <w:rFonts w:asciiTheme="minorHAnsi" w:eastAsia="Times New Roman" w:hAnsiTheme="minorHAnsi" w:cs="Calibri"/>
                <w:bCs/>
                <w:iCs/>
                <w:color w:val="000000"/>
                <w:kern w:val="0"/>
                <w:sz w:val="20"/>
                <w:lang w:eastAsia="en-IE"/>
              </w:rPr>
              <w:t xml:space="preserve">This datapoint is applicable for </w:t>
            </w:r>
            <w:r>
              <w:rPr>
                <w:rFonts w:asciiTheme="minorHAnsi" w:eastAsia="Times New Roman" w:hAnsiTheme="minorHAnsi" w:cs="Calibri"/>
                <w:bCs/>
                <w:iCs/>
                <w:color w:val="000000"/>
                <w:kern w:val="0"/>
                <w:sz w:val="20"/>
                <w:lang w:eastAsia="en-IE"/>
              </w:rPr>
              <w:t>all sectors</w:t>
            </w:r>
            <w:r w:rsidRPr="0090159A">
              <w:rPr>
                <w:rFonts w:asciiTheme="minorHAnsi" w:eastAsia="Times New Roman" w:hAnsiTheme="minorHAnsi" w:cs="Calibri"/>
                <w:bCs/>
                <w:iCs/>
                <w:color w:val="000000"/>
                <w:kern w:val="0"/>
                <w:sz w:val="20"/>
                <w:lang w:eastAsia="en-IE"/>
              </w:rPr>
              <w:t xml:space="preserve">. </w:t>
            </w:r>
          </w:p>
          <w:p w14:paraId="4B7BA57B" w14:textId="77777777" w:rsidR="0090159A" w:rsidRDefault="0090159A" w:rsidP="00631274">
            <w:pPr>
              <w:spacing w:before="0" w:after="0" w:line="240" w:lineRule="auto"/>
              <w:jc w:val="both"/>
              <w:rPr>
                <w:rFonts w:asciiTheme="minorHAnsi" w:eastAsia="Times New Roman" w:hAnsiTheme="minorHAnsi" w:cs="Calibri"/>
                <w:color w:val="000000"/>
                <w:kern w:val="0"/>
                <w:sz w:val="20"/>
                <w:lang w:val="en-IE" w:eastAsia="en-IE"/>
              </w:rPr>
            </w:pPr>
          </w:p>
          <w:p w14:paraId="6BE6D0A2" w14:textId="25562D08" w:rsidR="00631274" w:rsidRPr="00946C13" w:rsidRDefault="00631274" w:rsidP="00631274">
            <w:pPr>
              <w:spacing w:before="0" w:after="0" w:line="240" w:lineRule="auto"/>
              <w:jc w:val="both"/>
              <w:rPr>
                <w:rFonts w:asciiTheme="minorHAnsi" w:eastAsia="Times New Roman" w:hAnsiTheme="minorHAnsi" w:cs="Calibri"/>
                <w:color w:val="000000"/>
                <w:kern w:val="0"/>
                <w:sz w:val="20"/>
                <w:lang w:val="en-IE" w:eastAsia="en-IE"/>
              </w:rPr>
            </w:pPr>
            <w:r w:rsidRPr="00946C13">
              <w:rPr>
                <w:rFonts w:asciiTheme="minorHAnsi" w:eastAsia="Times New Roman" w:hAnsiTheme="minorHAnsi" w:cs="Calibri"/>
                <w:color w:val="000000"/>
                <w:kern w:val="0"/>
                <w:sz w:val="20"/>
                <w:lang w:val="en-IE" w:eastAsia="en-IE"/>
              </w:rPr>
              <w:t xml:space="preserve">Indicate the maximum number of hours </w:t>
            </w:r>
            <w:r w:rsidR="00D039A8">
              <w:rPr>
                <w:rFonts w:asciiTheme="minorHAnsi" w:eastAsia="Times New Roman" w:hAnsiTheme="minorHAnsi" w:cs="Calibri"/>
                <w:color w:val="000000"/>
                <w:kern w:val="0"/>
                <w:sz w:val="20"/>
                <w:lang w:val="en-IE" w:eastAsia="en-IE"/>
              </w:rPr>
              <w:t xml:space="preserve">experienced over the </w:t>
            </w:r>
            <w:r w:rsidR="005744AF">
              <w:rPr>
                <w:rFonts w:asciiTheme="minorHAnsi" w:eastAsia="Times New Roman" w:hAnsiTheme="minorHAnsi" w:cs="Calibri"/>
                <w:color w:val="000000"/>
                <w:kern w:val="0"/>
                <w:sz w:val="20"/>
                <w:lang w:val="en-IE" w:eastAsia="en-IE"/>
              </w:rPr>
              <w:t>reference</w:t>
            </w:r>
            <w:r w:rsidR="00D039A8">
              <w:rPr>
                <w:rFonts w:asciiTheme="minorHAnsi" w:eastAsia="Times New Roman" w:hAnsiTheme="minorHAnsi" w:cs="Calibri"/>
                <w:color w:val="000000"/>
                <w:kern w:val="0"/>
                <w:sz w:val="20"/>
                <w:lang w:val="en-IE" w:eastAsia="en-IE"/>
              </w:rPr>
              <w:t xml:space="preserve"> </w:t>
            </w:r>
            <w:r w:rsidR="00A77730">
              <w:rPr>
                <w:rFonts w:asciiTheme="minorHAnsi" w:eastAsia="Times New Roman" w:hAnsiTheme="minorHAnsi" w:cs="Calibri"/>
                <w:color w:val="000000"/>
                <w:kern w:val="0"/>
                <w:sz w:val="20"/>
                <w:lang w:val="en-IE" w:eastAsia="en-IE"/>
              </w:rPr>
              <w:t>period</w:t>
            </w:r>
            <w:r w:rsidR="00D039A8">
              <w:rPr>
                <w:rFonts w:asciiTheme="minorHAnsi" w:eastAsia="Times New Roman" w:hAnsiTheme="minorHAnsi" w:cs="Calibri"/>
                <w:color w:val="000000"/>
                <w:kern w:val="0"/>
                <w:sz w:val="20"/>
                <w:lang w:val="en-IE" w:eastAsia="en-IE"/>
              </w:rPr>
              <w:t xml:space="preserve"> </w:t>
            </w:r>
            <w:r w:rsidRPr="00946C13">
              <w:rPr>
                <w:rFonts w:asciiTheme="minorHAnsi" w:eastAsia="Times New Roman" w:hAnsiTheme="minorHAnsi" w:cs="Calibri"/>
                <w:color w:val="000000"/>
                <w:kern w:val="0"/>
                <w:sz w:val="20"/>
                <w:lang w:val="en-IE" w:eastAsia="en-IE"/>
              </w:rPr>
              <w:t xml:space="preserve">between the publication of the TFS </w:t>
            </w:r>
            <w:r w:rsidR="003C5B09">
              <w:rPr>
                <w:rFonts w:asciiTheme="minorHAnsi" w:eastAsia="Times New Roman" w:hAnsiTheme="minorHAnsi" w:cs="Calibri"/>
                <w:color w:val="000000"/>
                <w:kern w:val="0"/>
                <w:sz w:val="20"/>
                <w:lang w:val="en-IE" w:eastAsia="en-IE"/>
              </w:rPr>
              <w:t xml:space="preserve">in the </w:t>
            </w:r>
            <w:r w:rsidR="003C5B09" w:rsidRPr="003C5B09">
              <w:rPr>
                <w:rFonts w:asciiTheme="minorHAnsi" w:eastAsia="Times New Roman" w:hAnsiTheme="minorHAnsi" w:cs="Calibri"/>
                <w:color w:val="000000"/>
                <w:kern w:val="0"/>
                <w:sz w:val="20"/>
                <w:lang w:val="en-IE" w:eastAsia="en-IE"/>
              </w:rPr>
              <w:t>Official Journa</w:t>
            </w:r>
            <w:r w:rsidR="003C5B09">
              <w:rPr>
                <w:rFonts w:asciiTheme="minorHAnsi" w:eastAsia="Times New Roman" w:hAnsiTheme="minorHAnsi" w:cs="Calibri"/>
                <w:color w:val="000000"/>
                <w:kern w:val="0"/>
                <w:sz w:val="20"/>
                <w:lang w:val="en-IE" w:eastAsia="en-IE"/>
              </w:rPr>
              <w:t xml:space="preserve">l </w:t>
            </w:r>
            <w:r w:rsidR="000B7919">
              <w:rPr>
                <w:rFonts w:asciiTheme="minorHAnsi" w:eastAsia="Times New Roman" w:hAnsiTheme="minorHAnsi" w:cs="Calibri"/>
                <w:color w:val="000000"/>
                <w:kern w:val="0"/>
                <w:sz w:val="20"/>
                <w:lang w:val="en-IE" w:eastAsia="en-IE"/>
              </w:rPr>
              <w:t xml:space="preserve">of the EU </w:t>
            </w:r>
            <w:r w:rsidRPr="00946C13">
              <w:rPr>
                <w:rFonts w:asciiTheme="minorHAnsi" w:eastAsia="Times New Roman" w:hAnsiTheme="minorHAnsi" w:cs="Calibri"/>
                <w:color w:val="000000"/>
                <w:kern w:val="0"/>
                <w:sz w:val="20"/>
                <w:lang w:val="en-IE" w:eastAsia="en-IE"/>
              </w:rPr>
              <w:t xml:space="preserve">and the </w:t>
            </w:r>
            <w:r w:rsidR="008232A5">
              <w:rPr>
                <w:rFonts w:asciiTheme="minorHAnsi" w:eastAsia="Times New Roman" w:hAnsiTheme="minorHAnsi" w:cs="Calibri"/>
                <w:color w:val="000000"/>
                <w:kern w:val="0"/>
                <w:sz w:val="20"/>
                <w:lang w:val="en-IE" w:eastAsia="en-IE"/>
              </w:rPr>
              <w:t xml:space="preserve">effective </w:t>
            </w:r>
            <w:r w:rsidRPr="00946C13">
              <w:rPr>
                <w:rFonts w:asciiTheme="minorHAnsi" w:eastAsia="Times New Roman" w:hAnsiTheme="minorHAnsi" w:cs="Calibri"/>
                <w:color w:val="000000"/>
                <w:kern w:val="0"/>
                <w:sz w:val="20"/>
                <w:lang w:val="en-IE" w:eastAsia="en-IE"/>
              </w:rPr>
              <w:t>implementation of these changes in the institution's screening tools</w:t>
            </w:r>
            <w:r w:rsidR="005837FE">
              <w:rPr>
                <w:rFonts w:asciiTheme="minorHAnsi" w:eastAsia="Times New Roman" w:hAnsiTheme="minorHAnsi" w:cs="Calibri"/>
                <w:color w:val="000000"/>
                <w:kern w:val="0"/>
                <w:sz w:val="20"/>
                <w:lang w:val="en-IE" w:eastAsia="en-IE"/>
              </w:rPr>
              <w:t xml:space="preserve">. </w:t>
            </w:r>
            <w:r w:rsidR="006B127A" w:rsidRPr="006B127A">
              <w:rPr>
                <w:rFonts w:asciiTheme="minorHAnsi" w:eastAsia="Times New Roman" w:hAnsiTheme="minorHAnsi" w:cs="Calibri"/>
                <w:color w:val="000000"/>
                <w:kern w:val="0"/>
                <w:sz w:val="20"/>
                <w:lang w:val="en-IE" w:eastAsia="en-IE"/>
              </w:rPr>
              <w:t>Vendor</w:t>
            </w:r>
            <w:r w:rsidR="006B127A" w:rsidRPr="006B127A">
              <w:rPr>
                <w:rFonts w:ascii="Cambria Math" w:eastAsia="Times New Roman" w:hAnsi="Cambria Math" w:cs="Cambria Math"/>
                <w:color w:val="000000"/>
                <w:kern w:val="0"/>
                <w:sz w:val="20"/>
                <w:lang w:val="en-IE" w:eastAsia="en-IE"/>
              </w:rPr>
              <w:t>‑</w:t>
            </w:r>
            <w:r w:rsidR="006B127A" w:rsidRPr="006B127A">
              <w:rPr>
                <w:rFonts w:asciiTheme="minorHAnsi" w:eastAsia="Times New Roman" w:hAnsiTheme="minorHAnsi" w:cs="Calibri"/>
                <w:color w:val="000000"/>
                <w:kern w:val="0"/>
                <w:sz w:val="20"/>
                <w:lang w:val="en-IE" w:eastAsia="en-IE"/>
              </w:rPr>
              <w:t xml:space="preserve">dependent </w:t>
            </w:r>
            <w:r w:rsidR="00756F4E">
              <w:rPr>
                <w:rFonts w:asciiTheme="minorHAnsi" w:eastAsia="Times New Roman" w:hAnsiTheme="minorHAnsi" w:cs="Calibri"/>
                <w:color w:val="000000"/>
                <w:kern w:val="0"/>
                <w:sz w:val="20"/>
                <w:lang w:val="en-IE" w:eastAsia="en-IE"/>
              </w:rPr>
              <w:t>and external parties</w:t>
            </w:r>
            <w:r w:rsidR="006B127A" w:rsidRPr="006B127A">
              <w:rPr>
                <w:rFonts w:asciiTheme="minorHAnsi" w:eastAsia="Times New Roman" w:hAnsiTheme="minorHAnsi" w:cs="Calibri"/>
                <w:color w:val="000000"/>
                <w:kern w:val="0"/>
                <w:sz w:val="20"/>
                <w:lang w:val="en-IE" w:eastAsia="en-IE"/>
              </w:rPr>
              <w:t xml:space="preserve"> delays must be included in the number of hours reported.</w:t>
            </w:r>
          </w:p>
          <w:p w14:paraId="681ADF39" w14:textId="77777777" w:rsidR="00631274" w:rsidRPr="00946C13" w:rsidRDefault="00631274" w:rsidP="006075C1">
            <w:pPr>
              <w:spacing w:before="0" w:after="0" w:line="240" w:lineRule="auto"/>
              <w:jc w:val="both"/>
              <w:rPr>
                <w:rFonts w:asciiTheme="minorHAnsi" w:eastAsia="Times New Roman" w:hAnsiTheme="minorHAnsi" w:cs="Calibri"/>
                <w:color w:val="000000"/>
                <w:kern w:val="0"/>
                <w:sz w:val="20"/>
                <w:lang w:val="en-IE" w:eastAsia="en-IE"/>
              </w:rPr>
            </w:pPr>
          </w:p>
          <w:p w14:paraId="4D25372A" w14:textId="26044B9F" w:rsidR="007F207D" w:rsidRDefault="000D7607" w:rsidP="007F45FF">
            <w:pPr>
              <w:spacing w:before="0" w:after="0" w:line="240" w:lineRule="auto"/>
              <w:jc w:val="both"/>
              <w:rPr>
                <w:rFonts w:asciiTheme="minorHAnsi" w:eastAsia="Times New Roman" w:hAnsiTheme="minorHAnsi" w:cs="Calibri"/>
                <w:color w:val="000000"/>
                <w:kern w:val="0"/>
                <w:sz w:val="20"/>
                <w:lang w:eastAsia="en-IE"/>
              </w:rPr>
            </w:pPr>
            <w:r>
              <w:rPr>
                <w:rFonts w:asciiTheme="minorHAnsi" w:eastAsia="Times New Roman" w:hAnsiTheme="minorHAnsi" w:cs="Calibri"/>
                <w:color w:val="000000"/>
                <w:kern w:val="0"/>
                <w:sz w:val="20"/>
                <w:lang w:eastAsia="en-IE"/>
              </w:rPr>
              <w:t>T</w:t>
            </w:r>
            <w:r w:rsidR="004461FD" w:rsidRPr="004461FD">
              <w:rPr>
                <w:rFonts w:asciiTheme="minorHAnsi" w:eastAsia="Times New Roman" w:hAnsiTheme="minorHAnsi" w:cs="Calibri"/>
                <w:color w:val="000000"/>
                <w:kern w:val="0"/>
                <w:sz w:val="20"/>
                <w:lang w:eastAsia="en-IE"/>
              </w:rPr>
              <w:t>he reported timeframe should reflect when updated targeted financial sanctions are effectively applied in practice</w:t>
            </w:r>
            <w:r w:rsidR="00734A5E">
              <w:rPr>
                <w:rFonts w:asciiTheme="minorHAnsi" w:eastAsia="Times New Roman" w:hAnsiTheme="minorHAnsi" w:cs="Calibri"/>
                <w:color w:val="000000"/>
                <w:kern w:val="0"/>
                <w:sz w:val="20"/>
                <w:lang w:eastAsia="en-IE"/>
              </w:rPr>
              <w:t xml:space="preserve"> by the </w:t>
            </w:r>
            <w:r w:rsidR="00487E4A">
              <w:rPr>
                <w:rFonts w:asciiTheme="minorHAnsi" w:eastAsia="Times New Roman" w:hAnsiTheme="minorHAnsi" w:cs="Calibri"/>
                <w:color w:val="000000"/>
                <w:kern w:val="0"/>
                <w:sz w:val="20"/>
                <w:lang w:eastAsia="en-IE"/>
              </w:rPr>
              <w:t>o</w:t>
            </w:r>
            <w:r w:rsidR="00734A5E">
              <w:rPr>
                <w:rFonts w:asciiTheme="minorHAnsi" w:eastAsia="Times New Roman" w:hAnsiTheme="minorHAnsi" w:cs="Calibri"/>
                <w:color w:val="000000"/>
                <w:kern w:val="0"/>
                <w:sz w:val="20"/>
                <w:lang w:eastAsia="en-IE"/>
              </w:rPr>
              <w:t xml:space="preserve">bliged </w:t>
            </w:r>
            <w:r w:rsidR="003A5D94">
              <w:rPr>
                <w:rFonts w:asciiTheme="minorHAnsi" w:eastAsia="Times New Roman" w:hAnsiTheme="minorHAnsi" w:cs="Calibri"/>
                <w:color w:val="000000"/>
                <w:kern w:val="0"/>
                <w:sz w:val="20"/>
                <w:lang w:eastAsia="en-IE"/>
              </w:rPr>
              <w:t>rep</w:t>
            </w:r>
            <w:r w:rsidR="008D5B9C">
              <w:rPr>
                <w:rFonts w:asciiTheme="minorHAnsi" w:eastAsia="Times New Roman" w:hAnsiTheme="minorHAnsi" w:cs="Calibri"/>
                <w:color w:val="000000"/>
                <w:kern w:val="0"/>
                <w:sz w:val="20"/>
                <w:lang w:eastAsia="en-IE"/>
              </w:rPr>
              <w:t xml:space="preserve">orting </w:t>
            </w:r>
            <w:r w:rsidR="00487E4A">
              <w:rPr>
                <w:rFonts w:asciiTheme="minorHAnsi" w:eastAsia="Times New Roman" w:hAnsiTheme="minorHAnsi" w:cs="Calibri"/>
                <w:color w:val="000000"/>
                <w:kern w:val="0"/>
                <w:sz w:val="20"/>
                <w:lang w:eastAsia="en-IE"/>
              </w:rPr>
              <w:t>e</w:t>
            </w:r>
            <w:r w:rsidR="00734A5E">
              <w:rPr>
                <w:rFonts w:asciiTheme="minorHAnsi" w:eastAsia="Times New Roman" w:hAnsiTheme="minorHAnsi" w:cs="Calibri"/>
                <w:color w:val="000000"/>
                <w:kern w:val="0"/>
                <w:sz w:val="20"/>
                <w:lang w:eastAsia="en-IE"/>
              </w:rPr>
              <w:t>ntity</w:t>
            </w:r>
            <w:r w:rsidR="00462776">
              <w:rPr>
                <w:rFonts w:asciiTheme="minorHAnsi" w:eastAsia="Times New Roman" w:hAnsiTheme="minorHAnsi" w:cs="Calibri"/>
                <w:color w:val="000000"/>
                <w:kern w:val="0"/>
                <w:sz w:val="20"/>
                <w:lang w:eastAsia="en-IE"/>
              </w:rPr>
              <w:t>.</w:t>
            </w:r>
          </w:p>
          <w:p w14:paraId="22E56E3D" w14:textId="2620A073" w:rsidR="00E3049B" w:rsidRPr="00BF2698" w:rsidRDefault="00E3049B" w:rsidP="007F45FF">
            <w:pPr>
              <w:spacing w:before="0" w:after="0" w:line="240" w:lineRule="auto"/>
              <w:jc w:val="both"/>
              <w:rPr>
                <w:rFonts w:asciiTheme="minorHAnsi" w:eastAsia="Times New Roman" w:hAnsiTheme="minorHAnsi" w:cs="Calibri"/>
                <w:color w:val="000000"/>
                <w:kern w:val="0"/>
                <w:sz w:val="20"/>
                <w:lang w:val="en-IE" w:eastAsia="en-IE"/>
              </w:rPr>
            </w:pPr>
          </w:p>
        </w:tc>
      </w:tr>
      <w:tr w:rsidR="00A10CBD" w:rsidRPr="009B282E" w14:paraId="7ACB8125" w14:textId="77777777" w:rsidTr="00BF2698">
        <w:tc>
          <w:tcPr>
            <w:tcW w:w="1673" w:type="dxa"/>
            <w:tcBorders>
              <w:top w:val="single" w:sz="4" w:space="0" w:color="auto"/>
              <w:left w:val="single" w:sz="4" w:space="0" w:color="auto"/>
              <w:bottom w:val="single" w:sz="4" w:space="0" w:color="auto"/>
              <w:right w:val="single" w:sz="4" w:space="0" w:color="auto"/>
            </w:tcBorders>
            <w:vAlign w:val="center"/>
          </w:tcPr>
          <w:p w14:paraId="0CA21D82" w14:textId="2CB48446" w:rsidR="00DC08B7" w:rsidRPr="009275BC" w:rsidRDefault="00BF163C"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C0020</w:t>
            </w:r>
          </w:p>
        </w:tc>
        <w:tc>
          <w:tcPr>
            <w:tcW w:w="7616"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DAB9A02" w14:textId="0470A042" w:rsidR="00491899" w:rsidRDefault="00491899" w:rsidP="006075C1">
            <w:pPr>
              <w:spacing w:before="0" w:after="0" w:line="240" w:lineRule="auto"/>
              <w:jc w:val="both"/>
              <w:rPr>
                <w:rFonts w:asciiTheme="minorHAnsi" w:eastAsia="Times New Roman" w:hAnsiTheme="minorHAnsi" w:cs="Calibri"/>
                <w:b/>
                <w:bCs/>
                <w:color w:val="000000"/>
                <w:kern w:val="0"/>
                <w:sz w:val="20"/>
                <w:u w:val="single"/>
                <w:lang w:val="en-IE" w:eastAsia="en-IE"/>
              </w:rPr>
            </w:pPr>
            <w:r w:rsidRPr="007C1EFE">
              <w:rPr>
                <w:rFonts w:ascii="Aptos" w:eastAsia="Times New Roman" w:hAnsi="Aptos" w:cs="Calibri"/>
                <w:b/>
                <w:bCs/>
                <w:color w:val="000000"/>
                <w:kern w:val="0"/>
                <w:sz w:val="20"/>
                <w:u w:val="single"/>
                <w:lang w:val="en-IE" w:eastAsia="en-IE"/>
              </w:rPr>
              <w:t xml:space="preserve">Outbound Transfers </w:t>
            </w:r>
            <w:r w:rsidR="008903EA" w:rsidRPr="007C1EFE">
              <w:rPr>
                <w:rFonts w:ascii="Aptos" w:eastAsia="Times New Roman" w:hAnsi="Aptos" w:cs="Calibri"/>
                <w:b/>
                <w:bCs/>
                <w:color w:val="000000"/>
                <w:kern w:val="0"/>
                <w:sz w:val="20"/>
                <w:u w:val="single"/>
                <w:lang w:val="en-IE" w:eastAsia="en-IE"/>
              </w:rPr>
              <w:t>with</w:t>
            </w:r>
            <w:r w:rsidRPr="007C1EFE">
              <w:rPr>
                <w:rFonts w:ascii="Aptos" w:eastAsia="Times New Roman" w:hAnsi="Aptos" w:cs="Calibri"/>
                <w:b/>
                <w:bCs/>
                <w:color w:val="000000"/>
                <w:kern w:val="0"/>
                <w:sz w:val="20"/>
                <w:u w:val="single"/>
                <w:lang w:val="en-IE" w:eastAsia="en-IE"/>
              </w:rPr>
              <w:t xml:space="preserve"> Information Requests (RFI)</w:t>
            </w:r>
          </w:p>
          <w:p w14:paraId="216D53EA" w14:textId="398DC388" w:rsidR="00034D68" w:rsidRPr="00BF2698" w:rsidRDefault="00034D68" w:rsidP="006075C1">
            <w:pPr>
              <w:spacing w:before="0" w:after="0" w:line="240" w:lineRule="auto"/>
              <w:jc w:val="both"/>
              <w:rPr>
                <w:rFonts w:asciiTheme="minorHAnsi" w:eastAsia="Times New Roman" w:hAnsiTheme="minorHAnsi" w:cs="Calibri"/>
                <w:b/>
                <w:bCs/>
                <w:color w:val="000000"/>
                <w:kern w:val="0"/>
                <w:sz w:val="20"/>
                <w:u w:val="single"/>
                <w:lang w:val="en-IE" w:eastAsia="en-IE"/>
              </w:rPr>
            </w:pPr>
          </w:p>
          <w:p w14:paraId="3B7E81D8" w14:textId="56C25FA6" w:rsidR="00C60CAB" w:rsidRPr="00C60CAB" w:rsidRDefault="00C60CAB" w:rsidP="00C60CAB">
            <w:pPr>
              <w:spacing w:before="0" w:after="0" w:line="240" w:lineRule="auto"/>
              <w:jc w:val="both"/>
              <w:rPr>
                <w:rFonts w:asciiTheme="minorHAnsi" w:eastAsia="Times New Roman" w:hAnsiTheme="minorHAnsi" w:cs="Calibri"/>
                <w:bCs/>
                <w:iCs/>
                <w:color w:val="000000"/>
                <w:kern w:val="0"/>
                <w:sz w:val="20"/>
                <w:lang w:eastAsia="en-IE"/>
              </w:rPr>
            </w:pPr>
            <w:bookmarkStart w:id="316" w:name="_Hlk222817480"/>
            <w:r w:rsidRPr="00C60CAB">
              <w:rPr>
                <w:rFonts w:asciiTheme="minorHAnsi" w:eastAsia="Times New Roman" w:hAnsiTheme="minorHAnsi" w:cs="Calibri"/>
                <w:bCs/>
                <w:iCs/>
                <w:color w:val="000000"/>
                <w:kern w:val="0"/>
                <w:sz w:val="20"/>
                <w:lang w:eastAsia="en-IE"/>
              </w:rPr>
              <w:t xml:space="preserve">This datapoint is only applicable for CI, </w:t>
            </w:r>
            <w:r>
              <w:rPr>
                <w:rFonts w:asciiTheme="minorHAnsi" w:eastAsia="Times New Roman" w:hAnsiTheme="minorHAnsi" w:cs="Calibri"/>
                <w:bCs/>
                <w:iCs/>
                <w:color w:val="000000"/>
                <w:kern w:val="0"/>
                <w:sz w:val="20"/>
                <w:lang w:eastAsia="en-IE"/>
              </w:rPr>
              <w:t xml:space="preserve">CP, </w:t>
            </w:r>
            <w:r w:rsidRPr="00C60CAB">
              <w:rPr>
                <w:rFonts w:asciiTheme="minorHAnsi" w:eastAsia="Times New Roman" w:hAnsiTheme="minorHAnsi" w:cs="Calibri"/>
                <w:bCs/>
                <w:iCs/>
                <w:color w:val="000000"/>
                <w:kern w:val="0"/>
                <w:sz w:val="20"/>
                <w:lang w:eastAsia="en-IE"/>
              </w:rPr>
              <w:t xml:space="preserve">EMI, PI, CASP and </w:t>
            </w:r>
            <w:r w:rsidR="00131D18">
              <w:rPr>
                <w:rFonts w:asciiTheme="minorHAnsi" w:eastAsia="Times New Roman" w:hAnsiTheme="minorHAnsi" w:cs="Calibri"/>
                <w:bCs/>
                <w:iCs/>
                <w:color w:val="000000"/>
                <w:kern w:val="0"/>
                <w:sz w:val="20"/>
                <w:lang w:eastAsia="en-IE"/>
              </w:rPr>
              <w:t>O</w:t>
            </w:r>
            <w:r w:rsidRPr="00C60CAB">
              <w:rPr>
                <w:rFonts w:asciiTheme="minorHAnsi" w:eastAsia="Times New Roman" w:hAnsiTheme="minorHAnsi" w:cs="Calibri"/>
                <w:bCs/>
                <w:iCs/>
                <w:color w:val="000000"/>
                <w:kern w:val="0"/>
                <w:sz w:val="20"/>
                <w:lang w:eastAsia="en-IE"/>
              </w:rPr>
              <w:t xml:space="preserve">. </w:t>
            </w:r>
          </w:p>
          <w:bookmarkEnd w:id="316"/>
          <w:p w14:paraId="3A3008BA" w14:textId="3DC6C2A1" w:rsidR="0081712A" w:rsidRDefault="0081712A" w:rsidP="006075C1">
            <w:pPr>
              <w:spacing w:before="0" w:after="0" w:line="240" w:lineRule="auto"/>
              <w:jc w:val="both"/>
              <w:rPr>
                <w:rFonts w:asciiTheme="minorHAnsi" w:eastAsia="Times New Roman" w:hAnsiTheme="minorHAnsi" w:cs="Calibri"/>
                <w:color w:val="000000"/>
                <w:kern w:val="0"/>
                <w:sz w:val="20"/>
                <w:lang w:val="en-GB" w:eastAsia="en-IE"/>
              </w:rPr>
            </w:pPr>
          </w:p>
          <w:p w14:paraId="06D6729E" w14:textId="473DBDA4" w:rsidR="00AB7A73" w:rsidRDefault="00AB7A73" w:rsidP="00AB7A73">
            <w:pPr>
              <w:spacing w:before="0" w:after="0" w:line="240" w:lineRule="auto"/>
              <w:jc w:val="both"/>
              <w:rPr>
                <w:rFonts w:asciiTheme="minorHAnsi" w:eastAsia="Times New Roman" w:hAnsiTheme="minorHAnsi" w:cs="Calibri"/>
                <w:color w:val="000000"/>
                <w:kern w:val="0"/>
                <w:sz w:val="20"/>
                <w:lang w:val="en-GB" w:eastAsia="en-IE"/>
              </w:rPr>
            </w:pPr>
            <w:r w:rsidRPr="00AB7A73">
              <w:rPr>
                <w:rFonts w:asciiTheme="minorHAnsi" w:eastAsia="Times New Roman" w:hAnsiTheme="minorHAnsi" w:cs="Calibri"/>
                <w:color w:val="000000"/>
                <w:kern w:val="0"/>
                <w:sz w:val="20"/>
                <w:lang w:val="en-GB" w:eastAsia="en-IE"/>
              </w:rPr>
              <w:t>Indicate the number of outbound transfers for which requests were received from a counterparty in the transfer chain for information that is missing, incomplete or provided using inadmissible characters during the reference year.</w:t>
            </w:r>
          </w:p>
          <w:p w14:paraId="72904344" w14:textId="77777777" w:rsidR="0081712A" w:rsidRDefault="0081712A" w:rsidP="006075C1">
            <w:pPr>
              <w:spacing w:before="0" w:after="0" w:line="240" w:lineRule="auto"/>
              <w:jc w:val="both"/>
              <w:rPr>
                <w:rFonts w:asciiTheme="minorHAnsi" w:eastAsia="Times New Roman" w:hAnsiTheme="minorHAnsi" w:cs="Calibri"/>
                <w:color w:val="000000"/>
                <w:kern w:val="0"/>
                <w:sz w:val="20"/>
                <w:lang w:val="en-GB" w:eastAsia="en-IE"/>
              </w:rPr>
            </w:pPr>
          </w:p>
          <w:p w14:paraId="36F8554E" w14:textId="2FC70946" w:rsidR="00AB07F4" w:rsidRDefault="00613732" w:rsidP="006075C1">
            <w:pPr>
              <w:spacing w:before="0" w:after="0" w:line="240" w:lineRule="auto"/>
              <w:jc w:val="both"/>
              <w:rPr>
                <w:rFonts w:asciiTheme="minorHAnsi" w:eastAsia="Times New Roman" w:hAnsiTheme="minorHAnsi" w:cs="Calibri"/>
                <w:color w:val="000000"/>
                <w:kern w:val="0"/>
                <w:sz w:val="20"/>
                <w:lang w:val="en-GB" w:eastAsia="en-IE"/>
              </w:rPr>
            </w:pPr>
            <w:r w:rsidRPr="00BF2698">
              <w:rPr>
                <w:rFonts w:asciiTheme="minorHAnsi" w:eastAsia="Times New Roman" w:hAnsiTheme="minorHAnsi" w:cs="Calibri"/>
                <w:color w:val="000000"/>
                <w:kern w:val="0"/>
                <w:sz w:val="20"/>
                <w:lang w:val="en-GB" w:eastAsia="en-IE"/>
              </w:rPr>
              <w:t>Outbound transactions: The movement of money from a financial account to an external account. This data point only includes transfers at customer level</w:t>
            </w:r>
            <w:r w:rsidR="00AB7A73">
              <w:rPr>
                <w:rFonts w:asciiTheme="minorHAnsi" w:eastAsia="Times New Roman" w:hAnsiTheme="minorHAnsi" w:cs="Calibri"/>
                <w:color w:val="000000"/>
                <w:kern w:val="0"/>
                <w:sz w:val="20"/>
                <w:lang w:val="en-GB" w:eastAsia="en-IE"/>
              </w:rPr>
              <w:t>.</w:t>
            </w:r>
          </w:p>
          <w:p w14:paraId="4252BA8D" w14:textId="3279EA3A" w:rsidR="00034D68" w:rsidRPr="00BF2698" w:rsidRDefault="00034D68" w:rsidP="006075C1">
            <w:pPr>
              <w:spacing w:before="0" w:after="0" w:line="240" w:lineRule="auto"/>
              <w:jc w:val="both"/>
              <w:rPr>
                <w:rFonts w:asciiTheme="minorHAnsi" w:eastAsia="Times New Roman" w:hAnsiTheme="minorHAnsi" w:cs="Calibri"/>
                <w:color w:val="000000"/>
                <w:kern w:val="0"/>
                <w:sz w:val="20"/>
                <w:lang w:val="en-IE" w:eastAsia="en-IE"/>
              </w:rPr>
            </w:pPr>
          </w:p>
        </w:tc>
      </w:tr>
      <w:tr w:rsidR="00A10CBD" w:rsidRPr="009B282E" w14:paraId="3A288C9E" w14:textId="77777777" w:rsidTr="00BF2698">
        <w:tc>
          <w:tcPr>
            <w:tcW w:w="1673" w:type="dxa"/>
            <w:tcBorders>
              <w:top w:val="single" w:sz="4" w:space="0" w:color="auto"/>
              <w:left w:val="single" w:sz="4" w:space="0" w:color="auto"/>
              <w:bottom w:val="single" w:sz="4" w:space="0" w:color="auto"/>
              <w:right w:val="single" w:sz="4" w:space="0" w:color="auto"/>
            </w:tcBorders>
            <w:vAlign w:val="center"/>
          </w:tcPr>
          <w:p w14:paraId="6C26650B" w14:textId="28FDA036" w:rsidR="00DC08B7" w:rsidRPr="009275BC" w:rsidRDefault="00BF163C"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C0030</w:t>
            </w:r>
          </w:p>
        </w:tc>
        <w:tc>
          <w:tcPr>
            <w:tcW w:w="7616"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0217C37" w14:textId="77777777" w:rsidR="00491899" w:rsidRDefault="00491899" w:rsidP="006075C1">
            <w:pPr>
              <w:spacing w:before="0" w:after="0" w:line="240" w:lineRule="auto"/>
              <w:jc w:val="both"/>
              <w:rPr>
                <w:rFonts w:asciiTheme="minorHAnsi" w:eastAsia="Times New Roman" w:hAnsiTheme="minorHAnsi" w:cs="Calibri"/>
                <w:b/>
                <w:bCs/>
                <w:color w:val="000000"/>
                <w:kern w:val="0"/>
                <w:sz w:val="20"/>
                <w:u w:val="single"/>
                <w:lang w:val="en-IE" w:eastAsia="en-IE"/>
              </w:rPr>
            </w:pPr>
            <w:r w:rsidRPr="00503E98">
              <w:rPr>
                <w:rFonts w:ascii="Aptos" w:eastAsia="Times New Roman" w:hAnsi="Aptos" w:cs="Calibri"/>
                <w:b/>
                <w:bCs/>
                <w:color w:val="000000"/>
                <w:kern w:val="0"/>
                <w:sz w:val="20"/>
                <w:u w:val="single"/>
                <w:lang w:val="en-IE" w:eastAsia="en-IE"/>
              </w:rPr>
              <w:t>Total Outbound Transfers</w:t>
            </w:r>
          </w:p>
          <w:p w14:paraId="00BCDFF7" w14:textId="5B3FF832" w:rsidR="00034D68" w:rsidRPr="00503E98" w:rsidRDefault="00034D68" w:rsidP="006075C1">
            <w:pPr>
              <w:spacing w:before="0" w:after="0" w:line="240" w:lineRule="auto"/>
              <w:jc w:val="both"/>
              <w:rPr>
                <w:rFonts w:asciiTheme="minorHAnsi" w:eastAsia="Times New Roman" w:hAnsiTheme="minorHAnsi" w:cs="Calibri"/>
                <w:color w:val="000000"/>
                <w:kern w:val="0"/>
                <w:sz w:val="20"/>
                <w:lang w:val="en-IE" w:eastAsia="en-IE"/>
              </w:rPr>
            </w:pPr>
          </w:p>
          <w:p w14:paraId="4BEAC1D6" w14:textId="77777777" w:rsidR="00131D18" w:rsidRPr="00131D18" w:rsidRDefault="00131D18" w:rsidP="00131D18">
            <w:pPr>
              <w:spacing w:before="0" w:after="0" w:line="240" w:lineRule="auto"/>
              <w:jc w:val="both"/>
              <w:rPr>
                <w:rFonts w:asciiTheme="minorHAnsi" w:eastAsia="Times New Roman" w:hAnsiTheme="minorHAnsi" w:cs="Calibri"/>
                <w:bCs/>
                <w:iCs/>
                <w:color w:val="000000"/>
                <w:kern w:val="0"/>
                <w:sz w:val="20"/>
                <w:lang w:eastAsia="en-IE"/>
              </w:rPr>
            </w:pPr>
            <w:r w:rsidRPr="00131D18">
              <w:rPr>
                <w:rFonts w:asciiTheme="minorHAnsi" w:eastAsia="Times New Roman" w:hAnsiTheme="minorHAnsi" w:cs="Calibri"/>
                <w:bCs/>
                <w:iCs/>
                <w:color w:val="000000"/>
                <w:kern w:val="0"/>
                <w:sz w:val="20"/>
                <w:lang w:eastAsia="en-IE"/>
              </w:rPr>
              <w:t xml:space="preserve">This datapoint is only applicable for CI, CP, EMI, PI, CASP and O. </w:t>
            </w:r>
          </w:p>
          <w:p w14:paraId="6C6B4F2B" w14:textId="77777777" w:rsidR="00D0747A" w:rsidRDefault="00D0747A" w:rsidP="006075C1">
            <w:pPr>
              <w:spacing w:before="0" w:after="0" w:line="240" w:lineRule="auto"/>
              <w:jc w:val="both"/>
              <w:rPr>
                <w:rFonts w:asciiTheme="minorHAnsi" w:eastAsia="Times New Roman" w:hAnsiTheme="minorHAnsi" w:cs="Calibri"/>
                <w:color w:val="000000"/>
                <w:kern w:val="0"/>
                <w:sz w:val="20"/>
                <w:lang w:val="en-GB" w:eastAsia="en-IE"/>
              </w:rPr>
            </w:pPr>
          </w:p>
          <w:p w14:paraId="5D97343D" w14:textId="7938D065" w:rsidR="001B0C86" w:rsidRPr="00B820DC" w:rsidRDefault="001B0C86" w:rsidP="001B0C86">
            <w:pPr>
              <w:spacing w:before="0" w:after="0" w:line="240" w:lineRule="auto"/>
              <w:jc w:val="both"/>
              <w:rPr>
                <w:rFonts w:asciiTheme="minorHAnsi" w:eastAsia="Times New Roman" w:hAnsiTheme="minorHAnsi" w:cs="Calibri"/>
                <w:color w:val="000000"/>
                <w:kern w:val="0"/>
                <w:sz w:val="20"/>
                <w:lang w:val="en-IE" w:eastAsia="en-IE"/>
              </w:rPr>
            </w:pPr>
            <w:r w:rsidRPr="00AB7A73">
              <w:rPr>
                <w:rFonts w:asciiTheme="minorHAnsi" w:eastAsia="Times New Roman" w:hAnsiTheme="minorHAnsi" w:cs="Calibri"/>
                <w:color w:val="000000"/>
                <w:kern w:val="0"/>
                <w:sz w:val="20"/>
                <w:lang w:val="en-GB" w:eastAsia="en-IE"/>
              </w:rPr>
              <w:t xml:space="preserve">Indicate the </w:t>
            </w:r>
            <w:r w:rsidRPr="00B820DC">
              <w:rPr>
                <w:rFonts w:asciiTheme="minorHAnsi" w:eastAsia="Times New Roman" w:hAnsiTheme="minorHAnsi" w:cs="Calibri"/>
                <w:color w:val="000000"/>
                <w:kern w:val="0"/>
                <w:sz w:val="20"/>
                <w:lang w:val="en-IE" w:eastAsia="en-IE"/>
              </w:rPr>
              <w:t xml:space="preserve">total number of outbound transfers </w:t>
            </w:r>
            <w:r w:rsidR="00AB7A73" w:rsidRPr="00B820DC">
              <w:rPr>
                <w:rFonts w:asciiTheme="minorHAnsi" w:eastAsia="Times New Roman" w:hAnsiTheme="minorHAnsi" w:cs="Calibri"/>
                <w:color w:val="000000"/>
                <w:kern w:val="0"/>
                <w:sz w:val="20"/>
                <w:lang w:val="en-IE" w:eastAsia="en-IE"/>
              </w:rPr>
              <w:t>during the reference</w:t>
            </w:r>
            <w:r w:rsidRPr="00B820DC">
              <w:rPr>
                <w:rFonts w:asciiTheme="minorHAnsi" w:eastAsia="Times New Roman" w:hAnsiTheme="minorHAnsi" w:cs="Calibri"/>
                <w:color w:val="000000"/>
                <w:kern w:val="0"/>
                <w:sz w:val="20"/>
                <w:lang w:val="en-IE" w:eastAsia="en-IE"/>
              </w:rPr>
              <w:t xml:space="preserve"> year</w:t>
            </w:r>
            <w:r w:rsidR="00AB7A73" w:rsidRPr="00B820DC">
              <w:rPr>
                <w:rFonts w:asciiTheme="minorHAnsi" w:eastAsia="Times New Roman" w:hAnsiTheme="minorHAnsi" w:cs="Calibri"/>
                <w:color w:val="000000"/>
                <w:kern w:val="0"/>
                <w:sz w:val="20"/>
                <w:lang w:val="en-IE" w:eastAsia="en-IE"/>
              </w:rPr>
              <w:t>.</w:t>
            </w:r>
          </w:p>
          <w:p w14:paraId="13A8FA01" w14:textId="77777777" w:rsidR="00AB7A73" w:rsidRPr="00B820DC" w:rsidRDefault="00AB7A73" w:rsidP="001B0C86">
            <w:pPr>
              <w:spacing w:before="0" w:after="0" w:line="240" w:lineRule="auto"/>
              <w:jc w:val="both"/>
              <w:rPr>
                <w:rFonts w:asciiTheme="minorHAnsi" w:eastAsia="Times New Roman" w:hAnsiTheme="minorHAnsi" w:cs="Calibri"/>
                <w:color w:val="000000"/>
                <w:kern w:val="0"/>
                <w:sz w:val="20"/>
                <w:lang w:val="en-IE" w:eastAsia="en-IE"/>
              </w:rPr>
            </w:pPr>
          </w:p>
          <w:p w14:paraId="439850CA" w14:textId="521E7D38" w:rsidR="00613732" w:rsidRDefault="00613732" w:rsidP="006075C1">
            <w:pPr>
              <w:spacing w:before="0" w:after="0" w:line="240" w:lineRule="auto"/>
              <w:jc w:val="both"/>
              <w:rPr>
                <w:rFonts w:asciiTheme="minorHAnsi" w:eastAsia="Times New Roman" w:hAnsiTheme="minorHAnsi" w:cs="Calibri"/>
                <w:color w:val="000000"/>
                <w:kern w:val="0"/>
                <w:sz w:val="20"/>
                <w:lang w:val="en-GB" w:eastAsia="en-IE"/>
              </w:rPr>
            </w:pPr>
            <w:r w:rsidRPr="00BF2698">
              <w:rPr>
                <w:rFonts w:asciiTheme="minorHAnsi" w:eastAsia="Times New Roman" w:hAnsiTheme="minorHAnsi" w:cs="Calibri"/>
                <w:color w:val="000000"/>
                <w:kern w:val="0"/>
                <w:sz w:val="20"/>
                <w:lang w:val="en-GB" w:eastAsia="en-IE"/>
              </w:rPr>
              <w:t>Outbound transactions: The movement of money from a financial account to an external account. This data point only includes transfers at customer level</w:t>
            </w:r>
            <w:r w:rsidR="00AB7A73" w:rsidRPr="00AB7A73">
              <w:rPr>
                <w:rFonts w:asciiTheme="minorHAnsi" w:eastAsia="Times New Roman" w:hAnsiTheme="minorHAnsi" w:cs="Calibri"/>
                <w:color w:val="000000"/>
                <w:kern w:val="0"/>
                <w:sz w:val="20"/>
                <w:lang w:val="en-GB" w:eastAsia="en-IE"/>
              </w:rPr>
              <w:t>.</w:t>
            </w:r>
          </w:p>
          <w:p w14:paraId="17FF59E6" w14:textId="25F7C92B" w:rsidR="00034D68" w:rsidRPr="00BF2698" w:rsidRDefault="00034D68" w:rsidP="006075C1">
            <w:pPr>
              <w:spacing w:before="0" w:after="0" w:line="240" w:lineRule="auto"/>
              <w:jc w:val="both"/>
              <w:rPr>
                <w:rFonts w:asciiTheme="minorHAnsi" w:eastAsia="Times New Roman" w:hAnsiTheme="minorHAnsi" w:cs="Calibri"/>
                <w:color w:val="000000"/>
                <w:kern w:val="0"/>
                <w:sz w:val="20"/>
                <w:lang w:val="en-IE" w:eastAsia="en-IE"/>
              </w:rPr>
            </w:pPr>
          </w:p>
        </w:tc>
      </w:tr>
      <w:tr w:rsidR="00A10CBD" w:rsidRPr="009B282E" w14:paraId="2DAA9DD3" w14:textId="77777777" w:rsidTr="3803D00B">
        <w:trPr>
          <w:trHeight w:val="300"/>
        </w:trPr>
        <w:tc>
          <w:tcPr>
            <w:tcW w:w="1673" w:type="dxa"/>
            <w:tcBorders>
              <w:top w:val="single" w:sz="4" w:space="0" w:color="auto"/>
              <w:left w:val="single" w:sz="4" w:space="0" w:color="auto"/>
              <w:bottom w:val="single" w:sz="4" w:space="0" w:color="auto"/>
              <w:right w:val="single" w:sz="4" w:space="0" w:color="auto"/>
            </w:tcBorders>
            <w:vAlign w:val="center"/>
          </w:tcPr>
          <w:p w14:paraId="40A76EDA" w14:textId="146CE7DE" w:rsidR="00DC08B7" w:rsidRPr="009275BC" w:rsidRDefault="00BF163C" w:rsidP="00F32516">
            <w:pPr>
              <w:pStyle w:val="InstructionsText"/>
              <w:rPr>
                <w:rStyle w:val="FormatvorlageInstructionsTabelleText"/>
                <w:rFonts w:asciiTheme="minorHAnsi" w:hAnsiTheme="minorHAnsi"/>
              </w:rPr>
            </w:pPr>
            <w:r w:rsidRPr="009275BC">
              <w:rPr>
                <w:rStyle w:val="FormatvorlageInstructionsTabelleText"/>
                <w:rFonts w:asciiTheme="minorHAnsi" w:hAnsiTheme="minorHAnsi"/>
              </w:rPr>
              <w:t>C0040</w:t>
            </w:r>
          </w:p>
        </w:tc>
        <w:tc>
          <w:tcPr>
            <w:tcW w:w="7616"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C5AA6D7" w14:textId="77777777" w:rsidR="00491899" w:rsidRDefault="00491899" w:rsidP="006075C1">
            <w:pPr>
              <w:spacing w:before="0" w:after="0" w:line="240" w:lineRule="auto"/>
              <w:jc w:val="both"/>
              <w:rPr>
                <w:rFonts w:asciiTheme="minorHAnsi" w:eastAsia="Times New Roman" w:hAnsiTheme="minorHAnsi" w:cs="Calibri"/>
                <w:b/>
                <w:bCs/>
                <w:color w:val="000000"/>
                <w:kern w:val="0"/>
                <w:sz w:val="20"/>
                <w:u w:val="single"/>
                <w:lang w:val="en-IE" w:eastAsia="en-IE"/>
              </w:rPr>
            </w:pPr>
            <w:r w:rsidRPr="00EB3612">
              <w:rPr>
                <w:rFonts w:ascii="Aptos" w:eastAsia="Times New Roman" w:hAnsi="Aptos" w:cs="Calibri"/>
                <w:b/>
                <w:bCs/>
                <w:color w:val="000000"/>
                <w:kern w:val="0"/>
                <w:sz w:val="20"/>
                <w:u w:val="single"/>
                <w:lang w:val="en-IE" w:eastAsia="en-IE"/>
              </w:rPr>
              <w:t>Rejected/Returned Outbound Transfers (%)</w:t>
            </w:r>
          </w:p>
          <w:p w14:paraId="22F20A45" w14:textId="5FA732F4" w:rsidR="00F34D76" w:rsidRDefault="00F34D76" w:rsidP="006075C1">
            <w:pPr>
              <w:spacing w:before="0" w:after="0" w:line="240" w:lineRule="auto"/>
              <w:jc w:val="both"/>
              <w:rPr>
                <w:rFonts w:asciiTheme="minorHAnsi" w:eastAsia="Times New Roman" w:hAnsiTheme="minorHAnsi" w:cs="Calibri"/>
                <w:b/>
                <w:bCs/>
                <w:color w:val="000000"/>
                <w:kern w:val="0"/>
                <w:sz w:val="20"/>
                <w:u w:val="single"/>
                <w:lang w:val="en-IE" w:eastAsia="en-IE"/>
              </w:rPr>
            </w:pPr>
          </w:p>
          <w:p w14:paraId="5BA760E9" w14:textId="77777777" w:rsidR="00131D18" w:rsidRPr="00131D18" w:rsidRDefault="00131D18" w:rsidP="00131D18">
            <w:pPr>
              <w:spacing w:before="0" w:after="0" w:line="240" w:lineRule="auto"/>
              <w:jc w:val="both"/>
              <w:rPr>
                <w:rFonts w:asciiTheme="minorHAnsi" w:eastAsia="Times New Roman" w:hAnsiTheme="minorHAnsi" w:cs="Calibri"/>
                <w:bCs/>
                <w:iCs/>
                <w:color w:val="000000"/>
                <w:kern w:val="0"/>
                <w:sz w:val="20"/>
                <w:lang w:eastAsia="en-IE"/>
              </w:rPr>
            </w:pPr>
            <w:r w:rsidRPr="00131D18">
              <w:rPr>
                <w:rFonts w:asciiTheme="minorHAnsi" w:eastAsia="Times New Roman" w:hAnsiTheme="minorHAnsi" w:cs="Calibri"/>
                <w:bCs/>
                <w:iCs/>
                <w:color w:val="000000"/>
                <w:kern w:val="0"/>
                <w:sz w:val="20"/>
                <w:lang w:eastAsia="en-IE"/>
              </w:rPr>
              <w:t xml:space="preserve">This datapoint is only applicable for CI, CP, EMI, PI, CASP and O. </w:t>
            </w:r>
          </w:p>
          <w:p w14:paraId="7302B8D5" w14:textId="77777777" w:rsidR="004C59F2" w:rsidRPr="007B24C8" w:rsidRDefault="004C59F2" w:rsidP="006075C1">
            <w:pPr>
              <w:spacing w:before="0" w:after="0" w:line="240" w:lineRule="auto"/>
              <w:jc w:val="both"/>
              <w:rPr>
                <w:rFonts w:asciiTheme="minorHAnsi" w:eastAsia="Times New Roman" w:hAnsiTheme="minorHAnsi" w:cs="Calibri"/>
                <w:color w:val="000000"/>
                <w:kern w:val="0"/>
                <w:sz w:val="20"/>
                <w:lang w:val="en-GB" w:eastAsia="en-IE"/>
              </w:rPr>
            </w:pPr>
          </w:p>
          <w:p w14:paraId="033B4424" w14:textId="3B223BFC" w:rsidR="00491899" w:rsidRPr="007B24C8" w:rsidRDefault="004C59F2" w:rsidP="006075C1">
            <w:pPr>
              <w:spacing w:before="0" w:after="0" w:line="240" w:lineRule="auto"/>
              <w:jc w:val="both"/>
              <w:rPr>
                <w:rFonts w:asciiTheme="minorHAnsi" w:eastAsia="Times New Roman" w:hAnsiTheme="minorHAnsi" w:cs="Calibri"/>
                <w:color w:val="000000"/>
                <w:kern w:val="0"/>
                <w:sz w:val="20"/>
                <w:lang w:val="en-GB" w:eastAsia="en-IE"/>
              </w:rPr>
            </w:pPr>
            <w:r w:rsidRPr="007B24C8">
              <w:rPr>
                <w:rFonts w:asciiTheme="minorHAnsi" w:eastAsia="Times New Roman" w:hAnsiTheme="minorHAnsi" w:cs="Calibri"/>
                <w:color w:val="000000"/>
                <w:kern w:val="0"/>
                <w:sz w:val="20"/>
                <w:lang w:val="en-GB" w:eastAsia="en-IE"/>
              </w:rPr>
              <w:t xml:space="preserve">Indicate </w:t>
            </w:r>
            <w:r w:rsidR="00491899" w:rsidRPr="007B24C8">
              <w:rPr>
                <w:rFonts w:asciiTheme="minorHAnsi" w:eastAsia="Times New Roman" w:hAnsiTheme="minorHAnsi" w:cs="Calibri"/>
                <w:color w:val="000000"/>
                <w:kern w:val="0"/>
                <w:sz w:val="20"/>
                <w:lang w:val="en-GB" w:eastAsia="en-IE"/>
              </w:rPr>
              <w:t>only transfers that are rejected or returned by the counterparty in the transfer chain due to information that is missing, incomplete or provided using inadmissible characters</w:t>
            </w:r>
            <w:r w:rsidR="0C94F60C" w:rsidRPr="5DE121F1">
              <w:rPr>
                <w:rFonts w:asciiTheme="minorHAnsi" w:eastAsia="Times New Roman" w:hAnsiTheme="minorHAnsi" w:cs="Calibri"/>
                <w:color w:val="000000" w:themeColor="text1"/>
                <w:sz w:val="20"/>
                <w:lang w:val="en-GB" w:eastAsia="en-IE"/>
              </w:rPr>
              <w:t>, during the reference year</w:t>
            </w:r>
            <w:r w:rsidR="00491899" w:rsidRPr="003B7B66">
              <w:rPr>
                <w:rFonts w:asciiTheme="minorHAnsi" w:eastAsia="Times New Roman" w:hAnsiTheme="minorHAnsi" w:cs="Calibri"/>
                <w:color w:val="000000"/>
                <w:kern w:val="0"/>
                <w:sz w:val="20"/>
                <w:lang w:val="en-GB" w:eastAsia="en-IE"/>
              </w:rPr>
              <w:t>.</w:t>
            </w:r>
            <w:r w:rsidR="00491899" w:rsidRPr="007B24C8">
              <w:rPr>
                <w:rFonts w:asciiTheme="minorHAnsi" w:eastAsia="Times New Roman" w:hAnsiTheme="minorHAnsi" w:cs="Calibri"/>
                <w:color w:val="000000"/>
                <w:kern w:val="0"/>
                <w:sz w:val="20"/>
                <w:lang w:val="en-GB" w:eastAsia="en-IE"/>
              </w:rPr>
              <w:t xml:space="preserve"> </w:t>
            </w:r>
          </w:p>
          <w:p w14:paraId="4FDB94FA" w14:textId="77777777" w:rsidR="004C59F2" w:rsidRPr="007B24C8" w:rsidRDefault="004C59F2" w:rsidP="006075C1">
            <w:pPr>
              <w:spacing w:before="0" w:after="0" w:line="240" w:lineRule="auto"/>
              <w:jc w:val="both"/>
              <w:rPr>
                <w:rFonts w:asciiTheme="minorHAnsi" w:eastAsia="Times New Roman" w:hAnsiTheme="minorHAnsi" w:cs="Calibri"/>
                <w:color w:val="000000"/>
                <w:kern w:val="0"/>
                <w:sz w:val="20"/>
                <w:lang w:val="en-GB" w:eastAsia="en-IE"/>
              </w:rPr>
            </w:pPr>
          </w:p>
          <w:p w14:paraId="604826C4" w14:textId="1BDAAE32" w:rsidR="00491899" w:rsidRPr="007B24C8" w:rsidRDefault="00491899" w:rsidP="006075C1">
            <w:pPr>
              <w:spacing w:before="0" w:after="0" w:line="240" w:lineRule="auto"/>
              <w:jc w:val="both"/>
              <w:rPr>
                <w:rFonts w:asciiTheme="minorHAnsi" w:eastAsia="Times New Roman" w:hAnsiTheme="minorHAnsi" w:cs="Calibri"/>
                <w:color w:val="000000"/>
                <w:kern w:val="0"/>
                <w:sz w:val="20"/>
                <w:lang w:val="en-GB" w:eastAsia="en-IE"/>
              </w:rPr>
            </w:pPr>
            <w:r w:rsidRPr="007B24C8">
              <w:rPr>
                <w:rFonts w:asciiTheme="minorHAnsi" w:eastAsia="Times New Roman" w:hAnsiTheme="minorHAnsi" w:cs="Calibri"/>
                <w:color w:val="000000"/>
                <w:kern w:val="0"/>
                <w:sz w:val="20"/>
                <w:lang w:val="en-GB" w:eastAsia="en-IE"/>
              </w:rPr>
              <w:t>Counterparty: Any legal entity or individual that takes the opposite side of the financial transaction or contract.</w:t>
            </w:r>
          </w:p>
          <w:p w14:paraId="725478C9" w14:textId="2987F82A" w:rsidR="00DB791C" w:rsidRPr="00BF2698" w:rsidRDefault="00DB791C" w:rsidP="006075C1">
            <w:pPr>
              <w:spacing w:before="0" w:after="0" w:line="240" w:lineRule="auto"/>
              <w:jc w:val="both"/>
              <w:rPr>
                <w:rFonts w:asciiTheme="minorHAnsi" w:eastAsia="Times New Roman" w:hAnsiTheme="minorHAnsi" w:cs="Calibri"/>
                <w:color w:val="000000"/>
                <w:kern w:val="0"/>
                <w:lang w:val="en-IE" w:eastAsia="en-IE"/>
              </w:rPr>
            </w:pPr>
          </w:p>
        </w:tc>
      </w:tr>
    </w:tbl>
    <w:p w14:paraId="11E82713" w14:textId="6D8C5C7A" w:rsidR="00134869" w:rsidRPr="00BF2698" w:rsidRDefault="002E7AC1" w:rsidP="00134869">
      <w:pPr>
        <w:pStyle w:val="Heading2"/>
        <w:rPr>
          <w:rFonts w:asciiTheme="minorHAnsi" w:hAnsiTheme="minorHAnsi"/>
          <w:lang w:val="en-IE"/>
        </w:rPr>
      </w:pPr>
      <w:bookmarkStart w:id="317" w:name="_Toc223021740"/>
      <w:bookmarkStart w:id="318" w:name="_Toc223086606"/>
      <w:bookmarkStart w:id="319" w:name="_Toc223086700"/>
      <w:bookmarkStart w:id="320" w:name="_Toc223086794"/>
      <w:bookmarkStart w:id="321" w:name="_Toc223086888"/>
      <w:bookmarkStart w:id="322" w:name="_Toc221356006"/>
      <w:bookmarkStart w:id="323" w:name="_Toc223104872"/>
      <w:bookmarkEnd w:id="317"/>
      <w:bookmarkEnd w:id="318"/>
      <w:bookmarkEnd w:id="319"/>
      <w:bookmarkEnd w:id="320"/>
      <w:bookmarkEnd w:id="321"/>
      <w:r w:rsidRPr="00BF2698">
        <w:rPr>
          <w:rFonts w:asciiTheme="minorHAnsi" w:hAnsiTheme="minorHAnsi"/>
          <w:lang w:val="en-IE"/>
        </w:rPr>
        <w:t xml:space="preserve">AML.07.07 </w:t>
      </w:r>
      <w:r w:rsidR="00134869" w:rsidRPr="00BF2698">
        <w:rPr>
          <w:rFonts w:asciiTheme="minorHAnsi" w:hAnsiTheme="minorHAnsi"/>
          <w:lang w:val="en-IE"/>
        </w:rPr>
        <w:t>Group-wide AML/CFT Framework</w:t>
      </w:r>
      <w:bookmarkEnd w:id="322"/>
      <w:bookmarkEnd w:id="323"/>
    </w:p>
    <w:p w14:paraId="35916BE4" w14:textId="77777777" w:rsidR="008E1D72" w:rsidRPr="00A017EB" w:rsidRDefault="008E1D72" w:rsidP="008E1D72">
      <w:pPr>
        <w:rPr>
          <w:rFonts w:asciiTheme="minorHAnsi" w:hAnsiTheme="minorHAnsi"/>
          <w:b/>
          <w:bCs/>
          <w:iCs/>
        </w:rPr>
      </w:pPr>
      <w:r w:rsidRPr="00A017EB">
        <w:rPr>
          <w:rFonts w:asciiTheme="minorHAnsi" w:hAnsiTheme="minorHAnsi"/>
          <w:b/>
          <w:bCs/>
          <w:iCs/>
        </w:rPr>
        <w:t>Template Remarks</w:t>
      </w:r>
    </w:p>
    <w:p w14:paraId="26E4CA45" w14:textId="77777777" w:rsidR="008E1D72" w:rsidRPr="00135B9D" w:rsidRDefault="008E1D72" w:rsidP="00135B9D">
      <w:pPr>
        <w:rPr>
          <w:rFonts w:eastAsia="Times New Roman"/>
          <w:color w:val="000000"/>
          <w:kern w:val="0"/>
          <w:szCs w:val="22"/>
          <w:lang w:val="en-IE" w:eastAsia="en-IE"/>
        </w:rPr>
      </w:pPr>
      <w:r w:rsidRPr="00135B9D">
        <w:rPr>
          <w:rFonts w:asciiTheme="minorHAnsi" w:eastAsia="Times New Roman" w:hAnsiTheme="minorHAnsi"/>
          <w:color w:val="000000"/>
          <w:kern w:val="0"/>
          <w:szCs w:val="22"/>
          <w:lang w:val="en-IE" w:eastAsia="en-IE"/>
        </w:rPr>
        <w:t xml:space="preserve">This template (cluster of datapoints) is applicable for all sectors (unless it is mentioned in the datapoint otherwise). </w:t>
      </w:r>
    </w:p>
    <w:p w14:paraId="6D59F737" w14:textId="5E9078E1" w:rsidR="00C02A75" w:rsidRPr="000207F4" w:rsidRDefault="00C47EE4" w:rsidP="00D02145">
      <w:pPr>
        <w:spacing w:before="0" w:after="0" w:line="240" w:lineRule="auto"/>
        <w:jc w:val="both"/>
        <w:rPr>
          <w:rFonts w:asciiTheme="minorHAnsi" w:eastAsia="Times New Roman" w:hAnsiTheme="minorHAnsi"/>
          <w:color w:val="000000"/>
          <w:kern w:val="0"/>
          <w:szCs w:val="22"/>
          <w:lang w:val="en-IE" w:eastAsia="en-IE"/>
        </w:rPr>
      </w:pPr>
      <w:r w:rsidRPr="000207F4">
        <w:rPr>
          <w:rFonts w:asciiTheme="minorHAnsi" w:eastAsia="Times New Roman" w:hAnsiTheme="minorHAnsi"/>
          <w:color w:val="000000"/>
          <w:kern w:val="0"/>
          <w:szCs w:val="22"/>
          <w:lang w:val="en-IE" w:eastAsia="en-IE"/>
        </w:rPr>
        <w:t xml:space="preserve">In the context of this template, </w:t>
      </w:r>
      <w:r w:rsidR="00247EBB" w:rsidRPr="000207F4">
        <w:rPr>
          <w:rFonts w:asciiTheme="minorHAnsi" w:eastAsia="Times New Roman" w:hAnsiTheme="minorHAnsi"/>
          <w:color w:val="000000"/>
          <w:kern w:val="0"/>
          <w:szCs w:val="22"/>
          <w:lang w:val="en-IE" w:eastAsia="en-IE"/>
        </w:rPr>
        <w:t>g</w:t>
      </w:r>
      <w:r w:rsidR="00C02A75" w:rsidRPr="000207F4">
        <w:rPr>
          <w:rFonts w:asciiTheme="minorHAnsi" w:eastAsia="Times New Roman" w:hAnsiTheme="minorHAnsi"/>
          <w:color w:val="000000"/>
          <w:kern w:val="0"/>
          <w:szCs w:val="22"/>
          <w:lang w:val="en-IE" w:eastAsia="en-IE"/>
        </w:rPr>
        <w:t>roup</w:t>
      </w:r>
      <w:r w:rsidR="00247EBB" w:rsidRPr="000207F4">
        <w:rPr>
          <w:rFonts w:asciiTheme="minorHAnsi" w:eastAsia="Times New Roman" w:hAnsiTheme="minorHAnsi"/>
          <w:color w:val="000000"/>
          <w:kern w:val="0"/>
          <w:szCs w:val="22"/>
          <w:lang w:val="en-IE" w:eastAsia="en-IE"/>
        </w:rPr>
        <w:t xml:space="preserve"> e</w:t>
      </w:r>
      <w:r w:rsidR="00C02A75" w:rsidRPr="000207F4">
        <w:rPr>
          <w:rFonts w:asciiTheme="minorHAnsi" w:eastAsia="Times New Roman" w:hAnsiTheme="minorHAnsi"/>
          <w:color w:val="000000"/>
          <w:kern w:val="0"/>
          <w:szCs w:val="22"/>
          <w:lang w:val="en-IE" w:eastAsia="en-IE"/>
        </w:rPr>
        <w:t>ntities</w:t>
      </w:r>
      <w:r w:rsidRPr="000207F4">
        <w:rPr>
          <w:rFonts w:asciiTheme="minorHAnsi" w:eastAsia="Times New Roman" w:hAnsiTheme="minorHAnsi"/>
          <w:color w:val="000000"/>
          <w:kern w:val="0"/>
          <w:szCs w:val="22"/>
          <w:lang w:val="en-IE" w:eastAsia="en-IE"/>
        </w:rPr>
        <w:t xml:space="preserve"> are the</w:t>
      </w:r>
      <w:r w:rsidR="00C02A75" w:rsidRPr="000207F4">
        <w:rPr>
          <w:rFonts w:asciiTheme="minorHAnsi" w:eastAsia="Times New Roman" w:hAnsiTheme="minorHAnsi"/>
          <w:color w:val="000000"/>
          <w:kern w:val="0"/>
          <w:szCs w:val="22"/>
          <w:lang w:val="en-IE" w:eastAsia="en-IE"/>
        </w:rPr>
        <w:t xml:space="preserve"> </w:t>
      </w:r>
      <w:r w:rsidRPr="000207F4">
        <w:rPr>
          <w:rFonts w:asciiTheme="minorHAnsi" w:eastAsia="Times New Roman" w:hAnsiTheme="minorHAnsi"/>
          <w:color w:val="000000"/>
          <w:kern w:val="0"/>
          <w:szCs w:val="22"/>
          <w:lang w:val="en-IE" w:eastAsia="en-IE"/>
        </w:rPr>
        <w:t>e</w:t>
      </w:r>
      <w:r w:rsidR="00C02A75" w:rsidRPr="000207F4">
        <w:rPr>
          <w:rFonts w:asciiTheme="minorHAnsi" w:eastAsia="Times New Roman" w:hAnsiTheme="minorHAnsi"/>
          <w:color w:val="000000"/>
          <w:kern w:val="0"/>
          <w:szCs w:val="22"/>
          <w:lang w:val="en-IE" w:eastAsia="en-IE"/>
        </w:rPr>
        <w:t>ntities that are part of the group as defined in Article 2(</w:t>
      </w:r>
      <w:r w:rsidR="00B85934">
        <w:rPr>
          <w:rFonts w:asciiTheme="minorHAnsi" w:eastAsia="Times New Roman" w:hAnsiTheme="minorHAnsi"/>
          <w:color w:val="000000"/>
          <w:kern w:val="0"/>
          <w:szCs w:val="22"/>
          <w:lang w:val="en-IE" w:eastAsia="en-IE"/>
        </w:rPr>
        <w:t>1)</w:t>
      </w:r>
      <w:r w:rsidR="00C02A75" w:rsidRPr="000207F4">
        <w:rPr>
          <w:rFonts w:asciiTheme="minorHAnsi" w:eastAsia="Times New Roman" w:hAnsiTheme="minorHAnsi"/>
          <w:color w:val="000000"/>
          <w:kern w:val="0"/>
          <w:szCs w:val="22"/>
          <w:lang w:val="en-IE" w:eastAsia="en-IE"/>
        </w:rPr>
        <w:t xml:space="preserve">(41) and (42) </w:t>
      </w:r>
      <w:r w:rsidR="00632313">
        <w:rPr>
          <w:rFonts w:asciiTheme="minorHAnsi" w:eastAsia="Times New Roman" w:hAnsiTheme="minorHAnsi"/>
          <w:color w:val="000000"/>
          <w:kern w:val="0"/>
          <w:szCs w:val="22"/>
          <w:lang w:val="en-IE" w:eastAsia="en-IE"/>
        </w:rPr>
        <w:t>AMLR</w:t>
      </w:r>
      <w:r w:rsidR="00C02A75" w:rsidRPr="000207F4">
        <w:rPr>
          <w:rFonts w:asciiTheme="minorHAnsi" w:eastAsia="Times New Roman" w:hAnsiTheme="minorHAnsi"/>
          <w:color w:val="000000"/>
          <w:kern w:val="0"/>
          <w:szCs w:val="22"/>
          <w:lang w:val="en-IE" w:eastAsia="en-IE"/>
        </w:rPr>
        <w:t xml:space="preserve">, including non-EU obliged entities. Entities of the group that are not obliged entities </w:t>
      </w:r>
      <w:r w:rsidR="00276A90">
        <w:rPr>
          <w:rFonts w:asciiTheme="minorHAnsi" w:eastAsia="Times New Roman" w:hAnsiTheme="minorHAnsi"/>
          <w:color w:val="000000"/>
          <w:kern w:val="0"/>
          <w:szCs w:val="22"/>
          <w:lang w:val="en-IE" w:eastAsia="en-IE"/>
        </w:rPr>
        <w:t>under</w:t>
      </w:r>
      <w:r w:rsidR="00C02A75" w:rsidRPr="000207F4">
        <w:rPr>
          <w:rFonts w:asciiTheme="minorHAnsi" w:eastAsia="Times New Roman" w:hAnsiTheme="minorHAnsi"/>
          <w:color w:val="000000"/>
          <w:kern w:val="0"/>
          <w:szCs w:val="22"/>
          <w:lang w:val="en-IE" w:eastAsia="en-IE"/>
        </w:rPr>
        <w:t xml:space="preserve"> </w:t>
      </w:r>
      <w:r w:rsidR="00632313">
        <w:rPr>
          <w:rFonts w:asciiTheme="minorHAnsi" w:eastAsia="Times New Roman" w:hAnsiTheme="minorHAnsi"/>
          <w:color w:val="000000"/>
          <w:kern w:val="0"/>
          <w:szCs w:val="22"/>
          <w:lang w:val="en-IE" w:eastAsia="en-IE"/>
        </w:rPr>
        <w:t>AMLR</w:t>
      </w:r>
      <w:r w:rsidR="00C02A75" w:rsidRPr="000207F4">
        <w:rPr>
          <w:rFonts w:asciiTheme="minorHAnsi" w:eastAsia="Times New Roman" w:hAnsiTheme="minorHAnsi"/>
          <w:color w:val="000000"/>
          <w:kern w:val="0"/>
          <w:szCs w:val="22"/>
          <w:lang w:val="en-IE" w:eastAsia="en-IE"/>
        </w:rPr>
        <w:t xml:space="preserve"> should be excluded from the scope.</w:t>
      </w:r>
    </w:p>
    <w:p w14:paraId="2A89EF60" w14:textId="77777777" w:rsidR="008C383E" w:rsidRDefault="008C383E" w:rsidP="00D02145">
      <w:pPr>
        <w:spacing w:before="0" w:after="0" w:line="240" w:lineRule="auto"/>
        <w:jc w:val="both"/>
        <w:rPr>
          <w:rFonts w:asciiTheme="minorHAnsi" w:eastAsia="Times New Roman" w:hAnsiTheme="minorHAnsi"/>
          <w:color w:val="000000"/>
          <w:kern w:val="0"/>
          <w:szCs w:val="22"/>
          <w:lang w:val="en-IE" w:eastAsia="en-IE"/>
        </w:rPr>
      </w:pPr>
    </w:p>
    <w:p w14:paraId="2880344F" w14:textId="677A2EF8" w:rsidR="00B04B13" w:rsidRDefault="008C383E" w:rsidP="00135B9D">
      <w:pPr>
        <w:spacing w:before="0" w:after="0" w:line="240" w:lineRule="auto"/>
        <w:jc w:val="both"/>
        <w:rPr>
          <w:rFonts w:asciiTheme="minorHAnsi" w:eastAsia="Times New Roman" w:hAnsiTheme="minorHAnsi"/>
          <w:color w:val="000000"/>
          <w:kern w:val="0"/>
          <w:szCs w:val="22"/>
          <w:lang w:eastAsia="en-IE"/>
        </w:rPr>
      </w:pPr>
      <w:r w:rsidRPr="000207F4">
        <w:rPr>
          <w:rFonts w:asciiTheme="minorHAnsi" w:eastAsia="Times New Roman" w:hAnsiTheme="minorHAnsi"/>
          <w:color w:val="000000"/>
          <w:kern w:val="0"/>
          <w:szCs w:val="22"/>
          <w:lang w:val="en-IE" w:eastAsia="en-IE"/>
        </w:rPr>
        <w:t xml:space="preserve">The questions below should only be answered </w:t>
      </w:r>
      <w:r w:rsidR="00E60854">
        <w:rPr>
          <w:rFonts w:asciiTheme="minorHAnsi" w:eastAsia="Times New Roman" w:hAnsiTheme="minorHAnsi"/>
          <w:color w:val="000000"/>
          <w:kern w:val="0"/>
          <w:szCs w:val="22"/>
          <w:lang w:val="en-IE" w:eastAsia="en-IE"/>
        </w:rPr>
        <w:t>by</w:t>
      </w:r>
      <w:r w:rsidRPr="000207F4">
        <w:rPr>
          <w:rFonts w:asciiTheme="minorHAnsi" w:eastAsia="Times New Roman" w:hAnsiTheme="minorHAnsi"/>
          <w:color w:val="000000"/>
          <w:kern w:val="0"/>
          <w:szCs w:val="22"/>
          <w:lang w:val="en-IE" w:eastAsia="en-IE"/>
        </w:rPr>
        <w:t xml:space="preserve"> </w:t>
      </w:r>
      <w:r>
        <w:rPr>
          <w:rFonts w:asciiTheme="minorHAnsi" w:eastAsia="Times New Roman" w:hAnsiTheme="minorHAnsi"/>
          <w:color w:val="000000"/>
          <w:kern w:val="0"/>
          <w:szCs w:val="22"/>
          <w:lang w:val="en-IE" w:eastAsia="en-IE"/>
        </w:rPr>
        <w:t>parent undertaking</w:t>
      </w:r>
      <w:r w:rsidR="00AB0437">
        <w:rPr>
          <w:rFonts w:asciiTheme="minorHAnsi" w:eastAsia="Times New Roman" w:hAnsiTheme="minorHAnsi"/>
          <w:color w:val="000000"/>
          <w:kern w:val="0"/>
          <w:szCs w:val="22"/>
          <w:lang w:val="en-IE" w:eastAsia="en-IE"/>
        </w:rPr>
        <w:t>s</w:t>
      </w:r>
      <w:r>
        <w:rPr>
          <w:rFonts w:asciiTheme="minorHAnsi" w:eastAsia="Times New Roman" w:hAnsiTheme="minorHAnsi"/>
          <w:color w:val="000000"/>
          <w:kern w:val="0"/>
          <w:szCs w:val="22"/>
          <w:lang w:val="en-IE" w:eastAsia="en-IE"/>
        </w:rPr>
        <w:t xml:space="preserve"> within the meaning of Article 2(1)(42) </w:t>
      </w:r>
      <w:r w:rsidR="00632313">
        <w:rPr>
          <w:rFonts w:asciiTheme="minorHAnsi" w:eastAsia="Times New Roman" w:hAnsiTheme="minorHAnsi"/>
          <w:color w:val="000000"/>
          <w:kern w:val="0"/>
          <w:szCs w:val="22"/>
          <w:lang w:val="en-IE" w:eastAsia="en-IE"/>
        </w:rPr>
        <w:t>AMLR</w:t>
      </w:r>
      <w:r w:rsidRPr="000207F4">
        <w:rPr>
          <w:rFonts w:asciiTheme="minorHAnsi" w:eastAsia="Times New Roman" w:hAnsiTheme="minorHAnsi"/>
          <w:color w:val="000000"/>
          <w:kern w:val="0"/>
          <w:szCs w:val="22"/>
          <w:lang w:val="en-IE" w:eastAsia="en-IE"/>
        </w:rPr>
        <w:t>.</w:t>
      </w:r>
      <w:r w:rsidR="00D6686D">
        <w:rPr>
          <w:rFonts w:asciiTheme="minorHAnsi" w:eastAsia="Times New Roman" w:hAnsiTheme="minorHAnsi"/>
          <w:color w:val="000000"/>
          <w:kern w:val="0"/>
          <w:szCs w:val="22"/>
          <w:lang w:val="en-IE" w:eastAsia="en-IE"/>
        </w:rPr>
        <w:t xml:space="preserve"> See Annex II of this guidance for full definitions.</w:t>
      </w:r>
    </w:p>
    <w:p w14:paraId="3265131D" w14:textId="77777777" w:rsidR="001E392B" w:rsidRDefault="001E392B" w:rsidP="00F94744">
      <w:pPr>
        <w:spacing w:before="0" w:after="0" w:line="240" w:lineRule="auto"/>
        <w:jc w:val="both"/>
        <w:rPr>
          <w:rFonts w:asciiTheme="minorHAnsi" w:eastAsia="Times New Roman" w:hAnsiTheme="minorHAnsi"/>
          <w:b/>
          <w:bCs/>
          <w:color w:val="000000"/>
          <w:kern w:val="0"/>
          <w:szCs w:val="22"/>
          <w:lang w:eastAsia="en-IE"/>
        </w:rPr>
      </w:pPr>
    </w:p>
    <w:p w14:paraId="236598AD" w14:textId="40948020" w:rsidR="00B04B13" w:rsidRDefault="00B04B13" w:rsidP="00F94744">
      <w:pPr>
        <w:spacing w:before="0" w:after="0" w:line="240" w:lineRule="auto"/>
        <w:jc w:val="both"/>
        <w:rPr>
          <w:rFonts w:asciiTheme="minorHAnsi" w:eastAsia="Times New Roman" w:hAnsiTheme="minorHAnsi"/>
          <w:b/>
          <w:color w:val="000000"/>
          <w:kern w:val="0"/>
          <w:szCs w:val="22"/>
          <w:lang w:eastAsia="en-IE"/>
        </w:rPr>
      </w:pPr>
      <w:r w:rsidRPr="00135B9D">
        <w:rPr>
          <w:rFonts w:asciiTheme="minorHAnsi" w:eastAsia="Times New Roman" w:hAnsiTheme="minorHAnsi"/>
          <w:b/>
          <w:bCs/>
          <w:color w:val="000000"/>
          <w:kern w:val="0"/>
          <w:szCs w:val="22"/>
          <w:lang w:eastAsia="en-IE"/>
        </w:rPr>
        <w:t>Special remarks:</w:t>
      </w:r>
      <w:r w:rsidR="00264F9A">
        <w:rPr>
          <w:rFonts w:asciiTheme="minorHAnsi" w:eastAsia="Times New Roman" w:hAnsiTheme="minorHAnsi"/>
          <w:b/>
          <w:bCs/>
          <w:color w:val="000000"/>
          <w:kern w:val="0"/>
          <w:szCs w:val="22"/>
          <w:lang w:eastAsia="en-IE"/>
        </w:rPr>
        <w:t xml:space="preserve"> </w:t>
      </w:r>
    </w:p>
    <w:p w14:paraId="7694684C" w14:textId="77777777" w:rsidR="00264F9A" w:rsidRDefault="00264F9A" w:rsidP="00F94744">
      <w:pPr>
        <w:spacing w:before="0" w:after="0" w:line="240" w:lineRule="auto"/>
        <w:jc w:val="both"/>
        <w:rPr>
          <w:rFonts w:asciiTheme="minorHAnsi" w:eastAsia="Times New Roman" w:hAnsiTheme="minorHAnsi"/>
          <w:b/>
          <w:bCs/>
          <w:color w:val="000000"/>
          <w:kern w:val="0"/>
          <w:szCs w:val="22"/>
          <w:lang w:eastAsia="en-IE"/>
        </w:rPr>
      </w:pPr>
    </w:p>
    <w:p w14:paraId="34E0849F" w14:textId="5568DB20" w:rsidR="00FD1E7F" w:rsidRPr="00135B9D" w:rsidRDefault="00751C09" w:rsidP="00F94744">
      <w:pPr>
        <w:spacing w:before="0" w:after="0" w:line="240" w:lineRule="auto"/>
        <w:jc w:val="both"/>
        <w:rPr>
          <w:rFonts w:asciiTheme="minorHAnsi" w:eastAsia="Times New Roman" w:hAnsiTheme="minorHAnsi"/>
          <w:color w:val="000000"/>
          <w:kern w:val="0"/>
          <w:szCs w:val="22"/>
          <w:lang w:eastAsia="en-IE"/>
        </w:rPr>
      </w:pPr>
      <w:r>
        <w:rPr>
          <w:rFonts w:asciiTheme="minorHAnsi" w:eastAsia="Times New Roman" w:hAnsiTheme="minorHAnsi"/>
          <w:color w:val="000000"/>
          <w:kern w:val="0"/>
          <w:szCs w:val="22"/>
          <w:lang w:eastAsia="en-IE"/>
        </w:rPr>
        <w:t xml:space="preserve">All </w:t>
      </w:r>
      <w:r w:rsidR="00264F9A">
        <w:rPr>
          <w:rFonts w:asciiTheme="minorHAnsi" w:eastAsia="Times New Roman" w:hAnsiTheme="minorHAnsi"/>
          <w:color w:val="000000"/>
          <w:kern w:val="0"/>
          <w:szCs w:val="22"/>
          <w:lang w:eastAsia="en-IE"/>
        </w:rPr>
        <w:t>“</w:t>
      </w:r>
      <w:r w:rsidR="004A243F">
        <w:rPr>
          <w:rFonts w:asciiTheme="minorHAnsi" w:eastAsia="Times New Roman" w:hAnsiTheme="minorHAnsi"/>
          <w:color w:val="000000"/>
          <w:kern w:val="0"/>
          <w:szCs w:val="22"/>
          <w:lang w:eastAsia="en-IE"/>
        </w:rPr>
        <w:t>G</w:t>
      </w:r>
      <w:r w:rsidR="00264F9A">
        <w:rPr>
          <w:rFonts w:asciiTheme="minorHAnsi" w:eastAsia="Times New Roman" w:hAnsiTheme="minorHAnsi"/>
          <w:color w:val="000000"/>
          <w:kern w:val="0"/>
          <w:szCs w:val="22"/>
          <w:lang w:eastAsia="en-IE"/>
        </w:rPr>
        <w:t xml:space="preserve">roup </w:t>
      </w:r>
      <w:r w:rsidR="004A243F">
        <w:rPr>
          <w:rFonts w:asciiTheme="minorHAnsi" w:eastAsia="Times New Roman" w:hAnsiTheme="minorHAnsi"/>
          <w:color w:val="000000"/>
          <w:kern w:val="0"/>
          <w:szCs w:val="22"/>
          <w:lang w:eastAsia="en-IE"/>
        </w:rPr>
        <w:t>R</w:t>
      </w:r>
      <w:r w:rsidR="00264F9A">
        <w:rPr>
          <w:rFonts w:asciiTheme="minorHAnsi" w:eastAsia="Times New Roman" w:hAnsiTheme="minorHAnsi"/>
          <w:color w:val="000000"/>
          <w:kern w:val="0"/>
          <w:szCs w:val="22"/>
          <w:lang w:eastAsia="en-IE"/>
        </w:rPr>
        <w:t>eporting” datapoints</w:t>
      </w:r>
      <w:r>
        <w:rPr>
          <w:rFonts w:asciiTheme="minorHAnsi" w:eastAsia="Times New Roman" w:hAnsiTheme="minorHAnsi"/>
          <w:color w:val="000000"/>
          <w:kern w:val="0"/>
          <w:szCs w:val="22"/>
          <w:lang w:eastAsia="en-IE"/>
        </w:rPr>
        <w:t xml:space="preserve"> below</w:t>
      </w:r>
      <w:r w:rsidR="00264F9A">
        <w:rPr>
          <w:rFonts w:asciiTheme="minorHAnsi" w:eastAsia="Times New Roman" w:hAnsiTheme="minorHAnsi"/>
          <w:color w:val="000000"/>
          <w:kern w:val="0"/>
          <w:szCs w:val="22"/>
          <w:lang w:eastAsia="en-IE"/>
        </w:rPr>
        <w:t xml:space="preserve"> cover the </w:t>
      </w:r>
      <w:r w:rsidR="00374430">
        <w:rPr>
          <w:rFonts w:asciiTheme="minorHAnsi" w:eastAsia="Times New Roman" w:hAnsiTheme="minorHAnsi"/>
          <w:color w:val="000000"/>
          <w:kern w:val="0"/>
          <w:szCs w:val="22"/>
          <w:lang w:eastAsia="en-IE"/>
        </w:rPr>
        <w:t>provision</w:t>
      </w:r>
      <w:r w:rsidR="00C25FF5">
        <w:rPr>
          <w:rFonts w:asciiTheme="minorHAnsi" w:eastAsia="Times New Roman" w:hAnsiTheme="minorHAnsi"/>
          <w:color w:val="000000"/>
          <w:kern w:val="0"/>
          <w:szCs w:val="22"/>
          <w:lang w:eastAsia="en-IE"/>
        </w:rPr>
        <w:t xml:space="preserve"> by group entities or local AML functions </w:t>
      </w:r>
      <w:r w:rsidR="004B4284">
        <w:rPr>
          <w:rFonts w:asciiTheme="minorHAnsi" w:eastAsia="Times New Roman" w:hAnsiTheme="minorHAnsi"/>
          <w:color w:val="000000"/>
          <w:kern w:val="0"/>
          <w:szCs w:val="22"/>
          <w:lang w:eastAsia="en-IE"/>
        </w:rPr>
        <w:t>of</w:t>
      </w:r>
      <w:r w:rsidR="00AD0DBD">
        <w:rPr>
          <w:rFonts w:asciiTheme="minorHAnsi" w:eastAsia="Times New Roman" w:hAnsiTheme="minorHAnsi"/>
          <w:color w:val="000000"/>
          <w:kern w:val="0"/>
          <w:szCs w:val="22"/>
          <w:lang w:eastAsia="en-IE"/>
        </w:rPr>
        <w:t xml:space="preserve"> </w:t>
      </w:r>
      <w:r w:rsidR="004234D2">
        <w:rPr>
          <w:rFonts w:asciiTheme="minorHAnsi" w:eastAsia="Times New Roman" w:hAnsiTheme="minorHAnsi"/>
          <w:color w:val="000000"/>
          <w:kern w:val="0"/>
          <w:szCs w:val="22"/>
          <w:lang w:eastAsia="en-IE"/>
        </w:rPr>
        <w:t>aggregated</w:t>
      </w:r>
      <w:r w:rsidR="00487056">
        <w:rPr>
          <w:rFonts w:asciiTheme="minorHAnsi" w:eastAsia="Times New Roman" w:hAnsiTheme="minorHAnsi"/>
          <w:color w:val="000000"/>
          <w:kern w:val="0"/>
          <w:szCs w:val="22"/>
          <w:lang w:eastAsia="en-IE"/>
        </w:rPr>
        <w:t xml:space="preserve"> information</w:t>
      </w:r>
      <w:r w:rsidR="004234D2">
        <w:rPr>
          <w:rFonts w:asciiTheme="minorHAnsi" w:eastAsia="Times New Roman" w:hAnsiTheme="minorHAnsi"/>
          <w:color w:val="000000"/>
          <w:kern w:val="0"/>
          <w:szCs w:val="22"/>
          <w:lang w:eastAsia="en-IE"/>
        </w:rPr>
        <w:t xml:space="preserve"> (e.g. KPIs) </w:t>
      </w:r>
      <w:r w:rsidR="00225566">
        <w:rPr>
          <w:rFonts w:asciiTheme="minorHAnsi" w:eastAsia="Times New Roman" w:hAnsiTheme="minorHAnsi"/>
          <w:color w:val="000000"/>
          <w:kern w:val="0"/>
          <w:szCs w:val="22"/>
          <w:lang w:eastAsia="en-IE"/>
        </w:rPr>
        <w:t xml:space="preserve">or identity/transaction-level information </w:t>
      </w:r>
      <w:r w:rsidR="00C0098A">
        <w:rPr>
          <w:rFonts w:asciiTheme="minorHAnsi" w:eastAsia="Times New Roman" w:hAnsiTheme="minorHAnsi"/>
          <w:color w:val="000000"/>
          <w:kern w:val="0"/>
          <w:szCs w:val="22"/>
          <w:lang w:eastAsia="en-IE"/>
        </w:rPr>
        <w:t xml:space="preserve">to the group </w:t>
      </w:r>
      <w:r w:rsidR="00327425">
        <w:rPr>
          <w:rFonts w:asciiTheme="minorHAnsi" w:eastAsia="Times New Roman" w:hAnsiTheme="minorHAnsi"/>
          <w:color w:val="000000"/>
          <w:kern w:val="0"/>
          <w:szCs w:val="22"/>
          <w:lang w:eastAsia="en-IE"/>
        </w:rPr>
        <w:t>compliance</w:t>
      </w:r>
      <w:r w:rsidR="00C0098A">
        <w:rPr>
          <w:rFonts w:asciiTheme="minorHAnsi" w:eastAsia="Times New Roman" w:hAnsiTheme="minorHAnsi"/>
          <w:color w:val="000000"/>
          <w:kern w:val="0"/>
          <w:szCs w:val="22"/>
          <w:lang w:eastAsia="en-IE"/>
        </w:rPr>
        <w:t xml:space="preserve"> function</w:t>
      </w:r>
      <w:r w:rsidR="00327425">
        <w:rPr>
          <w:rFonts w:asciiTheme="minorHAnsi" w:eastAsia="Times New Roman" w:hAnsiTheme="minorHAnsi"/>
          <w:color w:val="000000"/>
          <w:kern w:val="0"/>
          <w:szCs w:val="22"/>
          <w:lang w:eastAsia="en-IE"/>
        </w:rPr>
        <w:t xml:space="preserve"> </w:t>
      </w:r>
      <w:r w:rsidR="007854BD">
        <w:rPr>
          <w:rFonts w:asciiTheme="minorHAnsi" w:eastAsia="Times New Roman" w:hAnsiTheme="minorHAnsi"/>
          <w:color w:val="000000"/>
          <w:kern w:val="0"/>
          <w:szCs w:val="22"/>
          <w:lang w:eastAsia="en-IE"/>
        </w:rPr>
        <w:t xml:space="preserve">for the purposes </w:t>
      </w:r>
      <w:r w:rsidR="00F5056A">
        <w:rPr>
          <w:rFonts w:asciiTheme="minorHAnsi" w:eastAsia="Times New Roman" w:hAnsiTheme="minorHAnsi"/>
          <w:color w:val="000000"/>
          <w:kern w:val="0"/>
          <w:szCs w:val="22"/>
          <w:lang w:eastAsia="en-IE"/>
        </w:rPr>
        <w:t xml:space="preserve">of </w:t>
      </w:r>
      <w:r w:rsidR="00DF57BB">
        <w:rPr>
          <w:rFonts w:asciiTheme="minorHAnsi" w:eastAsia="Times New Roman" w:hAnsiTheme="minorHAnsi"/>
          <w:color w:val="000000"/>
          <w:kern w:val="0"/>
          <w:szCs w:val="22"/>
          <w:lang w:eastAsia="en-IE"/>
        </w:rPr>
        <w:t xml:space="preserve">allowing the parent undertaking to fulfil its obligation under </w:t>
      </w:r>
      <w:r w:rsidR="003D344D">
        <w:rPr>
          <w:rFonts w:asciiTheme="minorHAnsi" w:eastAsia="Times New Roman" w:hAnsiTheme="minorHAnsi" w:cs="Calibri"/>
          <w:color w:val="000000"/>
          <w:kern w:val="0"/>
          <w:sz w:val="20"/>
          <w:lang w:val="en-IE" w:eastAsia="en-IE"/>
        </w:rPr>
        <w:t>Article</w:t>
      </w:r>
      <w:r w:rsidR="00DF57BB">
        <w:rPr>
          <w:rFonts w:asciiTheme="minorHAnsi" w:eastAsia="Times New Roman" w:hAnsiTheme="minorHAnsi"/>
          <w:color w:val="000000"/>
          <w:kern w:val="0"/>
          <w:szCs w:val="22"/>
          <w:lang w:eastAsia="en-IE"/>
        </w:rPr>
        <w:t xml:space="preserve"> 16 </w:t>
      </w:r>
      <w:r w:rsidR="00632313">
        <w:rPr>
          <w:rFonts w:asciiTheme="minorHAnsi" w:eastAsia="Times New Roman" w:hAnsiTheme="minorHAnsi"/>
          <w:color w:val="000000"/>
          <w:kern w:val="0"/>
          <w:szCs w:val="22"/>
          <w:lang w:eastAsia="en-IE"/>
        </w:rPr>
        <w:t>AMLR</w:t>
      </w:r>
      <w:r w:rsidR="004801DC">
        <w:rPr>
          <w:rFonts w:asciiTheme="minorHAnsi" w:eastAsia="Times New Roman" w:hAnsiTheme="minorHAnsi"/>
          <w:color w:val="000000"/>
          <w:kern w:val="0"/>
          <w:szCs w:val="22"/>
          <w:lang w:eastAsia="en-IE"/>
        </w:rPr>
        <w:t xml:space="preserve"> to </w:t>
      </w:r>
      <w:r w:rsidR="00C26965">
        <w:rPr>
          <w:rFonts w:asciiTheme="minorHAnsi" w:eastAsia="Times New Roman" w:hAnsiTheme="minorHAnsi"/>
          <w:color w:val="000000"/>
          <w:kern w:val="0"/>
          <w:szCs w:val="22"/>
          <w:lang w:eastAsia="en-IE"/>
        </w:rPr>
        <w:t>“</w:t>
      </w:r>
      <w:r w:rsidR="00C26965" w:rsidRPr="00C26965">
        <w:rPr>
          <w:rFonts w:asciiTheme="minorHAnsi" w:eastAsia="Times New Roman" w:hAnsiTheme="minorHAnsi"/>
          <w:color w:val="000000"/>
          <w:kern w:val="0"/>
          <w:szCs w:val="22"/>
          <w:lang w:eastAsia="en-IE"/>
        </w:rPr>
        <w:t xml:space="preserve">ensure that the requirements on internal procedures, risk assessment and staff referred to in </w:t>
      </w:r>
      <w:r w:rsidR="00754D6F">
        <w:rPr>
          <w:rFonts w:asciiTheme="minorHAnsi" w:eastAsia="Times New Roman" w:hAnsiTheme="minorHAnsi"/>
          <w:color w:val="000000"/>
          <w:kern w:val="0"/>
          <w:szCs w:val="22"/>
          <w:lang w:eastAsia="en-IE"/>
        </w:rPr>
        <w:t xml:space="preserve">[Chapter 1, </w:t>
      </w:r>
      <w:r w:rsidR="00C26965" w:rsidRPr="00C26965">
        <w:rPr>
          <w:rFonts w:asciiTheme="minorHAnsi" w:eastAsia="Times New Roman" w:hAnsiTheme="minorHAnsi"/>
          <w:color w:val="000000"/>
          <w:kern w:val="0"/>
          <w:szCs w:val="22"/>
          <w:lang w:eastAsia="en-IE"/>
        </w:rPr>
        <w:t>Section 1</w:t>
      </w:r>
      <w:r w:rsidR="00754D6F">
        <w:rPr>
          <w:rFonts w:asciiTheme="minorHAnsi" w:eastAsia="Times New Roman" w:hAnsiTheme="minorHAnsi"/>
          <w:color w:val="000000"/>
          <w:kern w:val="0"/>
          <w:szCs w:val="22"/>
          <w:lang w:eastAsia="en-IE"/>
        </w:rPr>
        <w:t xml:space="preserve"> AMLR]</w:t>
      </w:r>
      <w:r w:rsidR="00C26965" w:rsidRPr="00C26965">
        <w:rPr>
          <w:rFonts w:asciiTheme="minorHAnsi" w:eastAsia="Times New Roman" w:hAnsiTheme="minorHAnsi"/>
          <w:color w:val="000000"/>
          <w:kern w:val="0"/>
          <w:szCs w:val="22"/>
          <w:lang w:eastAsia="en-IE"/>
        </w:rPr>
        <w:t xml:space="preserve"> apply in all branches and subsidiaries of the group in the Member States and, for groups whose head office is located in the Union, in third countries</w:t>
      </w:r>
      <w:r w:rsidR="00C26965">
        <w:rPr>
          <w:rFonts w:asciiTheme="minorHAnsi" w:eastAsia="Times New Roman" w:hAnsiTheme="minorHAnsi"/>
          <w:color w:val="000000"/>
          <w:kern w:val="0"/>
          <w:szCs w:val="22"/>
          <w:lang w:eastAsia="en-IE"/>
        </w:rPr>
        <w:t>”.</w:t>
      </w:r>
    </w:p>
    <w:p w14:paraId="6DA3E750" w14:textId="6D34132D" w:rsidR="00C02A75" w:rsidRPr="00BF2698" w:rsidRDefault="00C02A75" w:rsidP="00135B9D">
      <w:pPr>
        <w:spacing w:before="0" w:after="0" w:line="240" w:lineRule="auto"/>
        <w:jc w:val="both"/>
        <w:rPr>
          <w:rFonts w:asciiTheme="minorHAnsi" w:hAnsiTheme="minorHAnsi"/>
          <w:lang w:val="en-IE"/>
        </w:rPr>
      </w:pPr>
    </w:p>
    <w:tbl>
      <w:tblPr>
        <w:tblW w:w="92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3"/>
        <w:gridCol w:w="7616"/>
      </w:tblGrid>
      <w:tr w:rsidR="005E211E" w:rsidRPr="009B282E" w14:paraId="4C409C03" w14:textId="77777777" w:rsidTr="4EE85BFC">
        <w:tc>
          <w:tcPr>
            <w:tcW w:w="16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F88B84" w14:textId="77777777" w:rsidR="00F17C1D" w:rsidRPr="009275BC" w:rsidRDefault="00F17C1D" w:rsidP="00F32516">
            <w:pPr>
              <w:pStyle w:val="InstructionsText"/>
              <w:rPr>
                <w:rStyle w:val="InstructionsTabelleText"/>
                <w:rFonts w:asciiTheme="minorHAnsi" w:hAnsiTheme="minorHAnsi"/>
                <w:bCs w:val="0"/>
                <w:lang w:eastAsia="en-US"/>
              </w:rPr>
            </w:pPr>
            <w:r w:rsidRPr="009275BC">
              <w:rPr>
                <w:rStyle w:val="InstructionsTabelleText"/>
                <w:rFonts w:asciiTheme="minorHAnsi" w:hAnsiTheme="minorHAnsi"/>
              </w:rPr>
              <w:t>Column code</w:t>
            </w:r>
          </w:p>
        </w:tc>
        <w:tc>
          <w:tcPr>
            <w:tcW w:w="76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0CFC87" w14:textId="77777777" w:rsidR="00F17C1D" w:rsidRPr="009275BC" w:rsidRDefault="00F17C1D" w:rsidP="00F32516">
            <w:pPr>
              <w:pStyle w:val="InstructionsText"/>
              <w:rPr>
                <w:rStyle w:val="InstructionsTabelleText"/>
                <w:rFonts w:asciiTheme="minorHAnsi" w:hAnsiTheme="minorHAnsi"/>
                <w:bCs w:val="0"/>
                <w:lang w:eastAsia="en-US"/>
              </w:rPr>
            </w:pPr>
            <w:r w:rsidRPr="009275BC">
              <w:rPr>
                <w:rStyle w:val="InstructionsTabelleText"/>
                <w:rFonts w:asciiTheme="minorHAnsi" w:hAnsiTheme="minorHAnsi"/>
              </w:rPr>
              <w:t>Legal references and instructions</w:t>
            </w:r>
          </w:p>
        </w:tc>
      </w:tr>
      <w:tr w:rsidR="008D532F" w:rsidRPr="009B282E" w14:paraId="1CDE54AE" w14:textId="77777777" w:rsidTr="4EE85BFC">
        <w:tc>
          <w:tcPr>
            <w:tcW w:w="1673" w:type="dxa"/>
            <w:tcBorders>
              <w:top w:val="single" w:sz="4" w:space="0" w:color="auto"/>
              <w:left w:val="single" w:sz="4" w:space="0" w:color="auto"/>
              <w:bottom w:val="single" w:sz="4" w:space="0" w:color="auto"/>
              <w:right w:val="single" w:sz="4" w:space="0" w:color="auto"/>
            </w:tcBorders>
            <w:vAlign w:val="center"/>
          </w:tcPr>
          <w:p w14:paraId="35AF0DFD" w14:textId="10243AB7" w:rsidR="008D532F" w:rsidRPr="009275BC" w:rsidRDefault="00A05752" w:rsidP="00F32516">
            <w:pPr>
              <w:pStyle w:val="InstructionsText"/>
              <w:rPr>
                <w:rStyle w:val="FormatvorlageInstructionsTabelleText"/>
                <w:rFonts w:asciiTheme="minorHAnsi" w:hAnsiTheme="minorHAnsi"/>
              </w:rPr>
            </w:pPr>
            <w:r w:rsidRPr="00A70B3F">
              <w:t>C0010</w:t>
            </w:r>
          </w:p>
        </w:tc>
        <w:tc>
          <w:tcPr>
            <w:tcW w:w="76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57B715" w14:textId="77777777" w:rsidR="00491899" w:rsidRDefault="00491899" w:rsidP="006075C1">
            <w:pPr>
              <w:spacing w:before="0" w:after="0" w:line="240" w:lineRule="auto"/>
              <w:jc w:val="both"/>
              <w:rPr>
                <w:rFonts w:asciiTheme="minorHAnsi" w:eastAsia="Times New Roman" w:hAnsiTheme="minorHAnsi" w:cs="Calibri"/>
                <w:b/>
                <w:bCs/>
                <w:color w:val="000000"/>
                <w:kern w:val="0"/>
                <w:sz w:val="20"/>
                <w:u w:val="single"/>
                <w:lang w:val="en-IE" w:eastAsia="en-IE"/>
              </w:rPr>
            </w:pPr>
            <w:r w:rsidRPr="006D6462">
              <w:rPr>
                <w:rFonts w:ascii="Aptos" w:eastAsia="Times New Roman" w:hAnsi="Aptos" w:cs="Calibri"/>
                <w:b/>
                <w:bCs/>
                <w:color w:val="000000"/>
                <w:kern w:val="0"/>
                <w:sz w:val="20"/>
                <w:u w:val="single"/>
                <w:lang w:val="en-IE" w:eastAsia="en-IE"/>
              </w:rPr>
              <w:t>Group Reporting - Group Entities Reporting on CDD</w:t>
            </w:r>
          </w:p>
          <w:p w14:paraId="04E77572" w14:textId="77777777" w:rsidR="00491899" w:rsidRDefault="00491899" w:rsidP="00C02A75">
            <w:pPr>
              <w:spacing w:before="0" w:after="0" w:line="240" w:lineRule="auto"/>
              <w:jc w:val="both"/>
              <w:rPr>
                <w:rFonts w:asciiTheme="minorHAnsi" w:eastAsia="Times New Roman" w:hAnsiTheme="minorHAnsi" w:cs="Calibri"/>
                <w:b/>
                <w:bCs/>
                <w:color w:val="000000"/>
                <w:kern w:val="0"/>
                <w:sz w:val="20"/>
                <w:u w:val="single"/>
                <w:lang w:val="en-IE" w:eastAsia="en-IE"/>
              </w:rPr>
            </w:pPr>
          </w:p>
          <w:p w14:paraId="4C166337" w14:textId="1474A30E" w:rsidR="00524A92" w:rsidRDefault="00162B03" w:rsidP="00C02A75">
            <w:pPr>
              <w:spacing w:before="0" w:after="0" w:line="240" w:lineRule="auto"/>
              <w:jc w:val="both"/>
              <w:rPr>
                <w:rFonts w:asciiTheme="minorHAnsi" w:eastAsia="Times New Roman" w:hAnsiTheme="minorHAnsi" w:cs="Calibri"/>
                <w:color w:val="000000" w:themeColor="text1"/>
                <w:sz w:val="20"/>
                <w:lang w:val="en-IE" w:eastAsia="en-IE"/>
              </w:rPr>
            </w:pPr>
            <w:r w:rsidRPr="006D6462">
              <w:rPr>
                <w:rFonts w:asciiTheme="minorHAnsi" w:eastAsia="Times New Roman" w:hAnsiTheme="minorHAnsi" w:cs="Calibri"/>
                <w:color w:val="000000" w:themeColor="text1"/>
                <w:sz w:val="20"/>
                <w:lang w:val="en-IE" w:eastAsia="en-IE"/>
              </w:rPr>
              <w:t>Indicate the p</w:t>
            </w:r>
            <w:r w:rsidR="00491899" w:rsidRPr="006D6462">
              <w:rPr>
                <w:rFonts w:asciiTheme="minorHAnsi" w:eastAsia="Times New Roman" w:hAnsiTheme="minorHAnsi" w:cs="Calibri"/>
                <w:color w:val="000000" w:themeColor="text1"/>
                <w:sz w:val="20"/>
                <w:lang w:val="en-IE" w:eastAsia="en-IE"/>
              </w:rPr>
              <w:t>ercentage of group entities that provided reports to the Group AML compliance on CDD during the reference year.</w:t>
            </w:r>
            <w:r w:rsidR="004F3468">
              <w:rPr>
                <w:rFonts w:asciiTheme="minorHAnsi" w:eastAsia="Times New Roman" w:hAnsiTheme="minorHAnsi" w:cs="Calibri"/>
                <w:color w:val="000000" w:themeColor="text1"/>
                <w:sz w:val="20"/>
                <w:lang w:val="en-IE" w:eastAsia="en-IE"/>
              </w:rPr>
              <w:t xml:space="preserve"> </w:t>
            </w:r>
          </w:p>
          <w:p w14:paraId="38311830" w14:textId="77777777" w:rsidR="00C04809" w:rsidRDefault="00C04809" w:rsidP="00C02A75">
            <w:pPr>
              <w:spacing w:before="0" w:after="0" w:line="240" w:lineRule="auto"/>
              <w:jc w:val="both"/>
              <w:rPr>
                <w:rFonts w:asciiTheme="minorHAnsi" w:eastAsia="Times New Roman" w:hAnsiTheme="minorHAnsi" w:cs="Calibri"/>
                <w:color w:val="000000"/>
                <w:kern w:val="0"/>
                <w:sz w:val="20"/>
                <w:lang w:val="en-IE" w:eastAsia="en-IE"/>
              </w:rPr>
            </w:pPr>
          </w:p>
          <w:p w14:paraId="004EFCBC" w14:textId="0169DA9B" w:rsidR="00D6686D" w:rsidRDefault="00F522CB" w:rsidP="00C02A75">
            <w:pPr>
              <w:spacing w:before="0" w:after="0" w:line="240" w:lineRule="auto"/>
              <w:jc w:val="both"/>
              <w:rPr>
                <w:rFonts w:asciiTheme="minorHAnsi" w:eastAsia="Times New Roman" w:hAnsiTheme="minorHAnsi" w:cs="Calibri"/>
                <w:color w:val="000000"/>
                <w:kern w:val="0"/>
                <w:sz w:val="20"/>
                <w:lang w:val="en-IE" w:eastAsia="en-IE"/>
              </w:rPr>
            </w:pPr>
            <w:r w:rsidRPr="00135B9D">
              <w:rPr>
                <w:rFonts w:asciiTheme="minorHAnsi" w:eastAsia="Times New Roman" w:hAnsiTheme="minorHAnsi" w:cs="Calibri"/>
                <w:color w:val="000000"/>
                <w:kern w:val="0"/>
                <w:sz w:val="20"/>
                <w:u w:val="single"/>
                <w:lang w:val="en-IE" w:eastAsia="en-IE"/>
              </w:rPr>
              <w:t>Example</w:t>
            </w:r>
            <w:r w:rsidR="0081520A" w:rsidRPr="00135B9D">
              <w:rPr>
                <w:rFonts w:asciiTheme="minorHAnsi" w:eastAsia="Times New Roman" w:hAnsiTheme="minorHAnsi" w:cs="Calibri"/>
                <w:color w:val="000000"/>
                <w:kern w:val="0"/>
                <w:sz w:val="20"/>
                <w:u w:val="single"/>
                <w:lang w:val="en-IE" w:eastAsia="en-IE"/>
              </w:rPr>
              <w:t>s</w:t>
            </w:r>
            <w:r w:rsidRPr="00135B9D">
              <w:rPr>
                <w:rFonts w:asciiTheme="minorHAnsi" w:eastAsia="Times New Roman" w:hAnsiTheme="minorHAnsi" w:cs="Calibri"/>
                <w:color w:val="000000"/>
                <w:kern w:val="0"/>
                <w:sz w:val="20"/>
                <w:u w:val="single"/>
                <w:lang w:val="en-IE" w:eastAsia="en-IE"/>
              </w:rPr>
              <w:t xml:space="preserve"> of information included in such reports</w:t>
            </w:r>
            <w:r w:rsidR="0081520A" w:rsidRPr="00135B9D">
              <w:rPr>
                <w:rFonts w:asciiTheme="minorHAnsi" w:eastAsia="Times New Roman" w:hAnsiTheme="minorHAnsi" w:cs="Calibri"/>
                <w:color w:val="000000"/>
                <w:kern w:val="0"/>
                <w:sz w:val="20"/>
                <w:u w:val="single"/>
                <w:lang w:val="en-IE" w:eastAsia="en-IE"/>
              </w:rPr>
              <w:t xml:space="preserve"> (strictly indicative)</w:t>
            </w:r>
            <w:r w:rsidR="00D6686D">
              <w:rPr>
                <w:rFonts w:asciiTheme="minorHAnsi" w:eastAsia="Times New Roman" w:hAnsiTheme="minorHAnsi" w:cs="Calibri"/>
                <w:color w:val="000000"/>
                <w:kern w:val="0"/>
                <w:sz w:val="20"/>
                <w:lang w:val="en-IE" w:eastAsia="en-IE"/>
              </w:rPr>
              <w:t>:</w:t>
            </w:r>
          </w:p>
          <w:p w14:paraId="25B54319" w14:textId="32AB3E35" w:rsidR="00686A5F" w:rsidRPr="00003055" w:rsidRDefault="00686A5F" w:rsidP="00D6686D">
            <w:pPr>
              <w:pStyle w:val="ListParagraph"/>
              <w:numPr>
                <w:ilvl w:val="0"/>
                <w:numId w:val="83"/>
              </w:numPr>
              <w:spacing w:before="0" w:after="0" w:line="240" w:lineRule="auto"/>
              <w:jc w:val="both"/>
              <w:rPr>
                <w:rFonts w:asciiTheme="minorHAnsi" w:eastAsia="Times New Roman" w:hAnsiTheme="minorHAnsi"/>
                <w:color w:val="000000"/>
                <w:kern w:val="0"/>
                <w:sz w:val="20"/>
                <w:lang w:eastAsia="en-IE"/>
              </w:rPr>
            </w:pPr>
            <w:r w:rsidRPr="00003055">
              <w:rPr>
                <w:rFonts w:asciiTheme="minorHAnsi" w:eastAsia="Times New Roman" w:hAnsiTheme="minorHAnsi"/>
                <w:color w:val="000000" w:themeColor="text1"/>
                <w:sz w:val="20"/>
                <w:lang w:eastAsia="en-IE"/>
              </w:rPr>
              <w:t>Customers onboarded/off-boarded (</w:t>
            </w:r>
            <w:r w:rsidR="00F522CB" w:rsidRPr="00003055">
              <w:rPr>
                <w:rFonts w:asciiTheme="minorHAnsi" w:eastAsia="Times New Roman" w:hAnsiTheme="minorHAnsi"/>
                <w:color w:val="000000" w:themeColor="text1"/>
                <w:sz w:val="20"/>
                <w:lang w:eastAsia="en-IE"/>
              </w:rPr>
              <w:t xml:space="preserve">in a given </w:t>
            </w:r>
            <w:r w:rsidRPr="00003055">
              <w:rPr>
                <w:rFonts w:asciiTheme="minorHAnsi" w:eastAsia="Times New Roman" w:hAnsiTheme="minorHAnsi"/>
                <w:color w:val="000000" w:themeColor="text1"/>
                <w:sz w:val="20"/>
                <w:lang w:eastAsia="en-IE"/>
              </w:rPr>
              <w:t xml:space="preserve">period) </w:t>
            </w:r>
          </w:p>
          <w:p w14:paraId="1D6D894D" w14:textId="6E7E3A16" w:rsidR="00D6686D" w:rsidRPr="00003055" w:rsidRDefault="00686A5F" w:rsidP="00D6686D">
            <w:pPr>
              <w:pStyle w:val="ListParagraph"/>
              <w:numPr>
                <w:ilvl w:val="0"/>
                <w:numId w:val="83"/>
              </w:numPr>
              <w:spacing w:before="0" w:after="0" w:line="240" w:lineRule="auto"/>
              <w:jc w:val="both"/>
              <w:rPr>
                <w:rFonts w:asciiTheme="minorHAnsi" w:eastAsia="Times New Roman" w:hAnsiTheme="minorHAnsi"/>
                <w:color w:val="000000"/>
                <w:kern w:val="0"/>
                <w:sz w:val="20"/>
                <w:lang w:eastAsia="en-IE"/>
              </w:rPr>
            </w:pPr>
            <w:r w:rsidRPr="00003055">
              <w:rPr>
                <w:rFonts w:asciiTheme="minorHAnsi" w:eastAsia="Times New Roman" w:hAnsiTheme="minorHAnsi"/>
                <w:color w:val="000000" w:themeColor="text1"/>
                <w:sz w:val="20"/>
                <w:lang w:eastAsia="en-IE"/>
              </w:rPr>
              <w:t xml:space="preserve">Risk distribution (% LR, MR, HR) </w:t>
            </w:r>
          </w:p>
          <w:p w14:paraId="0F17090E" w14:textId="7B875F17" w:rsidR="00686A5F" w:rsidRPr="00003055" w:rsidRDefault="00686A5F" w:rsidP="00D6686D">
            <w:pPr>
              <w:pStyle w:val="ListParagraph"/>
              <w:numPr>
                <w:ilvl w:val="0"/>
                <w:numId w:val="83"/>
              </w:numPr>
              <w:spacing w:before="0" w:after="0" w:line="240" w:lineRule="auto"/>
              <w:jc w:val="both"/>
              <w:rPr>
                <w:rFonts w:asciiTheme="minorHAnsi" w:eastAsia="Times New Roman" w:hAnsiTheme="minorHAnsi"/>
                <w:color w:val="000000"/>
                <w:kern w:val="0"/>
                <w:sz w:val="20"/>
                <w:lang w:val="en-IE" w:eastAsia="en-IE"/>
              </w:rPr>
            </w:pPr>
            <w:r w:rsidRPr="00003055">
              <w:rPr>
                <w:rFonts w:asciiTheme="minorHAnsi" w:eastAsia="Times New Roman" w:hAnsiTheme="minorHAnsi"/>
                <w:color w:val="000000"/>
                <w:kern w:val="0"/>
                <w:sz w:val="20"/>
                <w:lang w:val="en-IE" w:eastAsia="en-IE"/>
              </w:rPr>
              <w:t>Number/% of</w:t>
            </w:r>
            <w:r w:rsidR="00364FEB" w:rsidRPr="00003055">
              <w:rPr>
                <w:rFonts w:asciiTheme="minorHAnsi" w:eastAsia="Times New Roman" w:hAnsiTheme="minorHAnsi"/>
                <w:color w:val="000000"/>
                <w:kern w:val="0"/>
                <w:sz w:val="20"/>
                <w:lang w:val="en-IE" w:eastAsia="en-IE"/>
              </w:rPr>
              <w:t>:</w:t>
            </w:r>
            <w:r w:rsidRPr="00003055">
              <w:rPr>
                <w:rFonts w:asciiTheme="minorHAnsi" w:eastAsia="Times New Roman" w:hAnsiTheme="minorHAnsi"/>
                <w:color w:val="000000"/>
                <w:kern w:val="0"/>
                <w:sz w:val="20"/>
                <w:lang w:val="en-IE" w:eastAsia="en-IE"/>
              </w:rPr>
              <w:t xml:space="preserve"> PEPs, </w:t>
            </w:r>
            <w:r w:rsidR="00364FEB" w:rsidRPr="00003055">
              <w:rPr>
                <w:rFonts w:asciiTheme="minorHAnsi" w:eastAsia="Times New Roman" w:hAnsiTheme="minorHAnsi"/>
                <w:color w:val="000000"/>
                <w:kern w:val="0"/>
                <w:sz w:val="20"/>
                <w:lang w:val="en-IE" w:eastAsia="en-IE"/>
              </w:rPr>
              <w:t>s</w:t>
            </w:r>
            <w:r w:rsidR="00EB3934" w:rsidRPr="00003055">
              <w:rPr>
                <w:rFonts w:asciiTheme="minorHAnsi" w:eastAsia="Times New Roman" w:hAnsiTheme="minorHAnsi"/>
                <w:color w:val="000000"/>
                <w:kern w:val="0"/>
                <w:sz w:val="20"/>
                <w:lang w:val="en-IE" w:eastAsia="en-IE"/>
              </w:rPr>
              <w:t xml:space="preserve">anctions true matches, </w:t>
            </w:r>
            <w:r w:rsidR="00364FEB" w:rsidRPr="00003055">
              <w:rPr>
                <w:rFonts w:asciiTheme="minorHAnsi" w:eastAsia="Times New Roman" w:hAnsiTheme="minorHAnsi"/>
                <w:color w:val="000000"/>
                <w:kern w:val="0"/>
                <w:sz w:val="20"/>
                <w:lang w:val="en-IE" w:eastAsia="en-IE"/>
              </w:rPr>
              <w:t>customers with complex corporate structures</w:t>
            </w:r>
          </w:p>
          <w:p w14:paraId="15392C34" w14:textId="1357F45D" w:rsidR="00D6686D" w:rsidRDefault="009F73CD" w:rsidP="00D6686D">
            <w:pPr>
              <w:pStyle w:val="ListParagraph"/>
              <w:numPr>
                <w:ilvl w:val="0"/>
                <w:numId w:val="83"/>
              </w:numPr>
              <w:spacing w:before="0" w:after="0" w:line="240" w:lineRule="auto"/>
              <w:jc w:val="both"/>
              <w:rPr>
                <w:rFonts w:asciiTheme="minorHAnsi" w:eastAsia="Times New Roman" w:hAnsiTheme="minorHAnsi" w:cs="Calibri"/>
                <w:color w:val="000000"/>
                <w:kern w:val="0"/>
                <w:sz w:val="20"/>
                <w:lang w:val="en-IE" w:eastAsia="en-IE"/>
              </w:rPr>
            </w:pPr>
            <w:r>
              <w:rPr>
                <w:rFonts w:asciiTheme="minorHAnsi" w:eastAsia="Times New Roman" w:hAnsiTheme="minorHAnsi" w:cs="Calibri"/>
                <w:color w:val="000000"/>
                <w:kern w:val="0"/>
                <w:sz w:val="20"/>
                <w:lang w:val="en-IE" w:eastAsia="en-IE"/>
              </w:rPr>
              <w:t>Number/% of active customers with complete CDD</w:t>
            </w:r>
          </w:p>
          <w:p w14:paraId="68E31236" w14:textId="304642C4" w:rsidR="00DC4489" w:rsidRDefault="009F73CD" w:rsidP="00D20B4B">
            <w:pPr>
              <w:pStyle w:val="ListParagraph"/>
              <w:numPr>
                <w:ilvl w:val="0"/>
                <w:numId w:val="83"/>
              </w:numPr>
              <w:spacing w:before="0" w:after="0" w:line="240" w:lineRule="auto"/>
              <w:jc w:val="both"/>
              <w:rPr>
                <w:rFonts w:asciiTheme="minorHAnsi" w:eastAsia="Times New Roman" w:hAnsiTheme="minorHAnsi" w:cs="Calibri"/>
                <w:color w:val="000000"/>
                <w:kern w:val="0"/>
                <w:sz w:val="20"/>
                <w:lang w:val="en-IE" w:eastAsia="en-IE"/>
              </w:rPr>
            </w:pPr>
            <w:r>
              <w:rPr>
                <w:rFonts w:asciiTheme="minorHAnsi" w:eastAsia="Times New Roman" w:hAnsiTheme="minorHAnsi" w:cs="Calibri"/>
                <w:color w:val="000000"/>
                <w:kern w:val="0"/>
                <w:sz w:val="20"/>
                <w:lang w:val="en-IE" w:eastAsia="en-IE"/>
              </w:rPr>
              <w:t>Number/%</w:t>
            </w:r>
            <w:r w:rsidR="009B54C8">
              <w:rPr>
                <w:rFonts w:asciiTheme="minorHAnsi" w:eastAsia="Times New Roman" w:hAnsiTheme="minorHAnsi" w:cs="Calibri"/>
                <w:color w:val="000000"/>
                <w:kern w:val="0"/>
                <w:sz w:val="20"/>
                <w:lang w:val="en-IE" w:eastAsia="en-IE"/>
              </w:rPr>
              <w:t xml:space="preserve"> of CDD</w:t>
            </w:r>
            <w:r w:rsidR="00601A98">
              <w:rPr>
                <w:rFonts w:asciiTheme="minorHAnsi" w:eastAsia="Times New Roman" w:hAnsiTheme="minorHAnsi" w:cs="Calibri"/>
                <w:color w:val="000000"/>
                <w:kern w:val="0"/>
                <w:sz w:val="20"/>
                <w:lang w:val="en-IE" w:eastAsia="en-IE"/>
              </w:rPr>
              <w:t>/EDD</w:t>
            </w:r>
            <w:r w:rsidR="009B54C8">
              <w:rPr>
                <w:rFonts w:asciiTheme="minorHAnsi" w:eastAsia="Times New Roman" w:hAnsiTheme="minorHAnsi" w:cs="Calibri"/>
                <w:color w:val="000000"/>
                <w:kern w:val="0"/>
                <w:sz w:val="20"/>
                <w:lang w:val="en-IE" w:eastAsia="en-IE"/>
              </w:rPr>
              <w:t xml:space="preserve"> deficiencies </w:t>
            </w:r>
            <w:r w:rsidR="00F8250B">
              <w:rPr>
                <w:rFonts w:asciiTheme="minorHAnsi" w:eastAsia="Times New Roman" w:hAnsiTheme="minorHAnsi" w:cs="Calibri"/>
                <w:color w:val="000000"/>
                <w:kern w:val="0"/>
                <w:sz w:val="20"/>
                <w:lang w:val="en-IE" w:eastAsia="en-IE"/>
              </w:rPr>
              <w:t>(missing ID, missing UBO information, expired documents</w:t>
            </w:r>
            <w:r w:rsidR="005E4B1B">
              <w:rPr>
                <w:rFonts w:asciiTheme="minorHAnsi" w:eastAsia="Times New Roman" w:hAnsiTheme="minorHAnsi" w:cs="Calibri"/>
                <w:color w:val="000000"/>
                <w:kern w:val="0"/>
                <w:sz w:val="20"/>
                <w:lang w:val="en-IE" w:eastAsia="en-IE"/>
              </w:rPr>
              <w:t>, missing source of funds/wealth</w:t>
            </w:r>
            <w:r w:rsidR="00601A98">
              <w:rPr>
                <w:rFonts w:asciiTheme="minorHAnsi" w:eastAsia="Times New Roman" w:hAnsiTheme="minorHAnsi" w:cs="Calibri"/>
                <w:color w:val="000000"/>
                <w:kern w:val="0"/>
                <w:sz w:val="20"/>
                <w:lang w:val="en-IE" w:eastAsia="en-IE"/>
              </w:rPr>
              <w:t>, PEP annual review completed/due/overdue,</w:t>
            </w:r>
            <w:r w:rsidR="00162DD2">
              <w:rPr>
                <w:rFonts w:asciiTheme="minorHAnsi" w:eastAsia="Times New Roman" w:hAnsiTheme="minorHAnsi" w:cs="Calibri"/>
                <w:color w:val="000000"/>
                <w:kern w:val="0"/>
                <w:sz w:val="20"/>
                <w:lang w:val="en-IE" w:eastAsia="en-IE"/>
              </w:rPr>
              <w:t xml:space="preserve"> </w:t>
            </w:r>
            <w:r w:rsidR="00DC4489">
              <w:rPr>
                <w:rFonts w:asciiTheme="minorHAnsi" w:eastAsia="Times New Roman" w:hAnsiTheme="minorHAnsi" w:cs="Calibri"/>
                <w:color w:val="000000"/>
                <w:kern w:val="0"/>
                <w:sz w:val="20"/>
                <w:lang w:val="en-IE" w:eastAsia="en-IE"/>
              </w:rPr>
              <w:t>etc.</w:t>
            </w:r>
            <w:r w:rsidR="005E4B1B">
              <w:rPr>
                <w:rFonts w:asciiTheme="minorHAnsi" w:eastAsia="Times New Roman" w:hAnsiTheme="minorHAnsi" w:cs="Calibri"/>
                <w:color w:val="000000"/>
                <w:kern w:val="0"/>
                <w:sz w:val="20"/>
                <w:lang w:val="en-IE" w:eastAsia="en-IE"/>
              </w:rPr>
              <w:t>)</w:t>
            </w:r>
          </w:p>
          <w:p w14:paraId="5B801F67" w14:textId="127C2EC6" w:rsidR="00CB1450" w:rsidRDefault="00CB1450" w:rsidP="00D20B4B">
            <w:pPr>
              <w:pStyle w:val="ListParagraph"/>
              <w:numPr>
                <w:ilvl w:val="0"/>
                <w:numId w:val="83"/>
              </w:numPr>
              <w:spacing w:before="0" w:after="0" w:line="240" w:lineRule="auto"/>
              <w:jc w:val="both"/>
              <w:rPr>
                <w:rFonts w:asciiTheme="minorHAnsi" w:eastAsia="Times New Roman" w:hAnsiTheme="minorHAnsi" w:cs="Calibri"/>
                <w:color w:val="000000"/>
                <w:kern w:val="0"/>
                <w:sz w:val="20"/>
                <w:lang w:val="en-IE" w:eastAsia="en-IE"/>
              </w:rPr>
            </w:pPr>
            <w:r>
              <w:rPr>
                <w:rFonts w:asciiTheme="minorHAnsi" w:eastAsia="Times New Roman" w:hAnsiTheme="minorHAnsi" w:cs="Calibri"/>
                <w:color w:val="000000"/>
                <w:kern w:val="0"/>
                <w:sz w:val="20"/>
                <w:lang w:val="en-IE" w:eastAsia="en-IE"/>
              </w:rPr>
              <w:t>CDD data quality deficiencies</w:t>
            </w:r>
          </w:p>
          <w:p w14:paraId="5B051DE4" w14:textId="411B260A" w:rsidR="00601A98" w:rsidRDefault="00796531" w:rsidP="00D20B4B">
            <w:pPr>
              <w:pStyle w:val="ListParagraph"/>
              <w:numPr>
                <w:ilvl w:val="0"/>
                <w:numId w:val="83"/>
              </w:numPr>
              <w:spacing w:before="0" w:after="0" w:line="240" w:lineRule="auto"/>
              <w:jc w:val="both"/>
              <w:rPr>
                <w:rFonts w:asciiTheme="minorHAnsi" w:eastAsia="Times New Roman" w:hAnsiTheme="minorHAnsi" w:cs="Calibri"/>
                <w:color w:val="000000"/>
                <w:kern w:val="0"/>
                <w:sz w:val="20"/>
                <w:lang w:val="en-IE" w:eastAsia="en-IE"/>
              </w:rPr>
            </w:pPr>
            <w:r>
              <w:rPr>
                <w:rFonts w:asciiTheme="minorHAnsi" w:eastAsia="Times New Roman" w:hAnsiTheme="minorHAnsi" w:cs="Calibri"/>
                <w:color w:val="000000"/>
                <w:kern w:val="0"/>
                <w:sz w:val="20"/>
                <w:lang w:val="en-IE" w:eastAsia="en-IE"/>
              </w:rPr>
              <w:t>Periodic KYC review: completed</w:t>
            </w:r>
            <w:r w:rsidR="00025F43">
              <w:rPr>
                <w:rFonts w:asciiTheme="minorHAnsi" w:eastAsia="Times New Roman" w:hAnsiTheme="minorHAnsi" w:cs="Calibri"/>
                <w:color w:val="000000"/>
                <w:kern w:val="0"/>
                <w:sz w:val="20"/>
                <w:lang w:val="en-IE" w:eastAsia="en-IE"/>
              </w:rPr>
              <w:t>/due/overdue (total/%)</w:t>
            </w:r>
            <w:r w:rsidR="00FD7271">
              <w:rPr>
                <w:rFonts w:asciiTheme="minorHAnsi" w:eastAsia="Times New Roman" w:hAnsiTheme="minorHAnsi" w:cs="Calibri"/>
                <w:color w:val="000000"/>
                <w:kern w:val="0"/>
                <w:sz w:val="20"/>
                <w:lang w:val="en-IE" w:eastAsia="en-IE"/>
              </w:rPr>
              <w:t>, overdue HR customers</w:t>
            </w:r>
          </w:p>
          <w:p w14:paraId="5ED46EC0" w14:textId="498F2BBE" w:rsidR="00132087" w:rsidRDefault="00DE4B27" w:rsidP="00D20B4B">
            <w:pPr>
              <w:pStyle w:val="ListParagraph"/>
              <w:numPr>
                <w:ilvl w:val="0"/>
                <w:numId w:val="83"/>
              </w:numPr>
              <w:spacing w:before="0" w:after="0" w:line="240" w:lineRule="auto"/>
              <w:jc w:val="both"/>
              <w:rPr>
                <w:rFonts w:asciiTheme="minorHAnsi" w:eastAsia="Times New Roman" w:hAnsiTheme="minorHAnsi" w:cs="Calibri"/>
                <w:color w:val="000000"/>
                <w:kern w:val="0"/>
                <w:sz w:val="20"/>
                <w:lang w:val="en-IE" w:eastAsia="en-IE"/>
              </w:rPr>
            </w:pPr>
            <w:r>
              <w:rPr>
                <w:rFonts w:asciiTheme="minorHAnsi" w:eastAsia="Times New Roman" w:hAnsiTheme="minorHAnsi" w:cs="Calibri"/>
                <w:color w:val="000000"/>
                <w:kern w:val="0"/>
                <w:sz w:val="20"/>
                <w:lang w:val="en-IE" w:eastAsia="en-IE"/>
              </w:rPr>
              <w:t>Trigger events: event-driven KYC reviews completed/due, average time to complete KYC after review</w:t>
            </w:r>
          </w:p>
          <w:p w14:paraId="6D3957B6" w14:textId="367AA259" w:rsidR="00132087" w:rsidRPr="00135B9D" w:rsidRDefault="00132087" w:rsidP="00135B9D">
            <w:pPr>
              <w:pStyle w:val="ListParagraph"/>
              <w:numPr>
                <w:ilvl w:val="0"/>
                <w:numId w:val="83"/>
              </w:numPr>
              <w:spacing w:before="0" w:after="0" w:line="240" w:lineRule="auto"/>
              <w:jc w:val="both"/>
              <w:rPr>
                <w:rFonts w:asciiTheme="minorHAnsi" w:eastAsia="Times New Roman" w:hAnsiTheme="minorHAnsi" w:cs="Calibri"/>
                <w:color w:val="000000"/>
                <w:kern w:val="0"/>
                <w:sz w:val="20"/>
                <w:lang w:val="en-IE" w:eastAsia="en-IE"/>
              </w:rPr>
            </w:pPr>
            <w:r>
              <w:rPr>
                <w:rFonts w:asciiTheme="minorHAnsi" w:eastAsia="Times New Roman" w:hAnsiTheme="minorHAnsi" w:cs="Calibri"/>
                <w:color w:val="000000"/>
                <w:kern w:val="0"/>
                <w:sz w:val="20"/>
                <w:lang w:val="en-IE" w:eastAsia="en-IE"/>
              </w:rPr>
              <w:t>Etc.</w:t>
            </w:r>
          </w:p>
          <w:p w14:paraId="17B8854B" w14:textId="3E913CC7" w:rsidR="000207F4" w:rsidRPr="00866CED" w:rsidRDefault="000207F4" w:rsidP="00C02A75">
            <w:pPr>
              <w:spacing w:before="0" w:after="0" w:line="240" w:lineRule="auto"/>
              <w:jc w:val="both"/>
              <w:rPr>
                <w:rFonts w:asciiTheme="minorHAnsi" w:eastAsia="Times New Roman" w:hAnsiTheme="minorHAnsi" w:cs="Calibri"/>
                <w:b/>
                <w:bCs/>
                <w:color w:val="000000"/>
                <w:kern w:val="0"/>
                <w:sz w:val="20"/>
                <w:u w:val="single"/>
                <w:lang w:val="en-IE" w:eastAsia="en-IE"/>
              </w:rPr>
            </w:pPr>
          </w:p>
        </w:tc>
      </w:tr>
      <w:tr w:rsidR="008D532F" w:rsidRPr="009B282E" w14:paraId="2F45F3E3" w14:textId="77777777" w:rsidTr="4EE85BFC">
        <w:tc>
          <w:tcPr>
            <w:tcW w:w="1673" w:type="dxa"/>
            <w:tcBorders>
              <w:top w:val="single" w:sz="4" w:space="0" w:color="auto"/>
              <w:left w:val="single" w:sz="4" w:space="0" w:color="auto"/>
              <w:bottom w:val="single" w:sz="4" w:space="0" w:color="auto"/>
              <w:right w:val="single" w:sz="4" w:space="0" w:color="auto"/>
            </w:tcBorders>
            <w:vAlign w:val="center"/>
          </w:tcPr>
          <w:p w14:paraId="106CC5A4" w14:textId="58ED29CA" w:rsidR="008D532F" w:rsidRPr="009275BC" w:rsidRDefault="00A05752" w:rsidP="00F32516">
            <w:pPr>
              <w:pStyle w:val="InstructionsText"/>
              <w:rPr>
                <w:rStyle w:val="FormatvorlageInstructionsTabelleText"/>
                <w:rFonts w:asciiTheme="minorHAnsi" w:hAnsiTheme="minorHAnsi"/>
              </w:rPr>
            </w:pPr>
            <w:r w:rsidRPr="00A70B3F">
              <w:t>C0020</w:t>
            </w:r>
          </w:p>
        </w:tc>
        <w:tc>
          <w:tcPr>
            <w:tcW w:w="76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7EF991" w14:textId="77777777" w:rsidR="00491899" w:rsidRDefault="00491899" w:rsidP="000207F4">
            <w:pPr>
              <w:spacing w:before="0" w:after="0" w:line="240" w:lineRule="auto"/>
              <w:jc w:val="both"/>
              <w:rPr>
                <w:rFonts w:asciiTheme="minorHAnsi" w:eastAsia="Times New Roman" w:hAnsiTheme="minorHAnsi"/>
                <w:color w:val="000000"/>
                <w:kern w:val="0"/>
                <w:sz w:val="20"/>
                <w:lang w:val="en-IE" w:eastAsia="en-IE"/>
              </w:rPr>
            </w:pPr>
            <w:r w:rsidRPr="006D6462">
              <w:rPr>
                <w:rFonts w:ascii="Aptos" w:eastAsia="Times New Roman" w:hAnsi="Aptos"/>
                <w:b/>
                <w:color w:val="000000"/>
                <w:kern w:val="0"/>
                <w:sz w:val="20"/>
                <w:u w:val="single"/>
                <w:lang w:val="en-IE" w:eastAsia="en-IE"/>
              </w:rPr>
              <w:t>Group Reporting - Group Entities Reporting on Ongoing Monitoring</w:t>
            </w:r>
          </w:p>
          <w:p w14:paraId="64AADB89" w14:textId="6C6E8205" w:rsidR="00E63431" w:rsidRDefault="00E63431" w:rsidP="000207F4">
            <w:pPr>
              <w:spacing w:before="0" w:after="0" w:line="240" w:lineRule="auto"/>
              <w:jc w:val="both"/>
              <w:rPr>
                <w:rFonts w:asciiTheme="minorHAnsi" w:eastAsia="Times New Roman" w:hAnsiTheme="minorHAnsi"/>
                <w:color w:val="000000"/>
                <w:kern w:val="0"/>
                <w:sz w:val="20"/>
                <w:lang w:val="en-IE" w:eastAsia="en-IE"/>
              </w:rPr>
            </w:pPr>
          </w:p>
          <w:p w14:paraId="1FE044CA" w14:textId="7B6B6E44" w:rsidR="00491899" w:rsidRDefault="006B1F96" w:rsidP="00E63431">
            <w:pPr>
              <w:spacing w:before="0" w:after="0" w:line="240" w:lineRule="auto"/>
              <w:jc w:val="both"/>
              <w:rPr>
                <w:rFonts w:asciiTheme="minorHAnsi" w:eastAsia="Times New Roman" w:hAnsiTheme="minorHAnsi"/>
                <w:color w:val="000000"/>
                <w:kern w:val="0"/>
                <w:sz w:val="20"/>
                <w:lang w:val="en-IE" w:eastAsia="en-IE"/>
              </w:rPr>
            </w:pPr>
            <w:r>
              <w:rPr>
                <w:rFonts w:asciiTheme="minorHAnsi" w:eastAsia="Times New Roman" w:hAnsiTheme="minorHAnsi"/>
                <w:color w:val="000000"/>
                <w:kern w:val="0"/>
                <w:sz w:val="20"/>
                <w:lang w:val="en-IE" w:eastAsia="en-IE"/>
              </w:rPr>
              <w:t>Indicate the p</w:t>
            </w:r>
            <w:r w:rsidR="00491899">
              <w:rPr>
                <w:rFonts w:asciiTheme="minorHAnsi" w:eastAsia="Times New Roman" w:hAnsiTheme="minorHAnsi"/>
                <w:color w:val="000000"/>
                <w:kern w:val="0"/>
                <w:sz w:val="20"/>
                <w:lang w:val="en-IE" w:eastAsia="en-IE"/>
              </w:rPr>
              <w:t>ercentage of group entities that provided reports to the Group AML compliance on ongoing monitoring during the reference year.</w:t>
            </w:r>
          </w:p>
          <w:p w14:paraId="0601FCB1" w14:textId="77777777" w:rsidR="00355F93" w:rsidRDefault="00355F93" w:rsidP="00355F93">
            <w:pPr>
              <w:spacing w:before="0" w:after="0" w:line="240" w:lineRule="auto"/>
              <w:jc w:val="both"/>
              <w:rPr>
                <w:rFonts w:asciiTheme="minorHAnsi" w:eastAsia="Times New Roman" w:hAnsiTheme="minorHAnsi" w:cs="Calibri"/>
                <w:color w:val="000000"/>
                <w:kern w:val="0"/>
                <w:sz w:val="20"/>
                <w:lang w:val="en-IE" w:eastAsia="en-IE"/>
              </w:rPr>
            </w:pPr>
            <w:r w:rsidRPr="00135B9D">
              <w:rPr>
                <w:rFonts w:asciiTheme="minorHAnsi" w:eastAsia="Times New Roman" w:hAnsiTheme="minorHAnsi" w:cs="Calibri"/>
                <w:color w:val="000000"/>
                <w:kern w:val="0"/>
                <w:sz w:val="20"/>
                <w:u w:val="single"/>
                <w:lang w:val="en-IE" w:eastAsia="en-IE"/>
              </w:rPr>
              <w:t>Examples of information included in such reports (strictly indicative)</w:t>
            </w:r>
            <w:r>
              <w:rPr>
                <w:rFonts w:asciiTheme="minorHAnsi" w:eastAsia="Times New Roman" w:hAnsiTheme="minorHAnsi" w:cs="Calibri"/>
                <w:color w:val="000000"/>
                <w:kern w:val="0"/>
                <w:sz w:val="20"/>
                <w:lang w:val="en-IE" w:eastAsia="en-IE"/>
              </w:rPr>
              <w:t>:</w:t>
            </w:r>
          </w:p>
          <w:p w14:paraId="563846E5" w14:textId="468BB6CF" w:rsidR="00C3164D" w:rsidRDefault="00C3164D" w:rsidP="00D20B4B">
            <w:pPr>
              <w:pStyle w:val="ListParagraph"/>
              <w:numPr>
                <w:ilvl w:val="0"/>
                <w:numId w:val="83"/>
              </w:numPr>
              <w:spacing w:before="0" w:after="0" w:line="240" w:lineRule="auto"/>
              <w:jc w:val="both"/>
              <w:rPr>
                <w:rFonts w:asciiTheme="minorHAnsi" w:eastAsia="Times New Roman" w:hAnsiTheme="minorHAnsi"/>
                <w:color w:val="000000"/>
                <w:kern w:val="0"/>
                <w:sz w:val="20"/>
                <w:lang w:val="en-IE" w:eastAsia="en-IE"/>
              </w:rPr>
            </w:pPr>
            <w:r>
              <w:rPr>
                <w:rFonts w:asciiTheme="minorHAnsi" w:eastAsia="Times New Roman" w:hAnsiTheme="minorHAnsi"/>
                <w:color w:val="000000"/>
                <w:kern w:val="0"/>
                <w:sz w:val="20"/>
                <w:lang w:val="en-IE" w:eastAsia="en-IE"/>
              </w:rPr>
              <w:t>Total transactions monitoring alerts generated</w:t>
            </w:r>
            <w:r w:rsidR="00101434">
              <w:rPr>
                <w:rFonts w:asciiTheme="minorHAnsi" w:eastAsia="Times New Roman" w:hAnsiTheme="minorHAnsi"/>
                <w:color w:val="000000"/>
                <w:kern w:val="0"/>
                <w:sz w:val="20"/>
                <w:lang w:val="en-IE" w:eastAsia="en-IE"/>
              </w:rPr>
              <w:t xml:space="preserve"> (breakdown by scenarios)</w:t>
            </w:r>
          </w:p>
          <w:p w14:paraId="5C99F962" w14:textId="1F330FC3" w:rsidR="00101434" w:rsidRDefault="00101434" w:rsidP="00D20B4B">
            <w:pPr>
              <w:pStyle w:val="ListParagraph"/>
              <w:numPr>
                <w:ilvl w:val="0"/>
                <w:numId w:val="83"/>
              </w:numPr>
              <w:spacing w:before="0" w:after="0" w:line="240" w:lineRule="auto"/>
              <w:jc w:val="both"/>
              <w:rPr>
                <w:rFonts w:asciiTheme="minorHAnsi" w:eastAsia="Times New Roman" w:hAnsiTheme="minorHAnsi"/>
                <w:color w:val="000000"/>
                <w:kern w:val="0"/>
                <w:sz w:val="20"/>
                <w:lang w:val="en-IE" w:eastAsia="en-IE"/>
              </w:rPr>
            </w:pPr>
            <w:r>
              <w:rPr>
                <w:rFonts w:asciiTheme="minorHAnsi" w:eastAsia="Times New Roman" w:hAnsiTheme="minorHAnsi"/>
                <w:color w:val="000000"/>
                <w:kern w:val="0"/>
                <w:sz w:val="20"/>
                <w:lang w:val="en-IE" w:eastAsia="en-IE"/>
              </w:rPr>
              <w:t>% of alerts linked to HR customers</w:t>
            </w:r>
          </w:p>
          <w:p w14:paraId="23602FCC" w14:textId="1C55D76D" w:rsidR="00101434" w:rsidRDefault="0006043F" w:rsidP="00D20B4B">
            <w:pPr>
              <w:pStyle w:val="ListParagraph"/>
              <w:numPr>
                <w:ilvl w:val="0"/>
                <w:numId w:val="83"/>
              </w:numPr>
              <w:spacing w:before="0" w:after="0" w:line="240" w:lineRule="auto"/>
              <w:jc w:val="both"/>
              <w:rPr>
                <w:rFonts w:asciiTheme="minorHAnsi" w:eastAsia="Times New Roman" w:hAnsiTheme="minorHAnsi"/>
                <w:color w:val="000000"/>
                <w:kern w:val="0"/>
                <w:sz w:val="20"/>
                <w:lang w:val="en-IE" w:eastAsia="en-IE"/>
              </w:rPr>
            </w:pPr>
            <w:r>
              <w:rPr>
                <w:rFonts w:asciiTheme="minorHAnsi" w:eastAsia="Times New Roman" w:hAnsiTheme="minorHAnsi"/>
                <w:color w:val="000000"/>
                <w:kern w:val="0"/>
                <w:sz w:val="20"/>
                <w:lang w:val="en-IE" w:eastAsia="en-IE"/>
              </w:rPr>
              <w:t>Number/% of alerts closed</w:t>
            </w:r>
          </w:p>
          <w:p w14:paraId="50E5F640" w14:textId="7B349A46" w:rsidR="0006043F" w:rsidRDefault="0006043F" w:rsidP="00D20B4B">
            <w:pPr>
              <w:pStyle w:val="ListParagraph"/>
              <w:numPr>
                <w:ilvl w:val="0"/>
                <w:numId w:val="83"/>
              </w:numPr>
              <w:spacing w:before="0" w:after="0" w:line="240" w:lineRule="auto"/>
              <w:jc w:val="both"/>
              <w:rPr>
                <w:rFonts w:asciiTheme="minorHAnsi" w:eastAsia="Times New Roman" w:hAnsiTheme="minorHAnsi"/>
                <w:color w:val="000000"/>
                <w:kern w:val="0"/>
                <w:sz w:val="20"/>
                <w:lang w:val="en-IE" w:eastAsia="en-IE"/>
              </w:rPr>
            </w:pPr>
            <w:r>
              <w:rPr>
                <w:rFonts w:asciiTheme="minorHAnsi" w:eastAsia="Times New Roman" w:hAnsiTheme="minorHAnsi"/>
                <w:color w:val="000000"/>
                <w:kern w:val="0"/>
                <w:sz w:val="20"/>
                <w:lang w:val="en-IE" w:eastAsia="en-IE"/>
              </w:rPr>
              <w:t>Backlog of open alerts</w:t>
            </w:r>
          </w:p>
          <w:p w14:paraId="7994ED18" w14:textId="5DE99C45" w:rsidR="0006043F" w:rsidRDefault="0006043F" w:rsidP="00D20B4B">
            <w:pPr>
              <w:pStyle w:val="ListParagraph"/>
              <w:numPr>
                <w:ilvl w:val="0"/>
                <w:numId w:val="83"/>
              </w:numPr>
              <w:spacing w:before="0" w:after="0" w:line="240" w:lineRule="auto"/>
              <w:jc w:val="both"/>
              <w:rPr>
                <w:rFonts w:asciiTheme="minorHAnsi" w:eastAsia="Times New Roman" w:hAnsiTheme="minorHAnsi"/>
                <w:color w:val="000000"/>
                <w:kern w:val="0"/>
                <w:sz w:val="20"/>
                <w:lang w:val="en-IE" w:eastAsia="en-IE"/>
              </w:rPr>
            </w:pPr>
            <w:r>
              <w:rPr>
                <w:rFonts w:asciiTheme="minorHAnsi" w:eastAsia="Times New Roman" w:hAnsiTheme="minorHAnsi"/>
                <w:color w:val="000000"/>
                <w:kern w:val="0"/>
                <w:sz w:val="20"/>
                <w:lang w:val="en-IE" w:eastAsia="en-IE"/>
              </w:rPr>
              <w:t>Average time to close/escalate alerts</w:t>
            </w:r>
          </w:p>
          <w:p w14:paraId="313889EC" w14:textId="12EF1000" w:rsidR="00D052EC" w:rsidRDefault="00D052EC" w:rsidP="00D20B4B">
            <w:pPr>
              <w:pStyle w:val="ListParagraph"/>
              <w:numPr>
                <w:ilvl w:val="0"/>
                <w:numId w:val="83"/>
              </w:numPr>
              <w:spacing w:before="0" w:after="0" w:line="240" w:lineRule="auto"/>
              <w:jc w:val="both"/>
              <w:rPr>
                <w:rFonts w:asciiTheme="minorHAnsi" w:eastAsia="Times New Roman" w:hAnsiTheme="minorHAnsi"/>
                <w:color w:val="000000"/>
                <w:kern w:val="0"/>
                <w:sz w:val="20"/>
                <w:lang w:val="en-IE" w:eastAsia="en-IE"/>
              </w:rPr>
            </w:pPr>
            <w:r>
              <w:rPr>
                <w:rFonts w:asciiTheme="minorHAnsi" w:eastAsia="Times New Roman" w:hAnsiTheme="minorHAnsi"/>
                <w:color w:val="000000"/>
                <w:kern w:val="0"/>
                <w:sz w:val="20"/>
                <w:lang w:val="en-IE" w:eastAsia="en-IE"/>
              </w:rPr>
              <w:t>% of alerts escalated to level 2</w:t>
            </w:r>
          </w:p>
          <w:p w14:paraId="52498F41" w14:textId="4AFBCB8A" w:rsidR="00D052EC" w:rsidRDefault="00D052EC" w:rsidP="00D20B4B">
            <w:pPr>
              <w:pStyle w:val="ListParagraph"/>
              <w:numPr>
                <w:ilvl w:val="0"/>
                <w:numId w:val="83"/>
              </w:numPr>
              <w:spacing w:before="0" w:after="0" w:line="240" w:lineRule="auto"/>
              <w:jc w:val="both"/>
              <w:rPr>
                <w:rFonts w:asciiTheme="minorHAnsi" w:eastAsia="Times New Roman" w:hAnsiTheme="minorHAnsi"/>
                <w:color w:val="000000"/>
                <w:kern w:val="0"/>
                <w:sz w:val="20"/>
                <w:lang w:val="en-IE" w:eastAsia="en-IE"/>
              </w:rPr>
            </w:pPr>
            <w:r>
              <w:rPr>
                <w:rFonts w:asciiTheme="minorHAnsi" w:eastAsia="Times New Roman" w:hAnsiTheme="minorHAnsi"/>
                <w:color w:val="000000"/>
                <w:kern w:val="0"/>
                <w:sz w:val="20"/>
                <w:lang w:val="en-IE" w:eastAsia="en-IE"/>
              </w:rPr>
              <w:t>% of alerts resulting in S</w:t>
            </w:r>
            <w:r w:rsidR="0052298E">
              <w:rPr>
                <w:rFonts w:asciiTheme="minorHAnsi" w:eastAsia="Times New Roman" w:hAnsiTheme="minorHAnsi"/>
                <w:color w:val="000000"/>
                <w:kern w:val="0"/>
                <w:sz w:val="20"/>
                <w:lang w:val="en-IE" w:eastAsia="en-IE"/>
              </w:rPr>
              <w:t>T</w:t>
            </w:r>
            <w:r>
              <w:rPr>
                <w:rFonts w:asciiTheme="minorHAnsi" w:eastAsia="Times New Roman" w:hAnsiTheme="minorHAnsi"/>
                <w:color w:val="000000"/>
                <w:kern w:val="0"/>
                <w:sz w:val="20"/>
                <w:lang w:val="en-IE" w:eastAsia="en-IE"/>
              </w:rPr>
              <w:t>Rs (breakdown by scenario)</w:t>
            </w:r>
          </w:p>
          <w:p w14:paraId="088EE1A3" w14:textId="255D33B7" w:rsidR="001337AE" w:rsidRDefault="001337AE" w:rsidP="00D20B4B">
            <w:pPr>
              <w:pStyle w:val="ListParagraph"/>
              <w:numPr>
                <w:ilvl w:val="0"/>
                <w:numId w:val="83"/>
              </w:numPr>
              <w:spacing w:before="0" w:after="0" w:line="240" w:lineRule="auto"/>
              <w:jc w:val="both"/>
              <w:rPr>
                <w:rFonts w:asciiTheme="minorHAnsi" w:eastAsia="Times New Roman" w:hAnsiTheme="minorHAnsi"/>
                <w:color w:val="000000"/>
                <w:kern w:val="0"/>
                <w:sz w:val="20"/>
                <w:lang w:val="en-IE" w:eastAsia="en-IE"/>
              </w:rPr>
            </w:pPr>
            <w:r>
              <w:rPr>
                <w:rFonts w:asciiTheme="minorHAnsi" w:eastAsia="Times New Roman" w:hAnsiTheme="minorHAnsi"/>
                <w:color w:val="000000"/>
                <w:kern w:val="0"/>
                <w:sz w:val="20"/>
                <w:lang w:val="en-IE" w:eastAsia="en-IE"/>
              </w:rPr>
              <w:t xml:space="preserve">Number/% of </w:t>
            </w:r>
            <w:r w:rsidR="00077C65">
              <w:rPr>
                <w:rFonts w:asciiTheme="minorHAnsi" w:eastAsia="Times New Roman" w:hAnsiTheme="minorHAnsi"/>
                <w:color w:val="000000"/>
                <w:kern w:val="0"/>
                <w:sz w:val="20"/>
                <w:lang w:val="en-IE" w:eastAsia="en-IE"/>
              </w:rPr>
              <w:t>false positives (breakdown by scenario)</w:t>
            </w:r>
          </w:p>
          <w:p w14:paraId="41475D99" w14:textId="528BBF57" w:rsidR="00355F93" w:rsidRDefault="004D1881" w:rsidP="00D20B4B">
            <w:pPr>
              <w:pStyle w:val="ListParagraph"/>
              <w:numPr>
                <w:ilvl w:val="0"/>
                <w:numId w:val="83"/>
              </w:numPr>
              <w:spacing w:before="0" w:after="0" w:line="240" w:lineRule="auto"/>
              <w:jc w:val="both"/>
              <w:rPr>
                <w:rFonts w:asciiTheme="minorHAnsi" w:eastAsia="Times New Roman" w:hAnsiTheme="minorHAnsi"/>
                <w:color w:val="000000"/>
                <w:kern w:val="0"/>
                <w:sz w:val="20"/>
                <w:lang w:val="en-IE" w:eastAsia="en-IE"/>
              </w:rPr>
            </w:pPr>
            <w:r>
              <w:rPr>
                <w:rFonts w:asciiTheme="minorHAnsi" w:eastAsia="Times New Roman" w:hAnsiTheme="minorHAnsi"/>
                <w:color w:val="000000"/>
                <w:kern w:val="0"/>
                <w:sz w:val="20"/>
                <w:lang w:val="en-IE" w:eastAsia="en-IE"/>
              </w:rPr>
              <w:t>% of transactions involving high-risk third countries</w:t>
            </w:r>
          </w:p>
          <w:p w14:paraId="7F741542" w14:textId="76768467" w:rsidR="004D1881" w:rsidRPr="00135B9D" w:rsidRDefault="0052298E" w:rsidP="00135B9D">
            <w:pPr>
              <w:pStyle w:val="ListParagraph"/>
              <w:numPr>
                <w:ilvl w:val="0"/>
                <w:numId w:val="83"/>
              </w:numPr>
              <w:spacing w:before="0" w:after="0" w:line="240" w:lineRule="auto"/>
              <w:jc w:val="both"/>
              <w:rPr>
                <w:rFonts w:asciiTheme="minorHAnsi" w:eastAsia="Times New Roman" w:hAnsiTheme="minorHAnsi"/>
                <w:color w:val="000000"/>
                <w:kern w:val="0"/>
                <w:sz w:val="20"/>
                <w:lang w:val="en-IE" w:eastAsia="en-IE"/>
              </w:rPr>
            </w:pPr>
            <w:r>
              <w:rPr>
                <w:rFonts w:asciiTheme="minorHAnsi" w:eastAsia="Times New Roman" w:hAnsiTheme="minorHAnsi"/>
                <w:color w:val="000000"/>
                <w:kern w:val="0"/>
                <w:sz w:val="20"/>
                <w:lang w:val="en-IE" w:eastAsia="en-IE"/>
              </w:rPr>
              <w:t>Etc.</w:t>
            </w:r>
          </w:p>
          <w:p w14:paraId="37E6E0AC" w14:textId="09265D91" w:rsidR="00E63431" w:rsidRPr="00E63431" w:rsidRDefault="00E63431" w:rsidP="00E63431">
            <w:pPr>
              <w:spacing w:before="0" w:after="0" w:line="240" w:lineRule="auto"/>
              <w:jc w:val="both"/>
              <w:rPr>
                <w:rFonts w:asciiTheme="minorHAnsi" w:eastAsia="Times New Roman" w:hAnsiTheme="minorHAnsi"/>
                <w:color w:val="000000"/>
                <w:kern w:val="0"/>
                <w:sz w:val="20"/>
                <w:lang w:val="en-IE" w:eastAsia="en-IE"/>
              </w:rPr>
            </w:pPr>
          </w:p>
        </w:tc>
      </w:tr>
      <w:tr w:rsidR="008D532F" w:rsidRPr="009B282E" w14:paraId="36E544E8" w14:textId="77777777" w:rsidTr="4EE85BFC">
        <w:tc>
          <w:tcPr>
            <w:tcW w:w="1673" w:type="dxa"/>
            <w:tcBorders>
              <w:top w:val="single" w:sz="4" w:space="0" w:color="auto"/>
              <w:left w:val="single" w:sz="4" w:space="0" w:color="auto"/>
              <w:bottom w:val="single" w:sz="4" w:space="0" w:color="auto"/>
              <w:right w:val="single" w:sz="4" w:space="0" w:color="auto"/>
            </w:tcBorders>
            <w:vAlign w:val="center"/>
          </w:tcPr>
          <w:p w14:paraId="7E8984DE" w14:textId="1D6903C6" w:rsidR="008D532F" w:rsidRPr="009275BC" w:rsidRDefault="00A05752" w:rsidP="00F32516">
            <w:pPr>
              <w:pStyle w:val="InstructionsText"/>
              <w:rPr>
                <w:rStyle w:val="FormatvorlageInstructionsTabelleText"/>
                <w:rFonts w:asciiTheme="minorHAnsi" w:hAnsiTheme="minorHAnsi"/>
              </w:rPr>
            </w:pPr>
            <w:r w:rsidRPr="00A70B3F">
              <w:t>C0030</w:t>
            </w:r>
          </w:p>
        </w:tc>
        <w:tc>
          <w:tcPr>
            <w:tcW w:w="76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BFED99" w14:textId="77777777" w:rsidR="00491899" w:rsidRDefault="00491899" w:rsidP="006075C1">
            <w:pPr>
              <w:spacing w:before="0" w:after="0" w:line="240" w:lineRule="auto"/>
              <w:jc w:val="both"/>
              <w:rPr>
                <w:rFonts w:asciiTheme="minorHAnsi" w:eastAsia="Times New Roman" w:hAnsiTheme="minorHAnsi" w:cs="Calibri"/>
                <w:b/>
                <w:bCs/>
                <w:color w:val="000000"/>
                <w:kern w:val="0"/>
                <w:sz w:val="20"/>
                <w:u w:val="single"/>
                <w:lang w:val="en-IE" w:eastAsia="en-IE"/>
              </w:rPr>
            </w:pPr>
            <w:r w:rsidRPr="00D811B3">
              <w:rPr>
                <w:rFonts w:ascii="Aptos" w:eastAsia="Times New Roman" w:hAnsi="Aptos" w:cs="Calibri"/>
                <w:b/>
                <w:bCs/>
                <w:color w:val="000000"/>
                <w:kern w:val="0"/>
                <w:sz w:val="20"/>
                <w:u w:val="single"/>
                <w:lang w:val="en-IE" w:eastAsia="en-IE"/>
              </w:rPr>
              <w:t>Group Reporting - Group Entities Reporting on STRs</w:t>
            </w:r>
          </w:p>
          <w:p w14:paraId="0975DF4B" w14:textId="79BBCD4D" w:rsidR="00C02420" w:rsidRPr="00D811B3" w:rsidRDefault="00C02420" w:rsidP="006075C1">
            <w:pPr>
              <w:spacing w:before="0" w:after="0" w:line="240" w:lineRule="auto"/>
              <w:jc w:val="both"/>
              <w:rPr>
                <w:rFonts w:asciiTheme="minorHAnsi" w:eastAsia="Times New Roman" w:hAnsiTheme="minorHAnsi" w:cs="Calibri"/>
                <w:color w:val="000000"/>
                <w:kern w:val="0"/>
                <w:sz w:val="20"/>
                <w:lang w:val="en-IE" w:eastAsia="en-IE"/>
              </w:rPr>
            </w:pPr>
          </w:p>
          <w:p w14:paraId="2896FE11" w14:textId="5A7588C2" w:rsidR="00491899" w:rsidRPr="00D811B3" w:rsidRDefault="006B1F96" w:rsidP="006075C1">
            <w:pPr>
              <w:spacing w:before="0" w:after="0" w:line="240" w:lineRule="auto"/>
              <w:jc w:val="both"/>
              <w:rPr>
                <w:rFonts w:asciiTheme="minorHAnsi" w:eastAsia="Times New Roman" w:hAnsiTheme="minorHAnsi" w:cs="Calibri"/>
                <w:color w:val="000000"/>
                <w:kern w:val="0"/>
                <w:sz w:val="20"/>
                <w:lang w:val="en-IE" w:eastAsia="en-IE"/>
              </w:rPr>
            </w:pPr>
            <w:r w:rsidRPr="00D811B3">
              <w:rPr>
                <w:rFonts w:asciiTheme="minorHAnsi" w:eastAsia="Times New Roman" w:hAnsiTheme="minorHAnsi" w:cs="Calibri"/>
                <w:color w:val="000000"/>
                <w:kern w:val="0"/>
                <w:sz w:val="20"/>
                <w:lang w:val="en-IE" w:eastAsia="en-IE"/>
              </w:rPr>
              <w:t>Indicate the p</w:t>
            </w:r>
            <w:r w:rsidR="00491899" w:rsidRPr="00D811B3">
              <w:rPr>
                <w:rFonts w:asciiTheme="minorHAnsi" w:eastAsia="Times New Roman" w:hAnsiTheme="minorHAnsi" w:cs="Calibri"/>
                <w:color w:val="000000"/>
                <w:kern w:val="0"/>
                <w:sz w:val="20"/>
                <w:lang w:val="en-IE" w:eastAsia="en-IE"/>
              </w:rPr>
              <w:t>ercentage of group entities that provided reports to the Group AML compliance on Suspicious Transaction Indicates (STRs) during the reference year.</w:t>
            </w:r>
          </w:p>
          <w:p w14:paraId="256FD8E1" w14:textId="77777777" w:rsidR="0052298E" w:rsidRDefault="0052298E" w:rsidP="006075C1">
            <w:pPr>
              <w:spacing w:before="0" w:after="0" w:line="240" w:lineRule="auto"/>
              <w:jc w:val="both"/>
              <w:rPr>
                <w:rFonts w:asciiTheme="minorHAnsi" w:eastAsia="Times New Roman" w:hAnsiTheme="minorHAnsi" w:cs="Calibri"/>
                <w:color w:val="000000"/>
                <w:kern w:val="0"/>
                <w:sz w:val="20"/>
                <w:lang w:val="en-IE" w:eastAsia="en-IE"/>
              </w:rPr>
            </w:pPr>
          </w:p>
          <w:p w14:paraId="139B25D1" w14:textId="77777777" w:rsidR="0052298E" w:rsidRDefault="0052298E" w:rsidP="0052298E">
            <w:pPr>
              <w:spacing w:before="0" w:after="0" w:line="240" w:lineRule="auto"/>
              <w:jc w:val="both"/>
              <w:rPr>
                <w:rFonts w:asciiTheme="minorHAnsi" w:eastAsia="Times New Roman" w:hAnsiTheme="minorHAnsi" w:cs="Calibri"/>
                <w:color w:val="000000"/>
                <w:kern w:val="0"/>
                <w:sz w:val="20"/>
                <w:lang w:val="en-IE" w:eastAsia="en-IE"/>
              </w:rPr>
            </w:pPr>
            <w:r w:rsidRPr="00135B9D">
              <w:rPr>
                <w:rFonts w:asciiTheme="minorHAnsi" w:eastAsia="Times New Roman" w:hAnsiTheme="minorHAnsi" w:cs="Calibri"/>
                <w:color w:val="000000"/>
                <w:kern w:val="0"/>
                <w:sz w:val="20"/>
                <w:u w:val="single"/>
                <w:lang w:val="en-IE" w:eastAsia="en-IE"/>
              </w:rPr>
              <w:t>Examples of information included in such reports (strictly indicative)</w:t>
            </w:r>
            <w:r>
              <w:rPr>
                <w:rFonts w:asciiTheme="minorHAnsi" w:eastAsia="Times New Roman" w:hAnsiTheme="minorHAnsi" w:cs="Calibri"/>
                <w:color w:val="000000"/>
                <w:kern w:val="0"/>
                <w:sz w:val="20"/>
                <w:lang w:val="en-IE" w:eastAsia="en-IE"/>
              </w:rPr>
              <w:t>:</w:t>
            </w:r>
          </w:p>
          <w:p w14:paraId="3A3F77C2" w14:textId="6894FAD2" w:rsidR="0052298E" w:rsidRDefault="00E8197B" w:rsidP="00D20B4B">
            <w:pPr>
              <w:pStyle w:val="ListParagraph"/>
              <w:numPr>
                <w:ilvl w:val="0"/>
                <w:numId w:val="83"/>
              </w:numPr>
              <w:spacing w:before="0" w:after="0" w:line="240" w:lineRule="auto"/>
              <w:jc w:val="both"/>
              <w:rPr>
                <w:rFonts w:asciiTheme="minorHAnsi" w:eastAsia="Times New Roman" w:hAnsiTheme="minorHAnsi" w:cs="Calibri"/>
                <w:color w:val="000000"/>
                <w:kern w:val="0"/>
                <w:sz w:val="20"/>
                <w:lang w:val="en-IE" w:eastAsia="en-IE"/>
              </w:rPr>
            </w:pPr>
            <w:r>
              <w:rPr>
                <w:rFonts w:asciiTheme="minorHAnsi" w:eastAsia="Times New Roman" w:hAnsiTheme="minorHAnsi" w:cs="Calibri"/>
                <w:color w:val="000000"/>
                <w:kern w:val="0"/>
                <w:sz w:val="20"/>
                <w:lang w:val="en-IE" w:eastAsia="en-IE"/>
              </w:rPr>
              <w:t>Number of STRs filed (breakdown by product, business line)</w:t>
            </w:r>
          </w:p>
          <w:p w14:paraId="0F10B7AA" w14:textId="5C808515" w:rsidR="00E8197B" w:rsidRDefault="009B5466" w:rsidP="00D20B4B">
            <w:pPr>
              <w:pStyle w:val="ListParagraph"/>
              <w:numPr>
                <w:ilvl w:val="0"/>
                <w:numId w:val="83"/>
              </w:numPr>
              <w:spacing w:before="0" w:after="0" w:line="240" w:lineRule="auto"/>
              <w:jc w:val="both"/>
              <w:rPr>
                <w:rFonts w:asciiTheme="minorHAnsi" w:eastAsia="Times New Roman" w:hAnsiTheme="minorHAnsi" w:cs="Calibri"/>
                <w:color w:val="000000"/>
                <w:kern w:val="0"/>
                <w:sz w:val="20"/>
                <w:lang w:val="en-IE" w:eastAsia="en-IE"/>
              </w:rPr>
            </w:pPr>
            <w:r>
              <w:rPr>
                <w:rFonts w:asciiTheme="minorHAnsi" w:eastAsia="Times New Roman" w:hAnsiTheme="minorHAnsi" w:cs="Calibri"/>
                <w:color w:val="000000"/>
                <w:kern w:val="0"/>
                <w:sz w:val="20"/>
                <w:lang w:val="en-IE" w:eastAsia="en-IE"/>
              </w:rPr>
              <w:t>Number/% of STRs per origin (</w:t>
            </w:r>
            <w:r w:rsidR="00E00394">
              <w:rPr>
                <w:rFonts w:asciiTheme="minorHAnsi" w:eastAsia="Times New Roman" w:hAnsiTheme="minorHAnsi" w:cs="Calibri"/>
                <w:color w:val="000000"/>
                <w:kern w:val="0"/>
                <w:sz w:val="20"/>
                <w:lang w:val="en-IE" w:eastAsia="en-IE"/>
              </w:rPr>
              <w:t>automated transactions monitoring, manual referrals, audit findings, FIU/law enforcement referrals)</w:t>
            </w:r>
          </w:p>
          <w:p w14:paraId="59194896" w14:textId="5C6D73D1" w:rsidR="00E00394" w:rsidRDefault="00C8084D" w:rsidP="00D20B4B">
            <w:pPr>
              <w:pStyle w:val="ListParagraph"/>
              <w:numPr>
                <w:ilvl w:val="0"/>
                <w:numId w:val="83"/>
              </w:numPr>
              <w:spacing w:before="0" w:after="0" w:line="240" w:lineRule="auto"/>
              <w:jc w:val="both"/>
              <w:rPr>
                <w:rFonts w:asciiTheme="minorHAnsi" w:eastAsia="Times New Roman" w:hAnsiTheme="minorHAnsi" w:cs="Calibri"/>
                <w:color w:val="000000"/>
                <w:kern w:val="0"/>
                <w:sz w:val="20"/>
                <w:lang w:val="en-IE" w:eastAsia="en-IE"/>
              </w:rPr>
            </w:pPr>
            <w:r>
              <w:rPr>
                <w:rFonts w:asciiTheme="minorHAnsi" w:eastAsia="Times New Roman" w:hAnsiTheme="minorHAnsi" w:cs="Calibri"/>
                <w:color w:val="000000"/>
                <w:kern w:val="0"/>
                <w:sz w:val="20"/>
                <w:lang w:val="en-IE" w:eastAsia="en-IE"/>
              </w:rPr>
              <w:t>Average time</w:t>
            </w:r>
            <w:r w:rsidR="00187868">
              <w:rPr>
                <w:rFonts w:asciiTheme="minorHAnsi" w:eastAsia="Times New Roman" w:hAnsiTheme="minorHAnsi" w:cs="Calibri"/>
                <w:color w:val="000000"/>
                <w:kern w:val="0"/>
                <w:sz w:val="20"/>
                <w:lang w:val="en-IE" w:eastAsia="en-IE"/>
              </w:rPr>
              <w:t xml:space="preserve"> from alert generation to STR filing</w:t>
            </w:r>
          </w:p>
          <w:p w14:paraId="7A0B516C" w14:textId="12D43049" w:rsidR="00187868" w:rsidRDefault="00ED1B5E" w:rsidP="00D20B4B">
            <w:pPr>
              <w:pStyle w:val="ListParagraph"/>
              <w:numPr>
                <w:ilvl w:val="0"/>
                <w:numId w:val="83"/>
              </w:numPr>
              <w:spacing w:before="0" w:after="0" w:line="240" w:lineRule="auto"/>
              <w:jc w:val="both"/>
              <w:rPr>
                <w:rFonts w:asciiTheme="minorHAnsi" w:eastAsia="Times New Roman" w:hAnsiTheme="minorHAnsi" w:cs="Calibri"/>
                <w:color w:val="000000"/>
                <w:kern w:val="0"/>
                <w:sz w:val="20"/>
                <w:lang w:val="en-IE" w:eastAsia="en-IE"/>
              </w:rPr>
            </w:pPr>
            <w:r>
              <w:rPr>
                <w:rFonts w:asciiTheme="minorHAnsi" w:eastAsia="Times New Roman" w:hAnsiTheme="minorHAnsi" w:cs="Calibri"/>
                <w:color w:val="000000"/>
                <w:kern w:val="0"/>
                <w:sz w:val="20"/>
                <w:lang w:val="en-IE" w:eastAsia="en-IE"/>
              </w:rPr>
              <w:t>Number/% of late STR filings (period)</w:t>
            </w:r>
          </w:p>
          <w:p w14:paraId="14B81E2F" w14:textId="43A1980F" w:rsidR="00ED1B5E" w:rsidRDefault="00ED1B5E" w:rsidP="00D20B4B">
            <w:pPr>
              <w:pStyle w:val="ListParagraph"/>
              <w:numPr>
                <w:ilvl w:val="0"/>
                <w:numId w:val="83"/>
              </w:numPr>
              <w:spacing w:before="0" w:after="0" w:line="240" w:lineRule="auto"/>
              <w:jc w:val="both"/>
              <w:rPr>
                <w:rFonts w:asciiTheme="minorHAnsi" w:eastAsia="Times New Roman" w:hAnsiTheme="minorHAnsi" w:cs="Calibri"/>
                <w:color w:val="000000"/>
                <w:kern w:val="0"/>
                <w:sz w:val="20"/>
                <w:lang w:val="en-IE" w:eastAsia="en-IE"/>
              </w:rPr>
            </w:pPr>
            <w:r>
              <w:rPr>
                <w:rFonts w:asciiTheme="minorHAnsi" w:eastAsia="Times New Roman" w:hAnsiTheme="minorHAnsi" w:cs="Calibri"/>
                <w:color w:val="000000"/>
                <w:kern w:val="0"/>
                <w:sz w:val="20"/>
                <w:lang w:val="en-IE" w:eastAsia="en-IE"/>
              </w:rPr>
              <w:t xml:space="preserve">STR quality indicators: </w:t>
            </w:r>
          </w:p>
          <w:p w14:paraId="5D15B598" w14:textId="4DFF32F2" w:rsidR="00BD7E05" w:rsidRPr="00DF46ED" w:rsidRDefault="00BD7E05" w:rsidP="00BD7E05">
            <w:pPr>
              <w:pStyle w:val="ListParagraph"/>
              <w:numPr>
                <w:ilvl w:val="1"/>
                <w:numId w:val="83"/>
              </w:numPr>
              <w:spacing w:before="0" w:after="0" w:line="240" w:lineRule="auto"/>
              <w:jc w:val="both"/>
              <w:rPr>
                <w:rFonts w:asciiTheme="minorHAnsi" w:eastAsia="Times New Roman" w:hAnsiTheme="minorHAnsi" w:cs="Calibri"/>
                <w:color w:val="000000"/>
                <w:kern w:val="0"/>
                <w:sz w:val="20"/>
                <w:lang w:val="en-IE" w:eastAsia="en-IE"/>
              </w:rPr>
            </w:pPr>
            <w:r>
              <w:rPr>
                <w:rFonts w:asciiTheme="minorHAnsi" w:eastAsia="Times New Roman" w:hAnsiTheme="minorHAnsi" w:cs="Calibri"/>
                <w:color w:val="000000"/>
                <w:kern w:val="0"/>
                <w:sz w:val="20"/>
                <w:lang w:val="en-IE" w:eastAsia="en-IE"/>
              </w:rPr>
              <w:t>Number/</w:t>
            </w:r>
            <w:r w:rsidRPr="00BD7E05">
              <w:rPr>
                <w:rFonts w:asciiTheme="minorHAnsi" w:eastAsia="Times New Roman" w:hAnsiTheme="minorHAnsi" w:cs="Calibri"/>
                <w:color w:val="000000"/>
                <w:kern w:val="0"/>
                <w:sz w:val="20"/>
                <w:lang w:val="en-IE" w:eastAsia="en-IE"/>
              </w:rPr>
              <w:t>% STRs rejected internally before filing</w:t>
            </w:r>
          </w:p>
          <w:p w14:paraId="6C4D002F" w14:textId="4A5C5C01" w:rsidR="00BD7E05" w:rsidRPr="00DF46ED" w:rsidRDefault="00BD7E05" w:rsidP="00BD7E05">
            <w:pPr>
              <w:pStyle w:val="ListParagraph"/>
              <w:numPr>
                <w:ilvl w:val="1"/>
                <w:numId w:val="83"/>
              </w:numPr>
              <w:spacing w:before="0" w:after="0" w:line="240" w:lineRule="auto"/>
              <w:jc w:val="both"/>
              <w:rPr>
                <w:rFonts w:asciiTheme="minorHAnsi" w:eastAsia="Times New Roman" w:hAnsiTheme="minorHAnsi" w:cs="Calibri"/>
                <w:color w:val="000000"/>
                <w:kern w:val="0"/>
                <w:sz w:val="20"/>
                <w:lang w:val="en-IE" w:eastAsia="en-IE"/>
              </w:rPr>
            </w:pPr>
            <w:r>
              <w:rPr>
                <w:rFonts w:asciiTheme="minorHAnsi" w:eastAsia="Times New Roman" w:hAnsiTheme="minorHAnsi" w:cs="Calibri"/>
                <w:color w:val="000000"/>
                <w:kern w:val="0"/>
                <w:sz w:val="20"/>
                <w:lang w:val="en-IE" w:eastAsia="en-IE"/>
              </w:rPr>
              <w:t>Number/</w:t>
            </w:r>
            <w:r w:rsidRPr="00BD7E05">
              <w:rPr>
                <w:rFonts w:asciiTheme="minorHAnsi" w:eastAsia="Times New Roman" w:hAnsiTheme="minorHAnsi" w:cs="Calibri"/>
                <w:color w:val="000000"/>
                <w:kern w:val="0"/>
                <w:sz w:val="20"/>
                <w:lang w:val="en-IE" w:eastAsia="en-IE"/>
              </w:rPr>
              <w:t>% returned by FIU for additional information</w:t>
            </w:r>
          </w:p>
          <w:p w14:paraId="4893E149" w14:textId="255373A6" w:rsidR="00BD7E05" w:rsidRPr="00DF46ED" w:rsidRDefault="00BD7E05" w:rsidP="00BD7E05">
            <w:pPr>
              <w:pStyle w:val="ListParagraph"/>
              <w:numPr>
                <w:ilvl w:val="1"/>
                <w:numId w:val="83"/>
              </w:numPr>
              <w:spacing w:before="0" w:after="0" w:line="240" w:lineRule="auto"/>
              <w:jc w:val="both"/>
              <w:rPr>
                <w:rFonts w:asciiTheme="minorHAnsi" w:eastAsia="Times New Roman" w:hAnsiTheme="minorHAnsi" w:cs="Calibri"/>
                <w:color w:val="000000"/>
                <w:kern w:val="0"/>
                <w:sz w:val="20"/>
                <w:lang w:val="en-IE" w:eastAsia="en-IE"/>
              </w:rPr>
            </w:pPr>
            <w:r w:rsidRPr="00BD7E05">
              <w:rPr>
                <w:rFonts w:asciiTheme="minorHAnsi" w:eastAsia="Times New Roman" w:hAnsiTheme="minorHAnsi" w:cs="Calibri"/>
                <w:color w:val="000000"/>
                <w:kern w:val="0"/>
                <w:sz w:val="20"/>
                <w:lang w:val="en-IE" w:eastAsia="en-IE"/>
              </w:rPr>
              <w:t>FIU feedback received (positive/negative)</w:t>
            </w:r>
          </w:p>
          <w:p w14:paraId="04E4EFB9" w14:textId="4F42685A" w:rsidR="00BD7E05" w:rsidRPr="00DF46ED" w:rsidRDefault="00BD7E05" w:rsidP="00BD7E05">
            <w:pPr>
              <w:pStyle w:val="ListParagraph"/>
              <w:numPr>
                <w:ilvl w:val="1"/>
                <w:numId w:val="83"/>
              </w:numPr>
              <w:spacing w:before="0" w:after="0" w:line="240" w:lineRule="auto"/>
              <w:jc w:val="both"/>
              <w:rPr>
                <w:rFonts w:asciiTheme="minorHAnsi" w:eastAsia="Times New Roman" w:hAnsiTheme="minorHAnsi" w:cs="Calibri"/>
                <w:color w:val="000000"/>
                <w:kern w:val="0"/>
                <w:sz w:val="20"/>
                <w:lang w:val="en-IE" w:eastAsia="en-IE"/>
              </w:rPr>
            </w:pPr>
            <w:r w:rsidRPr="00BD7E05">
              <w:rPr>
                <w:rFonts w:asciiTheme="minorHAnsi" w:eastAsia="Times New Roman" w:hAnsiTheme="minorHAnsi" w:cs="Calibri"/>
                <w:color w:val="000000"/>
                <w:kern w:val="0"/>
                <w:sz w:val="20"/>
                <w:lang w:val="en-IE" w:eastAsia="en-IE"/>
              </w:rPr>
              <w:t>Follow-up requests from FIU (number)</w:t>
            </w:r>
          </w:p>
          <w:p w14:paraId="33A087EB" w14:textId="5DCD4F44" w:rsidR="00BD7E05" w:rsidRDefault="00BD7E05" w:rsidP="00D20B4B">
            <w:pPr>
              <w:pStyle w:val="ListParagraph"/>
              <w:numPr>
                <w:ilvl w:val="1"/>
                <w:numId w:val="83"/>
              </w:numPr>
              <w:spacing w:before="0" w:after="0" w:line="240" w:lineRule="auto"/>
              <w:jc w:val="both"/>
              <w:rPr>
                <w:rFonts w:asciiTheme="minorHAnsi" w:eastAsia="Times New Roman" w:hAnsiTheme="minorHAnsi" w:cs="Calibri"/>
                <w:color w:val="000000"/>
                <w:kern w:val="0"/>
                <w:sz w:val="20"/>
                <w:lang w:val="en-IE" w:eastAsia="en-IE"/>
              </w:rPr>
            </w:pPr>
            <w:r w:rsidRPr="00BD7E05">
              <w:rPr>
                <w:rFonts w:asciiTheme="minorHAnsi" w:eastAsia="Times New Roman" w:hAnsiTheme="minorHAnsi" w:cs="Calibri"/>
                <w:color w:val="000000"/>
                <w:kern w:val="0"/>
                <w:sz w:val="20"/>
                <w:lang w:val="en-IE" w:eastAsia="en-IE"/>
              </w:rPr>
              <w:t>STRs linked to confirmed investigations (if known)</w:t>
            </w:r>
          </w:p>
          <w:p w14:paraId="350E9B43" w14:textId="5AC2BDEC" w:rsidR="009564D0" w:rsidRDefault="009564D0" w:rsidP="00D20B4B">
            <w:pPr>
              <w:pStyle w:val="ListParagraph"/>
              <w:numPr>
                <w:ilvl w:val="0"/>
                <w:numId w:val="83"/>
              </w:numPr>
              <w:spacing w:before="0" w:after="0" w:line="240" w:lineRule="auto"/>
              <w:jc w:val="both"/>
              <w:rPr>
                <w:rFonts w:asciiTheme="minorHAnsi" w:eastAsia="Times New Roman" w:hAnsiTheme="minorHAnsi" w:cs="Calibri"/>
                <w:color w:val="000000"/>
                <w:kern w:val="0"/>
                <w:sz w:val="20"/>
                <w:lang w:val="en-IE" w:eastAsia="en-IE"/>
              </w:rPr>
            </w:pPr>
            <w:r>
              <w:rPr>
                <w:rFonts w:asciiTheme="minorHAnsi" w:eastAsia="Times New Roman" w:hAnsiTheme="minorHAnsi" w:cs="Calibri"/>
                <w:color w:val="000000"/>
                <w:kern w:val="0"/>
                <w:sz w:val="20"/>
                <w:lang w:val="en-IE" w:eastAsia="en-IE"/>
              </w:rPr>
              <w:t xml:space="preserve">STRs risk breakdown (% linked to HR customers, PEPs, </w:t>
            </w:r>
            <w:r w:rsidR="000867BD">
              <w:rPr>
                <w:rFonts w:asciiTheme="minorHAnsi" w:eastAsia="Times New Roman" w:hAnsiTheme="minorHAnsi" w:cs="Calibri"/>
                <w:color w:val="000000"/>
                <w:kern w:val="0"/>
                <w:sz w:val="20"/>
                <w:lang w:val="en-IE" w:eastAsia="en-IE"/>
              </w:rPr>
              <w:t>HR jurisdictions, complex corporate structures etc.)</w:t>
            </w:r>
          </w:p>
          <w:p w14:paraId="0FE504DB" w14:textId="2CFFDAF9" w:rsidR="000867BD" w:rsidRDefault="000867BD" w:rsidP="00D20B4B">
            <w:pPr>
              <w:pStyle w:val="ListParagraph"/>
              <w:numPr>
                <w:ilvl w:val="0"/>
                <w:numId w:val="83"/>
              </w:numPr>
              <w:spacing w:before="0" w:after="0" w:line="240" w:lineRule="auto"/>
              <w:jc w:val="both"/>
              <w:rPr>
                <w:rFonts w:asciiTheme="minorHAnsi" w:eastAsia="Times New Roman" w:hAnsiTheme="minorHAnsi" w:cs="Calibri"/>
                <w:color w:val="000000"/>
                <w:kern w:val="0"/>
                <w:sz w:val="20"/>
                <w:lang w:val="en-IE" w:eastAsia="en-IE"/>
              </w:rPr>
            </w:pPr>
            <w:r>
              <w:rPr>
                <w:rFonts w:asciiTheme="minorHAnsi" w:eastAsia="Times New Roman" w:hAnsiTheme="minorHAnsi" w:cs="Calibri"/>
                <w:color w:val="000000"/>
                <w:kern w:val="0"/>
                <w:sz w:val="20"/>
                <w:lang w:val="en-IE" w:eastAsia="en-IE"/>
              </w:rPr>
              <w:t>STRs</w:t>
            </w:r>
            <w:r w:rsidR="00CE29ED">
              <w:rPr>
                <w:rFonts w:asciiTheme="minorHAnsi" w:eastAsia="Times New Roman" w:hAnsiTheme="minorHAnsi" w:cs="Calibri"/>
                <w:color w:val="000000"/>
                <w:kern w:val="0"/>
                <w:sz w:val="20"/>
                <w:lang w:val="en-IE" w:eastAsia="en-IE"/>
              </w:rPr>
              <w:t xml:space="preserve"> breakdown by underlying offense </w:t>
            </w:r>
          </w:p>
          <w:p w14:paraId="18D8A0A2" w14:textId="49CC5E84" w:rsidR="001E07EC" w:rsidRPr="00DF46ED" w:rsidRDefault="00D95586" w:rsidP="00DF46ED">
            <w:pPr>
              <w:pStyle w:val="ListParagraph"/>
              <w:numPr>
                <w:ilvl w:val="0"/>
                <w:numId w:val="83"/>
              </w:numPr>
              <w:spacing w:before="0" w:after="0" w:line="240" w:lineRule="auto"/>
              <w:jc w:val="both"/>
              <w:rPr>
                <w:rFonts w:asciiTheme="minorHAnsi" w:eastAsia="Times New Roman" w:hAnsiTheme="minorHAnsi" w:cs="Calibri"/>
                <w:color w:val="000000"/>
                <w:kern w:val="0"/>
                <w:sz w:val="20"/>
                <w:lang w:val="en-IE" w:eastAsia="en-IE"/>
              </w:rPr>
            </w:pPr>
            <w:r>
              <w:rPr>
                <w:rFonts w:asciiTheme="minorHAnsi" w:eastAsia="Times New Roman" w:hAnsiTheme="minorHAnsi" w:cs="Calibri"/>
                <w:color w:val="000000"/>
                <w:kern w:val="0"/>
                <w:sz w:val="20"/>
                <w:lang w:val="en-IE" w:eastAsia="en-IE"/>
              </w:rPr>
              <w:t>Customers reported by several group entities.</w:t>
            </w:r>
          </w:p>
          <w:p w14:paraId="7CBB4223" w14:textId="5E9F83FA" w:rsidR="00C02420" w:rsidRPr="00866CED" w:rsidRDefault="00C02420" w:rsidP="006075C1">
            <w:pPr>
              <w:spacing w:before="0" w:after="0" w:line="240" w:lineRule="auto"/>
              <w:jc w:val="both"/>
              <w:rPr>
                <w:rFonts w:asciiTheme="minorHAnsi" w:eastAsia="Times New Roman" w:hAnsiTheme="minorHAnsi" w:cs="Calibri"/>
                <w:b/>
                <w:bCs/>
                <w:color w:val="000000"/>
                <w:kern w:val="0"/>
                <w:sz w:val="20"/>
                <w:u w:val="single"/>
                <w:lang w:val="en-IE" w:eastAsia="en-IE"/>
              </w:rPr>
            </w:pPr>
          </w:p>
        </w:tc>
      </w:tr>
      <w:tr w:rsidR="008D532F" w:rsidRPr="009B282E" w14:paraId="3A8431AF" w14:textId="77777777" w:rsidTr="4EE85BFC">
        <w:tc>
          <w:tcPr>
            <w:tcW w:w="1673" w:type="dxa"/>
            <w:tcBorders>
              <w:top w:val="single" w:sz="4" w:space="0" w:color="auto"/>
              <w:left w:val="single" w:sz="4" w:space="0" w:color="auto"/>
              <w:bottom w:val="single" w:sz="4" w:space="0" w:color="auto"/>
              <w:right w:val="single" w:sz="4" w:space="0" w:color="auto"/>
            </w:tcBorders>
            <w:vAlign w:val="center"/>
          </w:tcPr>
          <w:p w14:paraId="0C5C9561" w14:textId="60C29127" w:rsidR="008D532F" w:rsidRPr="009275BC" w:rsidRDefault="00A05752" w:rsidP="00F32516">
            <w:pPr>
              <w:pStyle w:val="InstructionsText"/>
              <w:rPr>
                <w:rStyle w:val="FormatvorlageInstructionsTabelleText"/>
                <w:rFonts w:asciiTheme="minorHAnsi" w:hAnsiTheme="minorHAnsi"/>
              </w:rPr>
            </w:pPr>
            <w:r w:rsidRPr="00A70B3F">
              <w:t>C0040</w:t>
            </w:r>
          </w:p>
        </w:tc>
        <w:tc>
          <w:tcPr>
            <w:tcW w:w="76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ACE2E0" w14:textId="163FC070" w:rsidR="00491899" w:rsidRDefault="00491899" w:rsidP="006075C1">
            <w:pPr>
              <w:spacing w:before="0" w:after="0" w:line="240" w:lineRule="auto"/>
              <w:jc w:val="both"/>
              <w:rPr>
                <w:rFonts w:asciiTheme="minorHAnsi" w:eastAsia="Times New Roman" w:hAnsiTheme="minorHAnsi" w:cs="Calibri"/>
                <w:b/>
                <w:bCs/>
                <w:color w:val="000000"/>
                <w:kern w:val="0"/>
                <w:sz w:val="20"/>
                <w:u w:val="single"/>
                <w:lang w:val="en-IE" w:eastAsia="en-IE"/>
              </w:rPr>
            </w:pPr>
            <w:r w:rsidRPr="00491899">
              <w:rPr>
                <w:rFonts w:asciiTheme="minorHAnsi" w:eastAsia="Times New Roman" w:hAnsiTheme="minorHAnsi" w:cs="Calibri"/>
                <w:b/>
                <w:bCs/>
                <w:color w:val="000000"/>
                <w:kern w:val="0"/>
                <w:sz w:val="20"/>
                <w:u w:val="single"/>
                <w:lang w:val="en-IE" w:eastAsia="en-IE"/>
              </w:rPr>
              <w:t>Group Reporting - Group Entities Reporting on Identity and Transaction</w:t>
            </w:r>
            <w:r w:rsidR="009F477D">
              <w:rPr>
                <w:rFonts w:asciiTheme="minorHAnsi" w:eastAsia="Times New Roman" w:hAnsiTheme="minorHAnsi" w:cs="Calibri"/>
                <w:b/>
                <w:bCs/>
                <w:color w:val="000000"/>
                <w:kern w:val="0"/>
                <w:sz w:val="20"/>
                <w:u w:val="single"/>
                <w:lang w:val="en-IE" w:eastAsia="en-IE"/>
              </w:rPr>
              <w:t>-</w:t>
            </w:r>
            <w:r w:rsidR="00235871">
              <w:rPr>
                <w:rFonts w:asciiTheme="minorHAnsi" w:eastAsia="Times New Roman" w:hAnsiTheme="minorHAnsi" w:cs="Calibri"/>
                <w:b/>
                <w:bCs/>
                <w:color w:val="000000"/>
                <w:kern w:val="0"/>
                <w:sz w:val="20"/>
                <w:u w:val="single"/>
                <w:lang w:val="en-IE" w:eastAsia="en-IE"/>
              </w:rPr>
              <w:t>l</w:t>
            </w:r>
            <w:r w:rsidRPr="00491899">
              <w:rPr>
                <w:rFonts w:asciiTheme="minorHAnsi" w:eastAsia="Times New Roman" w:hAnsiTheme="minorHAnsi" w:cs="Calibri"/>
                <w:b/>
                <w:bCs/>
                <w:color w:val="000000"/>
                <w:kern w:val="0"/>
                <w:sz w:val="20"/>
                <w:u w:val="single"/>
                <w:lang w:val="en-IE" w:eastAsia="en-IE"/>
              </w:rPr>
              <w:t>evel Information on High</w:t>
            </w:r>
            <w:r w:rsidR="009F477D">
              <w:rPr>
                <w:rFonts w:asciiTheme="minorHAnsi" w:eastAsia="Times New Roman" w:hAnsiTheme="minorHAnsi" w:cs="Calibri"/>
                <w:b/>
                <w:bCs/>
                <w:color w:val="000000"/>
                <w:kern w:val="0"/>
                <w:sz w:val="20"/>
                <w:u w:val="single"/>
                <w:lang w:val="en-IE" w:eastAsia="en-IE"/>
              </w:rPr>
              <w:t>-</w:t>
            </w:r>
            <w:r w:rsidRPr="00491899">
              <w:rPr>
                <w:rFonts w:asciiTheme="minorHAnsi" w:eastAsia="Times New Roman" w:hAnsiTheme="minorHAnsi" w:cs="Calibri"/>
                <w:b/>
                <w:bCs/>
                <w:color w:val="000000"/>
                <w:kern w:val="0"/>
                <w:sz w:val="20"/>
                <w:u w:val="single"/>
                <w:lang w:val="en-IE" w:eastAsia="en-IE"/>
              </w:rPr>
              <w:t>risk Customers</w:t>
            </w:r>
          </w:p>
          <w:p w14:paraId="06D265F0" w14:textId="77777777" w:rsidR="00491899" w:rsidRDefault="00491899" w:rsidP="00E63431">
            <w:pPr>
              <w:spacing w:before="0" w:after="0" w:line="240" w:lineRule="auto"/>
              <w:jc w:val="both"/>
              <w:rPr>
                <w:rFonts w:asciiTheme="minorHAnsi" w:eastAsia="Times New Roman" w:hAnsiTheme="minorHAnsi" w:cs="Calibri"/>
                <w:b/>
                <w:bCs/>
                <w:color w:val="000000"/>
                <w:kern w:val="0"/>
                <w:sz w:val="20"/>
                <w:u w:val="single"/>
                <w:lang w:val="en-IE" w:eastAsia="en-IE"/>
              </w:rPr>
            </w:pPr>
          </w:p>
          <w:p w14:paraId="3DAA7343" w14:textId="37C2018F" w:rsidR="00491899" w:rsidRPr="008903EA" w:rsidRDefault="00235871" w:rsidP="00E63431">
            <w:pPr>
              <w:spacing w:before="0" w:after="0" w:line="240" w:lineRule="auto"/>
              <w:jc w:val="both"/>
              <w:rPr>
                <w:rFonts w:asciiTheme="minorHAnsi" w:eastAsia="Times New Roman" w:hAnsiTheme="minorHAnsi" w:cs="Calibri"/>
                <w:color w:val="000000"/>
                <w:kern w:val="0"/>
                <w:sz w:val="20"/>
                <w:lang w:val="en-IE" w:eastAsia="en-IE"/>
              </w:rPr>
            </w:pPr>
            <w:r>
              <w:rPr>
                <w:rFonts w:asciiTheme="minorHAnsi" w:eastAsia="Times New Roman" w:hAnsiTheme="minorHAnsi" w:cs="Calibri"/>
                <w:color w:val="000000"/>
                <w:kern w:val="0"/>
                <w:sz w:val="20"/>
                <w:lang w:val="en-IE" w:eastAsia="en-IE"/>
              </w:rPr>
              <w:t>Indicate the p</w:t>
            </w:r>
            <w:r w:rsidR="00491899" w:rsidRPr="008903EA">
              <w:rPr>
                <w:rFonts w:asciiTheme="minorHAnsi" w:eastAsia="Times New Roman" w:hAnsiTheme="minorHAnsi" w:cs="Calibri"/>
                <w:color w:val="000000"/>
                <w:kern w:val="0"/>
                <w:sz w:val="20"/>
                <w:lang w:val="en-IE" w:eastAsia="en-IE"/>
              </w:rPr>
              <w:t>ercentage of group entities that provided reports to the Group AML compliance on identity and transaction</w:t>
            </w:r>
            <w:r w:rsidR="00810FC7" w:rsidRPr="008903EA">
              <w:rPr>
                <w:rFonts w:asciiTheme="minorHAnsi" w:eastAsia="Times New Roman" w:hAnsiTheme="minorHAnsi" w:cs="Calibri"/>
                <w:color w:val="000000"/>
                <w:kern w:val="0"/>
                <w:sz w:val="20"/>
                <w:lang w:val="en-IE" w:eastAsia="en-IE"/>
              </w:rPr>
              <w:t>-</w:t>
            </w:r>
            <w:r w:rsidR="00491899" w:rsidRPr="008903EA">
              <w:rPr>
                <w:rFonts w:asciiTheme="minorHAnsi" w:eastAsia="Times New Roman" w:hAnsiTheme="minorHAnsi" w:cs="Calibri"/>
                <w:color w:val="000000"/>
                <w:kern w:val="0"/>
                <w:sz w:val="20"/>
                <w:lang w:val="en-IE" w:eastAsia="en-IE"/>
              </w:rPr>
              <w:t>level information on high</w:t>
            </w:r>
            <w:r w:rsidR="00810FC7" w:rsidRPr="008903EA">
              <w:rPr>
                <w:rFonts w:asciiTheme="minorHAnsi" w:eastAsia="Times New Roman" w:hAnsiTheme="minorHAnsi" w:cs="Calibri"/>
                <w:color w:val="000000"/>
                <w:kern w:val="0"/>
                <w:sz w:val="20"/>
                <w:lang w:val="en-IE" w:eastAsia="en-IE"/>
              </w:rPr>
              <w:t>-</w:t>
            </w:r>
            <w:r w:rsidR="00491899" w:rsidRPr="008903EA">
              <w:rPr>
                <w:rFonts w:asciiTheme="minorHAnsi" w:eastAsia="Times New Roman" w:hAnsiTheme="minorHAnsi" w:cs="Calibri"/>
                <w:color w:val="000000"/>
                <w:kern w:val="0"/>
                <w:sz w:val="20"/>
                <w:lang w:val="en-IE" w:eastAsia="en-IE"/>
              </w:rPr>
              <w:t>risk customers during the reference year.</w:t>
            </w:r>
          </w:p>
          <w:p w14:paraId="1393263D" w14:textId="77777777" w:rsidR="00121023" w:rsidRDefault="00121023" w:rsidP="00E63431">
            <w:pPr>
              <w:spacing w:before="0" w:after="0" w:line="240" w:lineRule="auto"/>
              <w:jc w:val="both"/>
              <w:rPr>
                <w:rFonts w:asciiTheme="minorHAnsi" w:eastAsia="Times New Roman" w:hAnsiTheme="minorHAnsi" w:cs="Calibri"/>
                <w:color w:val="000000"/>
                <w:kern w:val="0"/>
                <w:sz w:val="20"/>
                <w:lang w:val="en-IE" w:eastAsia="en-IE"/>
              </w:rPr>
            </w:pPr>
          </w:p>
          <w:p w14:paraId="56DB6A27" w14:textId="1B2C2A7B" w:rsidR="00107996" w:rsidRPr="00866CED" w:rsidRDefault="00D96D5C" w:rsidP="00E63431">
            <w:pPr>
              <w:spacing w:before="0" w:after="0" w:line="240" w:lineRule="auto"/>
              <w:jc w:val="both"/>
              <w:rPr>
                <w:rFonts w:asciiTheme="minorHAnsi" w:eastAsia="Times New Roman" w:hAnsiTheme="minorHAnsi" w:cs="Calibri"/>
                <w:b/>
                <w:bCs/>
                <w:color w:val="000000"/>
                <w:kern w:val="0"/>
                <w:sz w:val="20"/>
                <w:u w:val="single"/>
                <w:lang w:val="en-IE" w:eastAsia="en-IE"/>
              </w:rPr>
            </w:pPr>
            <w:r>
              <w:rPr>
                <w:rFonts w:asciiTheme="minorHAnsi" w:eastAsia="Times New Roman" w:hAnsiTheme="minorHAnsi" w:cs="Calibri"/>
                <w:color w:val="000000"/>
                <w:kern w:val="0"/>
                <w:sz w:val="20"/>
                <w:lang w:val="en-IE" w:eastAsia="en-IE"/>
              </w:rPr>
              <w:t xml:space="preserve">This datapoint </w:t>
            </w:r>
            <w:r w:rsidR="00AE0A20">
              <w:rPr>
                <w:rFonts w:asciiTheme="minorHAnsi" w:eastAsia="Times New Roman" w:hAnsiTheme="minorHAnsi" w:cs="Calibri"/>
                <w:color w:val="000000"/>
                <w:kern w:val="0"/>
                <w:sz w:val="20"/>
                <w:lang w:val="en-IE" w:eastAsia="en-IE"/>
              </w:rPr>
              <w:t xml:space="preserve">should reflect </w:t>
            </w:r>
            <w:r>
              <w:rPr>
                <w:rFonts w:asciiTheme="minorHAnsi" w:eastAsia="Times New Roman" w:hAnsiTheme="minorHAnsi" w:cs="Calibri"/>
                <w:color w:val="000000"/>
                <w:kern w:val="0"/>
                <w:sz w:val="20"/>
                <w:lang w:val="en-IE" w:eastAsia="en-IE"/>
              </w:rPr>
              <w:t xml:space="preserve">the </w:t>
            </w:r>
            <w:r w:rsidR="00C26E8D">
              <w:rPr>
                <w:rFonts w:asciiTheme="minorHAnsi" w:eastAsia="Times New Roman" w:hAnsiTheme="minorHAnsi" w:cs="Calibri"/>
                <w:color w:val="000000"/>
                <w:kern w:val="0"/>
                <w:sz w:val="20"/>
                <w:lang w:val="en-IE" w:eastAsia="en-IE"/>
              </w:rPr>
              <w:t xml:space="preserve">sharing </w:t>
            </w:r>
            <w:r>
              <w:rPr>
                <w:rFonts w:asciiTheme="minorHAnsi" w:eastAsia="Times New Roman" w:hAnsiTheme="minorHAnsi" w:cs="Calibri"/>
                <w:color w:val="000000"/>
                <w:kern w:val="0"/>
                <w:sz w:val="20"/>
                <w:lang w:val="en-IE" w:eastAsia="en-IE"/>
              </w:rPr>
              <w:t xml:space="preserve">of information related to </w:t>
            </w:r>
            <w:r w:rsidR="00AE0A20">
              <w:rPr>
                <w:rFonts w:asciiTheme="minorHAnsi" w:eastAsia="Times New Roman" w:hAnsiTheme="minorHAnsi" w:cs="Calibri"/>
                <w:color w:val="000000"/>
                <w:kern w:val="0"/>
                <w:sz w:val="20"/>
                <w:lang w:val="en-IE" w:eastAsia="en-IE"/>
              </w:rPr>
              <w:t xml:space="preserve">specific </w:t>
            </w:r>
            <w:r>
              <w:rPr>
                <w:rFonts w:asciiTheme="minorHAnsi" w:eastAsia="Times New Roman" w:hAnsiTheme="minorHAnsi" w:cs="Calibri"/>
                <w:color w:val="000000"/>
                <w:kern w:val="0"/>
                <w:sz w:val="20"/>
                <w:lang w:val="en-IE" w:eastAsia="en-IE"/>
              </w:rPr>
              <w:t xml:space="preserve">individual customers or specific transactions from one group entity or local AML functions to the </w:t>
            </w:r>
            <w:r w:rsidR="000C56E4">
              <w:rPr>
                <w:rFonts w:asciiTheme="minorHAnsi" w:eastAsia="Times New Roman" w:hAnsiTheme="minorHAnsi" w:cs="Calibri"/>
                <w:color w:val="000000"/>
                <w:kern w:val="0"/>
                <w:sz w:val="20"/>
                <w:lang w:val="en-IE" w:eastAsia="en-IE"/>
              </w:rPr>
              <w:t xml:space="preserve">group compliance function </w:t>
            </w:r>
            <w:r w:rsidR="00C26E8D">
              <w:rPr>
                <w:rFonts w:asciiTheme="minorHAnsi" w:eastAsia="Times New Roman" w:hAnsiTheme="minorHAnsi" w:cs="Calibri"/>
                <w:color w:val="000000"/>
                <w:kern w:val="0"/>
                <w:sz w:val="20"/>
                <w:lang w:val="en-IE" w:eastAsia="en-IE"/>
              </w:rPr>
              <w:t xml:space="preserve">(e.g. </w:t>
            </w:r>
            <w:r w:rsidR="000C56E4">
              <w:rPr>
                <w:rFonts w:asciiTheme="minorHAnsi" w:eastAsia="Times New Roman" w:hAnsiTheme="minorHAnsi" w:cs="Calibri"/>
                <w:color w:val="000000"/>
                <w:kern w:val="0"/>
                <w:sz w:val="20"/>
                <w:lang w:val="en-IE" w:eastAsia="en-IE"/>
              </w:rPr>
              <w:t>for the purpose of further group-wide investigations</w:t>
            </w:r>
            <w:r w:rsidR="00647047">
              <w:rPr>
                <w:rFonts w:asciiTheme="minorHAnsi" w:eastAsia="Times New Roman" w:hAnsiTheme="minorHAnsi" w:cs="Calibri"/>
                <w:color w:val="000000"/>
                <w:kern w:val="0"/>
                <w:sz w:val="20"/>
                <w:lang w:val="en-IE" w:eastAsia="en-IE"/>
              </w:rPr>
              <w:t>).</w:t>
            </w:r>
          </w:p>
        </w:tc>
      </w:tr>
      <w:tr w:rsidR="008D532F" w:rsidRPr="009B282E" w14:paraId="663A52F4" w14:textId="77777777" w:rsidTr="4EE85BFC">
        <w:tc>
          <w:tcPr>
            <w:tcW w:w="1673" w:type="dxa"/>
            <w:tcBorders>
              <w:top w:val="single" w:sz="4" w:space="0" w:color="auto"/>
              <w:left w:val="single" w:sz="4" w:space="0" w:color="auto"/>
              <w:bottom w:val="single" w:sz="4" w:space="0" w:color="auto"/>
              <w:right w:val="single" w:sz="4" w:space="0" w:color="auto"/>
            </w:tcBorders>
            <w:vAlign w:val="center"/>
          </w:tcPr>
          <w:p w14:paraId="477437B8" w14:textId="23477749" w:rsidR="008D532F" w:rsidRPr="009275BC" w:rsidRDefault="00A05752" w:rsidP="00F32516">
            <w:pPr>
              <w:pStyle w:val="InstructionsText"/>
              <w:rPr>
                <w:rStyle w:val="FormatvorlageInstructionsTabelleText"/>
                <w:rFonts w:asciiTheme="minorHAnsi" w:hAnsiTheme="minorHAnsi"/>
              </w:rPr>
            </w:pPr>
            <w:r w:rsidRPr="00A70B3F">
              <w:t>C0050</w:t>
            </w:r>
          </w:p>
        </w:tc>
        <w:tc>
          <w:tcPr>
            <w:tcW w:w="76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BEAEFD" w14:textId="77777777" w:rsidR="00491899" w:rsidRDefault="00491899" w:rsidP="006075C1">
            <w:pPr>
              <w:spacing w:before="0" w:after="0" w:line="240" w:lineRule="auto"/>
              <w:jc w:val="both"/>
              <w:rPr>
                <w:rFonts w:asciiTheme="minorHAnsi" w:eastAsia="Times New Roman" w:hAnsiTheme="minorHAnsi" w:cs="Calibri"/>
                <w:b/>
                <w:bCs/>
                <w:color w:val="000000"/>
                <w:kern w:val="0"/>
                <w:sz w:val="20"/>
                <w:u w:val="single"/>
                <w:lang w:val="en-IE" w:eastAsia="en-IE"/>
              </w:rPr>
            </w:pPr>
            <w:r w:rsidRPr="00041D1A">
              <w:rPr>
                <w:rFonts w:ascii="Aptos" w:eastAsia="Times New Roman" w:hAnsi="Aptos" w:cs="Calibri"/>
                <w:b/>
                <w:bCs/>
                <w:color w:val="000000"/>
                <w:kern w:val="0"/>
                <w:sz w:val="20"/>
                <w:u w:val="single"/>
                <w:lang w:val="en-IE" w:eastAsia="en-IE"/>
              </w:rPr>
              <w:t>Group Reporting - Group Entities Reporting on Deficiencies</w:t>
            </w:r>
          </w:p>
          <w:p w14:paraId="36C1A611" w14:textId="4F149C58" w:rsidR="006746FD" w:rsidRPr="00866CED" w:rsidRDefault="006746FD" w:rsidP="006075C1">
            <w:pPr>
              <w:spacing w:before="0" w:after="0" w:line="240" w:lineRule="auto"/>
              <w:jc w:val="both"/>
              <w:rPr>
                <w:rFonts w:asciiTheme="minorHAnsi" w:eastAsia="Times New Roman" w:hAnsiTheme="minorHAnsi" w:cs="Calibri"/>
                <w:b/>
                <w:bCs/>
                <w:color w:val="000000"/>
                <w:kern w:val="0"/>
                <w:sz w:val="20"/>
                <w:u w:val="single"/>
                <w:lang w:val="en-IE" w:eastAsia="en-IE"/>
              </w:rPr>
            </w:pPr>
          </w:p>
          <w:p w14:paraId="5CC6A7D6" w14:textId="1A6A4B2F" w:rsidR="00491899" w:rsidRPr="00202685" w:rsidRDefault="00302B43" w:rsidP="00E63431">
            <w:pPr>
              <w:spacing w:before="0" w:after="0" w:line="240" w:lineRule="auto"/>
              <w:jc w:val="both"/>
              <w:rPr>
                <w:rFonts w:asciiTheme="minorHAnsi" w:eastAsia="Times New Roman" w:hAnsiTheme="minorHAnsi" w:cs="Calibri"/>
                <w:color w:val="000000"/>
                <w:kern w:val="0"/>
                <w:sz w:val="20"/>
                <w:lang w:val="en-IE" w:eastAsia="en-IE"/>
              </w:rPr>
            </w:pPr>
            <w:r w:rsidRPr="00202685">
              <w:rPr>
                <w:rFonts w:asciiTheme="minorHAnsi" w:eastAsia="Times New Roman" w:hAnsiTheme="minorHAnsi" w:cs="Calibri"/>
                <w:color w:val="000000"/>
                <w:kern w:val="0"/>
                <w:sz w:val="20"/>
                <w:lang w:val="en-IE" w:eastAsia="en-IE"/>
              </w:rPr>
              <w:t>Indicate the p</w:t>
            </w:r>
            <w:r w:rsidR="00491899" w:rsidRPr="00202685">
              <w:rPr>
                <w:rFonts w:asciiTheme="minorHAnsi" w:eastAsia="Times New Roman" w:hAnsiTheme="minorHAnsi" w:cs="Calibri"/>
                <w:color w:val="000000"/>
                <w:kern w:val="0"/>
                <w:sz w:val="20"/>
                <w:lang w:val="en-IE" w:eastAsia="en-IE"/>
              </w:rPr>
              <w:t>ercentage of group entities that provided reports to the Group AML compliance on deficiencies during the reference year.</w:t>
            </w:r>
          </w:p>
          <w:p w14:paraId="508A570C" w14:textId="1838F974" w:rsidR="006746FD" w:rsidRPr="00866CED" w:rsidRDefault="006746FD" w:rsidP="00E63431">
            <w:pPr>
              <w:spacing w:before="0" w:after="0" w:line="240" w:lineRule="auto"/>
              <w:jc w:val="both"/>
              <w:rPr>
                <w:rFonts w:asciiTheme="minorHAnsi" w:eastAsia="Times New Roman" w:hAnsiTheme="minorHAnsi" w:cs="Calibri"/>
                <w:b/>
                <w:bCs/>
                <w:color w:val="000000"/>
                <w:kern w:val="0"/>
                <w:sz w:val="20"/>
                <w:u w:val="single"/>
                <w:lang w:val="en-IE" w:eastAsia="en-IE"/>
              </w:rPr>
            </w:pPr>
          </w:p>
        </w:tc>
      </w:tr>
      <w:tr w:rsidR="005E211E" w:rsidRPr="009B282E" w14:paraId="0DFF945B" w14:textId="77777777" w:rsidTr="4EE85BFC">
        <w:tc>
          <w:tcPr>
            <w:tcW w:w="1673" w:type="dxa"/>
            <w:tcBorders>
              <w:top w:val="single" w:sz="4" w:space="0" w:color="auto"/>
              <w:left w:val="single" w:sz="4" w:space="0" w:color="auto"/>
              <w:bottom w:val="single" w:sz="4" w:space="0" w:color="auto"/>
              <w:right w:val="single" w:sz="4" w:space="0" w:color="auto"/>
            </w:tcBorders>
            <w:vAlign w:val="center"/>
          </w:tcPr>
          <w:p w14:paraId="703BE638" w14:textId="6FBDC608" w:rsidR="001C4A14" w:rsidRPr="009275BC" w:rsidRDefault="00A05752" w:rsidP="00F32516">
            <w:pPr>
              <w:pStyle w:val="InstructionsText"/>
              <w:rPr>
                <w:rStyle w:val="FormatvorlageInstructionsTabelleText"/>
                <w:rFonts w:asciiTheme="minorHAnsi" w:hAnsiTheme="minorHAnsi"/>
              </w:rPr>
            </w:pPr>
            <w:r w:rsidRPr="00A70B3F">
              <w:t>C0060</w:t>
            </w:r>
          </w:p>
        </w:tc>
        <w:tc>
          <w:tcPr>
            <w:tcW w:w="7616" w:type="dxa"/>
            <w:tcBorders>
              <w:top w:val="nil"/>
              <w:left w:val="single" w:sz="4" w:space="0" w:color="000000" w:themeColor="text1"/>
              <w:bottom w:val="single" w:sz="4" w:space="0" w:color="000000" w:themeColor="text1"/>
              <w:right w:val="single" w:sz="4" w:space="0" w:color="000000" w:themeColor="text1"/>
            </w:tcBorders>
            <w:vAlign w:val="center"/>
          </w:tcPr>
          <w:p w14:paraId="43355A4A" w14:textId="779AA3C8" w:rsidR="00491899" w:rsidRDefault="00491899" w:rsidP="006075C1">
            <w:pPr>
              <w:spacing w:before="0" w:after="0" w:line="240" w:lineRule="auto"/>
              <w:jc w:val="both"/>
              <w:rPr>
                <w:rFonts w:asciiTheme="minorHAnsi" w:eastAsia="Times New Roman" w:hAnsiTheme="minorHAnsi" w:cs="Calibri"/>
                <w:b/>
                <w:bCs/>
                <w:color w:val="000000"/>
                <w:kern w:val="0"/>
                <w:sz w:val="20"/>
                <w:u w:val="single"/>
                <w:lang w:val="en-IE" w:eastAsia="en-IE"/>
              </w:rPr>
            </w:pPr>
            <w:r w:rsidRPr="00F866A3">
              <w:rPr>
                <w:rFonts w:ascii="Aptos" w:eastAsia="Times New Roman" w:hAnsi="Aptos" w:cs="Calibri"/>
                <w:b/>
                <w:bCs/>
                <w:color w:val="000000"/>
                <w:kern w:val="0"/>
                <w:sz w:val="20"/>
                <w:u w:val="single"/>
                <w:lang w:val="en-IE" w:eastAsia="en-IE"/>
              </w:rPr>
              <w:t xml:space="preserve">Group Reporting - Jurisdictions </w:t>
            </w:r>
            <w:r w:rsidR="00F7604A">
              <w:rPr>
                <w:rFonts w:ascii="Aptos" w:eastAsia="Times New Roman" w:hAnsi="Aptos" w:cs="Calibri"/>
                <w:b/>
                <w:bCs/>
                <w:color w:val="000000"/>
                <w:kern w:val="0"/>
                <w:sz w:val="20"/>
                <w:u w:val="single"/>
                <w:lang w:val="en-IE" w:eastAsia="en-IE"/>
              </w:rPr>
              <w:t>subject to</w:t>
            </w:r>
            <w:r w:rsidRPr="00F866A3">
              <w:rPr>
                <w:rFonts w:ascii="Aptos" w:eastAsia="Times New Roman" w:hAnsi="Aptos" w:cs="Calibri"/>
                <w:b/>
                <w:bCs/>
                <w:color w:val="000000"/>
                <w:kern w:val="0"/>
                <w:sz w:val="20"/>
                <w:u w:val="single"/>
                <w:lang w:val="en-IE" w:eastAsia="en-IE"/>
              </w:rPr>
              <w:t xml:space="preserve"> Compliance Reviews</w:t>
            </w:r>
          </w:p>
          <w:p w14:paraId="2F405A4C" w14:textId="4C21AEA2" w:rsidR="00322395" w:rsidRDefault="00322395" w:rsidP="006075C1">
            <w:pPr>
              <w:spacing w:before="0" w:after="0" w:line="240" w:lineRule="auto"/>
              <w:jc w:val="both"/>
              <w:rPr>
                <w:rFonts w:asciiTheme="minorHAnsi" w:eastAsia="Times New Roman" w:hAnsiTheme="minorHAnsi" w:cs="Calibri"/>
                <w:b/>
                <w:bCs/>
                <w:color w:val="000000"/>
                <w:kern w:val="0"/>
                <w:sz w:val="20"/>
                <w:u w:val="single"/>
                <w:lang w:val="en-IE" w:eastAsia="en-IE"/>
              </w:rPr>
            </w:pPr>
          </w:p>
          <w:p w14:paraId="09952848" w14:textId="4A78622F" w:rsidR="00491899" w:rsidRDefault="00496F1C" w:rsidP="004570D0">
            <w:pPr>
              <w:spacing w:before="0" w:after="0" w:line="240" w:lineRule="auto"/>
              <w:jc w:val="both"/>
              <w:rPr>
                <w:rFonts w:asciiTheme="minorHAnsi" w:eastAsia="Times New Roman" w:hAnsiTheme="minorHAnsi" w:cs="Calibri"/>
                <w:color w:val="000000"/>
                <w:kern w:val="0"/>
                <w:sz w:val="20"/>
                <w:lang w:val="en-IE" w:eastAsia="en-IE"/>
              </w:rPr>
            </w:pPr>
            <w:r w:rsidRPr="00107514">
              <w:rPr>
                <w:rFonts w:asciiTheme="minorHAnsi" w:eastAsia="Times New Roman" w:hAnsiTheme="minorHAnsi" w:cs="Calibri"/>
                <w:color w:val="000000"/>
                <w:kern w:val="0"/>
                <w:sz w:val="20"/>
                <w:lang w:val="en-IE" w:eastAsia="en-IE"/>
              </w:rPr>
              <w:t xml:space="preserve">Indicate the percentage of jurisdictions </w:t>
            </w:r>
            <w:r w:rsidR="00491899">
              <w:rPr>
                <w:rFonts w:asciiTheme="minorHAnsi" w:eastAsia="Times New Roman" w:hAnsiTheme="minorHAnsi" w:cs="Calibri"/>
                <w:color w:val="000000"/>
                <w:kern w:val="0"/>
                <w:sz w:val="20"/>
                <w:lang w:val="en-IE" w:eastAsia="en-IE"/>
              </w:rPr>
              <w:t xml:space="preserve">in which the group is established </w:t>
            </w:r>
            <w:r w:rsidR="00152955">
              <w:rPr>
                <w:rFonts w:asciiTheme="minorHAnsi" w:eastAsia="Times New Roman" w:hAnsiTheme="minorHAnsi" w:cs="Calibri"/>
                <w:color w:val="000000"/>
                <w:kern w:val="0"/>
                <w:sz w:val="20"/>
                <w:lang w:val="en-IE" w:eastAsia="en-IE"/>
              </w:rPr>
              <w:t>which were subject to</w:t>
            </w:r>
            <w:r w:rsidR="00491899">
              <w:rPr>
                <w:rFonts w:asciiTheme="minorHAnsi" w:eastAsia="Times New Roman" w:hAnsiTheme="minorHAnsi" w:cs="Calibri"/>
                <w:color w:val="000000"/>
                <w:kern w:val="0"/>
                <w:sz w:val="20"/>
                <w:lang w:val="en-IE" w:eastAsia="en-IE"/>
              </w:rPr>
              <w:t xml:space="preserve"> reviews (including access to customer and transaction level data) performed by the group AML/CFT compliance function </w:t>
            </w:r>
            <w:r w:rsidR="00F7604A" w:rsidRPr="00F7604A">
              <w:rPr>
                <w:rFonts w:asciiTheme="minorHAnsi" w:eastAsia="Times New Roman" w:hAnsiTheme="minorHAnsi" w:cs="Calibri"/>
                <w:color w:val="000000"/>
                <w:kern w:val="0"/>
                <w:sz w:val="20"/>
                <w:lang w:val="en-IE" w:eastAsia="en-IE"/>
              </w:rPr>
              <w:t>during the three-year period comprising the reference year and the two preceding calendar years</w:t>
            </w:r>
            <w:r w:rsidR="00281961">
              <w:rPr>
                <w:rFonts w:asciiTheme="minorHAnsi" w:eastAsia="Times New Roman" w:hAnsiTheme="minorHAnsi" w:cs="Calibri"/>
                <w:color w:val="000000"/>
                <w:kern w:val="0"/>
                <w:sz w:val="20"/>
                <w:lang w:val="en-IE" w:eastAsia="en-IE"/>
              </w:rPr>
              <w:t>.</w:t>
            </w:r>
            <w:r w:rsidR="00491899">
              <w:rPr>
                <w:rFonts w:asciiTheme="minorHAnsi" w:eastAsia="Times New Roman" w:hAnsiTheme="minorHAnsi" w:cs="Calibri"/>
                <w:color w:val="000000"/>
                <w:kern w:val="0"/>
                <w:sz w:val="20"/>
                <w:lang w:val="en-IE" w:eastAsia="en-IE"/>
              </w:rPr>
              <w:t xml:space="preserve"> </w:t>
            </w:r>
          </w:p>
          <w:p w14:paraId="6349CCB2" w14:textId="77777777" w:rsidR="0042210D" w:rsidRDefault="0042210D" w:rsidP="004570D0">
            <w:pPr>
              <w:spacing w:before="0" w:after="0" w:line="240" w:lineRule="auto"/>
              <w:jc w:val="both"/>
              <w:rPr>
                <w:rFonts w:asciiTheme="minorHAnsi" w:eastAsia="Times New Roman" w:hAnsiTheme="minorHAnsi" w:cs="Calibri"/>
                <w:color w:val="000000"/>
                <w:kern w:val="0"/>
                <w:sz w:val="20"/>
                <w:lang w:val="en-IE" w:eastAsia="en-IE"/>
              </w:rPr>
            </w:pPr>
          </w:p>
          <w:p w14:paraId="6D94D5DD" w14:textId="77777777" w:rsidR="00491899" w:rsidRDefault="00491899" w:rsidP="004570D0">
            <w:pPr>
              <w:spacing w:before="0" w:after="0" w:line="240" w:lineRule="auto"/>
              <w:jc w:val="both"/>
              <w:rPr>
                <w:rFonts w:asciiTheme="minorHAnsi" w:eastAsia="Times New Roman" w:hAnsiTheme="minorHAnsi" w:cs="Calibri"/>
                <w:color w:val="000000"/>
                <w:kern w:val="0"/>
                <w:sz w:val="20"/>
                <w:lang w:val="en-IE" w:eastAsia="en-IE"/>
              </w:rPr>
            </w:pPr>
            <w:r>
              <w:rPr>
                <w:rFonts w:asciiTheme="minorHAnsi" w:eastAsia="Times New Roman" w:hAnsiTheme="minorHAnsi" w:cs="Calibri"/>
                <w:color w:val="000000"/>
                <w:kern w:val="0"/>
                <w:sz w:val="20"/>
                <w:lang w:val="en-IE" w:eastAsia="en-IE"/>
              </w:rPr>
              <w:t xml:space="preserve">In case a compliance review covered multiple jurisdictions, these jurisdictions should be considered in assessing the percentage. </w:t>
            </w:r>
          </w:p>
          <w:p w14:paraId="7A526A3F" w14:textId="77777777" w:rsidR="0042210D" w:rsidRDefault="0042210D" w:rsidP="004570D0">
            <w:pPr>
              <w:spacing w:before="0" w:after="0" w:line="240" w:lineRule="auto"/>
              <w:jc w:val="both"/>
              <w:rPr>
                <w:rFonts w:asciiTheme="minorHAnsi" w:eastAsia="Times New Roman" w:hAnsiTheme="minorHAnsi" w:cs="Calibri"/>
                <w:color w:val="000000"/>
                <w:kern w:val="0"/>
                <w:sz w:val="20"/>
                <w:lang w:val="en-IE" w:eastAsia="en-IE"/>
              </w:rPr>
            </w:pPr>
          </w:p>
          <w:p w14:paraId="44FBE150" w14:textId="71A4406A" w:rsidR="00322395" w:rsidRPr="00866CED" w:rsidRDefault="00491899" w:rsidP="004570D0">
            <w:pPr>
              <w:spacing w:before="0" w:after="0" w:line="240" w:lineRule="auto"/>
              <w:jc w:val="both"/>
              <w:rPr>
                <w:rFonts w:asciiTheme="minorHAnsi" w:eastAsia="Times New Roman" w:hAnsiTheme="minorHAnsi" w:cs="Calibri"/>
                <w:color w:val="000000"/>
                <w:kern w:val="0"/>
                <w:sz w:val="20"/>
                <w:lang w:val="en-IE" w:eastAsia="en-IE"/>
              </w:rPr>
            </w:pPr>
            <w:r>
              <w:rPr>
                <w:rFonts w:asciiTheme="minorHAnsi" w:eastAsia="Times New Roman" w:hAnsiTheme="minorHAnsi" w:cs="Calibri"/>
                <w:color w:val="000000"/>
                <w:kern w:val="0"/>
                <w:sz w:val="20"/>
                <w:lang w:val="en-IE" w:eastAsia="en-IE"/>
              </w:rPr>
              <w:t xml:space="preserve">Applies only </w:t>
            </w:r>
            <w:r w:rsidR="005B4D4E">
              <w:rPr>
                <w:rFonts w:asciiTheme="minorHAnsi" w:eastAsia="Times New Roman" w:hAnsiTheme="minorHAnsi" w:cs="Calibri"/>
                <w:color w:val="000000"/>
                <w:kern w:val="0"/>
                <w:sz w:val="20"/>
                <w:lang w:val="en-IE" w:eastAsia="en-IE"/>
              </w:rPr>
              <w:t>t</w:t>
            </w:r>
            <w:r w:rsidR="00E84C8E" w:rsidRPr="005B4D4E">
              <w:rPr>
                <w:rFonts w:asciiTheme="minorHAnsi" w:eastAsia="Times New Roman" w:hAnsiTheme="minorHAnsi" w:cs="Calibri"/>
                <w:color w:val="000000"/>
                <w:kern w:val="0"/>
                <w:sz w:val="20"/>
                <w:lang w:val="en-IE" w:eastAsia="en-IE"/>
              </w:rPr>
              <w:t>o groups that have been existing before the start of the three-year period comprising the reference year and the two preceding calendar years.</w:t>
            </w:r>
          </w:p>
        </w:tc>
      </w:tr>
      <w:tr w:rsidR="005E211E" w:rsidRPr="009B282E" w14:paraId="4EF8C452" w14:textId="77777777" w:rsidTr="4EE85BFC">
        <w:tc>
          <w:tcPr>
            <w:tcW w:w="1673" w:type="dxa"/>
            <w:tcBorders>
              <w:top w:val="single" w:sz="4" w:space="0" w:color="auto"/>
              <w:left w:val="single" w:sz="4" w:space="0" w:color="auto"/>
              <w:bottom w:val="single" w:sz="4" w:space="0" w:color="auto"/>
              <w:right w:val="single" w:sz="4" w:space="0" w:color="auto"/>
            </w:tcBorders>
            <w:vAlign w:val="center"/>
          </w:tcPr>
          <w:p w14:paraId="6D5C9A0E" w14:textId="5E63253A" w:rsidR="008A3640" w:rsidRPr="009275BC" w:rsidRDefault="00A05752" w:rsidP="00F32516">
            <w:pPr>
              <w:pStyle w:val="InstructionsText"/>
              <w:rPr>
                <w:rStyle w:val="FormatvorlageInstructionsTabelleText"/>
                <w:rFonts w:asciiTheme="minorHAnsi" w:hAnsiTheme="minorHAnsi"/>
              </w:rPr>
            </w:pPr>
            <w:r w:rsidRPr="00A70B3F">
              <w:t>C0070</w:t>
            </w:r>
          </w:p>
        </w:tc>
        <w:tc>
          <w:tcPr>
            <w:tcW w:w="7616" w:type="dxa"/>
            <w:tcBorders>
              <w:top w:val="nil"/>
              <w:left w:val="single" w:sz="4" w:space="0" w:color="000000" w:themeColor="text1"/>
              <w:bottom w:val="single" w:sz="4" w:space="0" w:color="000000" w:themeColor="text1"/>
              <w:right w:val="single" w:sz="4" w:space="0" w:color="000000" w:themeColor="text1"/>
            </w:tcBorders>
            <w:vAlign w:val="center"/>
          </w:tcPr>
          <w:p w14:paraId="30011532" w14:textId="1572B454" w:rsidR="00491899" w:rsidRDefault="00491899" w:rsidP="00467A83">
            <w:pPr>
              <w:spacing w:before="0" w:after="0" w:line="240" w:lineRule="auto"/>
              <w:jc w:val="both"/>
              <w:rPr>
                <w:rFonts w:asciiTheme="minorHAnsi" w:eastAsia="Times New Roman" w:hAnsiTheme="minorHAnsi" w:cs="Calibri"/>
                <w:b/>
                <w:bCs/>
                <w:color w:val="000000"/>
                <w:kern w:val="0"/>
                <w:sz w:val="20"/>
                <w:u w:val="single"/>
                <w:lang w:val="en-IE" w:eastAsia="en-IE"/>
              </w:rPr>
            </w:pPr>
            <w:r w:rsidRPr="00107514">
              <w:rPr>
                <w:rFonts w:ascii="Aptos" w:eastAsia="Times New Roman" w:hAnsi="Aptos" w:cs="Calibri"/>
                <w:b/>
                <w:bCs/>
                <w:color w:val="000000"/>
                <w:kern w:val="0"/>
                <w:sz w:val="20"/>
                <w:u w:val="single"/>
                <w:lang w:val="en-IE" w:eastAsia="en-IE"/>
              </w:rPr>
              <w:t>Group Entities with Deficiencies (</w:t>
            </w:r>
            <w:r w:rsidR="000E01C4">
              <w:rPr>
                <w:rFonts w:ascii="Aptos" w:eastAsia="Times New Roman" w:hAnsi="Aptos" w:cs="Calibri"/>
                <w:b/>
                <w:bCs/>
                <w:color w:val="000000"/>
                <w:kern w:val="0"/>
                <w:sz w:val="20"/>
                <w:u w:val="single"/>
                <w:lang w:val="en-IE" w:eastAsia="en-IE"/>
              </w:rPr>
              <w:t xml:space="preserve">within </w:t>
            </w:r>
            <w:r w:rsidRPr="00107514">
              <w:rPr>
                <w:rFonts w:ascii="Aptos" w:eastAsia="Times New Roman" w:hAnsi="Aptos" w:cs="Calibri"/>
                <w:b/>
                <w:bCs/>
                <w:color w:val="000000"/>
                <w:kern w:val="0"/>
                <w:sz w:val="20"/>
                <w:u w:val="single"/>
                <w:lang w:val="en-IE" w:eastAsia="en-IE"/>
              </w:rPr>
              <w:t>EU/EEA)</w:t>
            </w:r>
          </w:p>
          <w:p w14:paraId="0587904C" w14:textId="0B895EA8" w:rsidR="00E566D9" w:rsidRPr="00866CED" w:rsidRDefault="00E566D9" w:rsidP="00467A83">
            <w:pPr>
              <w:spacing w:before="0" w:after="0" w:line="240" w:lineRule="auto"/>
              <w:jc w:val="both"/>
              <w:rPr>
                <w:rFonts w:asciiTheme="minorHAnsi" w:eastAsia="Times New Roman" w:hAnsiTheme="minorHAnsi" w:cs="Calibri"/>
                <w:b/>
                <w:bCs/>
                <w:color w:val="000000"/>
                <w:kern w:val="0"/>
                <w:sz w:val="20"/>
                <w:u w:val="single"/>
                <w:lang w:val="en-IE" w:eastAsia="en-IE"/>
              </w:rPr>
            </w:pPr>
          </w:p>
          <w:p w14:paraId="66A36936" w14:textId="21E1362E" w:rsidR="00491899" w:rsidRDefault="000E01C4" w:rsidP="00467A83">
            <w:pPr>
              <w:spacing w:before="0" w:after="0" w:line="240" w:lineRule="auto"/>
              <w:jc w:val="both"/>
              <w:rPr>
                <w:rFonts w:asciiTheme="minorHAnsi" w:eastAsia="Times New Roman" w:hAnsiTheme="minorHAnsi" w:cs="Calibri"/>
                <w:color w:val="000000"/>
                <w:kern w:val="0"/>
                <w:sz w:val="20"/>
                <w:lang w:val="en-IE" w:eastAsia="en-IE"/>
              </w:rPr>
            </w:pPr>
            <w:r>
              <w:rPr>
                <w:rFonts w:asciiTheme="minorHAnsi" w:eastAsia="Times New Roman" w:hAnsiTheme="minorHAnsi" w:cs="Calibri"/>
                <w:color w:val="000000"/>
                <w:kern w:val="0"/>
                <w:sz w:val="20"/>
                <w:lang w:val="en-IE" w:eastAsia="en-IE"/>
              </w:rPr>
              <w:t xml:space="preserve">Indicate the number </w:t>
            </w:r>
            <w:r w:rsidR="00491899">
              <w:rPr>
                <w:rFonts w:asciiTheme="minorHAnsi" w:eastAsia="Times New Roman" w:hAnsiTheme="minorHAnsi" w:cs="Calibri"/>
                <w:color w:val="000000"/>
                <w:kern w:val="0"/>
                <w:sz w:val="20"/>
                <w:lang w:val="en-IE" w:eastAsia="en-IE"/>
              </w:rPr>
              <w:t xml:space="preserve">of group entities in the EU/EEA for which deficiencies were identified by competent AML/CFT supervisors during the reference year. </w:t>
            </w:r>
          </w:p>
          <w:p w14:paraId="3820A939" w14:textId="77777777" w:rsidR="00491899" w:rsidRDefault="00491899" w:rsidP="00467A83">
            <w:pPr>
              <w:spacing w:before="0" w:after="0" w:line="240" w:lineRule="auto"/>
              <w:jc w:val="both"/>
              <w:rPr>
                <w:rFonts w:asciiTheme="minorHAnsi" w:eastAsia="Times New Roman" w:hAnsiTheme="minorHAnsi" w:cs="Calibri"/>
                <w:color w:val="000000"/>
                <w:kern w:val="0"/>
                <w:sz w:val="20"/>
                <w:lang w:val="en-IE" w:eastAsia="en-IE"/>
              </w:rPr>
            </w:pPr>
            <w:r>
              <w:rPr>
                <w:rFonts w:asciiTheme="minorHAnsi" w:eastAsia="Times New Roman" w:hAnsiTheme="minorHAnsi" w:cs="Calibri"/>
                <w:color w:val="000000"/>
                <w:kern w:val="0"/>
                <w:sz w:val="20"/>
                <w:lang w:val="en-IE" w:eastAsia="en-IE"/>
              </w:rPr>
              <w:t>This includes (but is not restricted to) AML/CFT control deficiencies mentioned in written compliance briefings, written warnings, and administrative sanctions such as an order subject to penalty or an administrative fine.</w:t>
            </w:r>
          </w:p>
          <w:p w14:paraId="148F0D2A" w14:textId="24825C6E" w:rsidR="009D3ACB" w:rsidRPr="00866CED" w:rsidRDefault="009D3ACB" w:rsidP="00467A83">
            <w:pPr>
              <w:spacing w:before="0" w:after="0" w:line="240" w:lineRule="auto"/>
              <w:jc w:val="both"/>
              <w:rPr>
                <w:rFonts w:asciiTheme="minorHAnsi" w:eastAsia="Times New Roman" w:hAnsiTheme="minorHAnsi" w:cs="Calibri"/>
                <w:color w:val="000000"/>
                <w:kern w:val="0"/>
                <w:sz w:val="20"/>
                <w:lang w:val="en-IE" w:eastAsia="en-IE"/>
              </w:rPr>
            </w:pPr>
          </w:p>
        </w:tc>
      </w:tr>
      <w:tr w:rsidR="005E211E" w:rsidRPr="009B282E" w14:paraId="394F0B1C" w14:textId="77777777" w:rsidTr="4EE85BFC">
        <w:tc>
          <w:tcPr>
            <w:tcW w:w="1673" w:type="dxa"/>
            <w:tcBorders>
              <w:top w:val="single" w:sz="4" w:space="0" w:color="auto"/>
              <w:left w:val="single" w:sz="4" w:space="0" w:color="auto"/>
              <w:bottom w:val="single" w:sz="4" w:space="0" w:color="auto"/>
              <w:right w:val="single" w:sz="4" w:space="0" w:color="auto"/>
            </w:tcBorders>
            <w:vAlign w:val="center"/>
          </w:tcPr>
          <w:p w14:paraId="48162AB6" w14:textId="1225B797" w:rsidR="008A3640" w:rsidRPr="009275BC" w:rsidRDefault="00A05752" w:rsidP="00F32516">
            <w:pPr>
              <w:pStyle w:val="InstructionsText"/>
              <w:rPr>
                <w:rStyle w:val="FormatvorlageInstructionsTabelleText"/>
                <w:rFonts w:asciiTheme="minorHAnsi" w:hAnsiTheme="minorHAnsi"/>
              </w:rPr>
            </w:pPr>
            <w:r w:rsidRPr="00A70B3F">
              <w:t>C0080</w:t>
            </w:r>
          </w:p>
        </w:tc>
        <w:tc>
          <w:tcPr>
            <w:tcW w:w="7616" w:type="dxa"/>
            <w:tcBorders>
              <w:top w:val="nil"/>
              <w:left w:val="single" w:sz="4" w:space="0" w:color="000000" w:themeColor="text1"/>
              <w:bottom w:val="single" w:sz="4" w:space="0" w:color="000000" w:themeColor="text1"/>
              <w:right w:val="single" w:sz="4" w:space="0" w:color="000000" w:themeColor="text1"/>
            </w:tcBorders>
            <w:vAlign w:val="center"/>
          </w:tcPr>
          <w:p w14:paraId="655C63B1" w14:textId="62F2905A" w:rsidR="00491899" w:rsidRDefault="00491899" w:rsidP="00467A83">
            <w:pPr>
              <w:spacing w:before="0" w:after="0" w:line="240" w:lineRule="auto"/>
              <w:jc w:val="both"/>
              <w:rPr>
                <w:rFonts w:asciiTheme="minorHAnsi" w:eastAsia="Times New Roman" w:hAnsiTheme="minorHAnsi" w:cs="Calibri"/>
                <w:b/>
                <w:bCs/>
                <w:color w:val="000000"/>
                <w:kern w:val="0"/>
                <w:sz w:val="20"/>
                <w:u w:val="single"/>
                <w:lang w:val="en-IE" w:eastAsia="en-IE"/>
              </w:rPr>
            </w:pPr>
            <w:r w:rsidRPr="009D1738">
              <w:rPr>
                <w:rFonts w:ascii="Aptos" w:eastAsia="Times New Roman" w:hAnsi="Aptos" w:cs="Calibri"/>
                <w:b/>
                <w:bCs/>
                <w:color w:val="000000"/>
                <w:kern w:val="0"/>
                <w:sz w:val="20"/>
                <w:u w:val="single"/>
                <w:lang w:val="en-IE" w:eastAsia="en-IE"/>
              </w:rPr>
              <w:t>Group Entities with Deficiencies (</w:t>
            </w:r>
            <w:r w:rsidR="00CA162E">
              <w:rPr>
                <w:rFonts w:ascii="Aptos" w:eastAsia="Times New Roman" w:hAnsi="Aptos" w:cs="Calibri"/>
                <w:b/>
                <w:bCs/>
                <w:color w:val="000000"/>
                <w:kern w:val="0"/>
                <w:sz w:val="20"/>
                <w:u w:val="single"/>
                <w:lang w:val="en-IE" w:eastAsia="en-IE"/>
              </w:rPr>
              <w:t xml:space="preserve">outside </w:t>
            </w:r>
            <w:r w:rsidRPr="005709AE">
              <w:rPr>
                <w:rFonts w:ascii="Aptos" w:eastAsia="Times New Roman" w:hAnsi="Aptos" w:cs="Calibri"/>
                <w:b/>
                <w:bCs/>
                <w:color w:val="000000"/>
                <w:kern w:val="0"/>
                <w:sz w:val="20"/>
                <w:u w:val="single"/>
                <w:lang w:val="en-IE" w:eastAsia="en-IE"/>
              </w:rPr>
              <w:t>EU/EEA)</w:t>
            </w:r>
          </w:p>
          <w:p w14:paraId="3C3610B9" w14:textId="5808D190" w:rsidR="004A6DFF" w:rsidRPr="00866CED" w:rsidRDefault="004A6DFF" w:rsidP="00467A83">
            <w:pPr>
              <w:spacing w:before="0" w:after="0" w:line="240" w:lineRule="auto"/>
              <w:jc w:val="both"/>
              <w:rPr>
                <w:rFonts w:asciiTheme="minorHAnsi" w:eastAsia="Times New Roman" w:hAnsiTheme="minorHAnsi" w:cs="Calibri"/>
                <w:b/>
                <w:bCs/>
                <w:color w:val="000000"/>
                <w:kern w:val="0"/>
                <w:sz w:val="20"/>
                <w:u w:val="single"/>
                <w:lang w:val="en-IE" w:eastAsia="en-IE"/>
              </w:rPr>
            </w:pPr>
          </w:p>
          <w:p w14:paraId="31DF6B47" w14:textId="1F2BE13C" w:rsidR="00491899" w:rsidRPr="009D1738" w:rsidRDefault="000E01C4" w:rsidP="00386B80">
            <w:pPr>
              <w:spacing w:before="0" w:after="0" w:line="240" w:lineRule="auto"/>
              <w:jc w:val="both"/>
              <w:rPr>
                <w:rFonts w:asciiTheme="minorHAnsi" w:eastAsia="Times New Roman" w:hAnsiTheme="minorHAnsi" w:cs="Calibri"/>
                <w:color w:val="000000"/>
                <w:kern w:val="0"/>
                <w:sz w:val="20"/>
                <w:lang w:val="en-IE" w:eastAsia="en-IE"/>
              </w:rPr>
            </w:pPr>
            <w:r>
              <w:rPr>
                <w:rFonts w:asciiTheme="minorHAnsi" w:eastAsia="Times New Roman" w:hAnsiTheme="minorHAnsi" w:cs="Calibri"/>
                <w:color w:val="000000"/>
                <w:kern w:val="0"/>
                <w:sz w:val="20"/>
                <w:lang w:val="en-IE" w:eastAsia="en-IE"/>
              </w:rPr>
              <w:t>Indicate the n</w:t>
            </w:r>
            <w:r w:rsidR="00491899" w:rsidRPr="009D1738">
              <w:rPr>
                <w:rFonts w:asciiTheme="minorHAnsi" w:eastAsia="Times New Roman" w:hAnsiTheme="minorHAnsi" w:cs="Calibri"/>
                <w:color w:val="000000"/>
                <w:kern w:val="0"/>
                <w:sz w:val="20"/>
                <w:lang w:val="en-IE" w:eastAsia="en-IE"/>
              </w:rPr>
              <w:t>umber of group entities outside the EU/EEA for which deficiencies were identified by competent AML/</w:t>
            </w:r>
            <w:r>
              <w:rPr>
                <w:rFonts w:asciiTheme="minorHAnsi" w:eastAsia="Times New Roman" w:hAnsiTheme="minorHAnsi" w:cs="Calibri"/>
                <w:color w:val="000000"/>
                <w:kern w:val="0"/>
                <w:sz w:val="20"/>
                <w:lang w:val="en-IE" w:eastAsia="en-IE"/>
              </w:rPr>
              <w:t>C</w:t>
            </w:r>
            <w:r w:rsidR="00491899" w:rsidRPr="009D1738">
              <w:rPr>
                <w:rFonts w:asciiTheme="minorHAnsi" w:eastAsia="Times New Roman" w:hAnsiTheme="minorHAnsi" w:cs="Calibri"/>
                <w:color w:val="000000"/>
                <w:kern w:val="0"/>
                <w:sz w:val="20"/>
                <w:lang w:val="en-IE" w:eastAsia="en-IE"/>
              </w:rPr>
              <w:t xml:space="preserve">FT supervisors during the reference year. </w:t>
            </w:r>
          </w:p>
          <w:p w14:paraId="116DB79A" w14:textId="77777777" w:rsidR="000E01C4" w:rsidRDefault="000E01C4" w:rsidP="00386B80">
            <w:pPr>
              <w:spacing w:before="0" w:after="0" w:line="240" w:lineRule="auto"/>
              <w:jc w:val="both"/>
              <w:rPr>
                <w:rFonts w:asciiTheme="minorHAnsi" w:eastAsia="Times New Roman" w:hAnsiTheme="minorHAnsi" w:cs="Calibri"/>
                <w:color w:val="000000"/>
                <w:kern w:val="0"/>
                <w:sz w:val="20"/>
                <w:lang w:val="en-IE" w:eastAsia="en-IE"/>
              </w:rPr>
            </w:pPr>
          </w:p>
          <w:p w14:paraId="01F092CF" w14:textId="606B5A22" w:rsidR="00491899" w:rsidRPr="009D1738" w:rsidRDefault="00491899" w:rsidP="00386B80">
            <w:pPr>
              <w:spacing w:before="0" w:after="0" w:line="240" w:lineRule="auto"/>
              <w:jc w:val="both"/>
              <w:rPr>
                <w:rFonts w:asciiTheme="minorHAnsi" w:eastAsia="Times New Roman" w:hAnsiTheme="minorHAnsi" w:cs="Calibri"/>
                <w:color w:val="000000"/>
                <w:kern w:val="0"/>
                <w:sz w:val="20"/>
                <w:lang w:val="en-IE" w:eastAsia="en-IE"/>
              </w:rPr>
            </w:pPr>
            <w:r w:rsidRPr="009D1738">
              <w:rPr>
                <w:rFonts w:asciiTheme="minorHAnsi" w:eastAsia="Times New Roman" w:hAnsiTheme="minorHAnsi" w:cs="Calibri"/>
                <w:color w:val="000000"/>
                <w:kern w:val="0"/>
                <w:sz w:val="20"/>
                <w:lang w:val="en-IE" w:eastAsia="en-IE"/>
              </w:rPr>
              <w:t>This includes (but is not restricted to) AML/CFT control deficiencies mentioned in written compliance briefings, written warnings, and administrative sanctions such as an order subject to penalty or an administrative fine.</w:t>
            </w:r>
          </w:p>
          <w:p w14:paraId="15715ED0" w14:textId="6A3803A4" w:rsidR="00386B80" w:rsidRPr="00866CED" w:rsidRDefault="00386B80" w:rsidP="00386B80">
            <w:pPr>
              <w:spacing w:before="0" w:after="0" w:line="240" w:lineRule="auto"/>
              <w:jc w:val="both"/>
              <w:rPr>
                <w:rFonts w:asciiTheme="minorHAnsi" w:eastAsia="Times New Roman" w:hAnsiTheme="minorHAnsi" w:cs="Calibri"/>
                <w:b/>
                <w:bCs/>
                <w:color w:val="000000"/>
                <w:kern w:val="0"/>
                <w:sz w:val="20"/>
                <w:u w:val="single"/>
                <w:lang w:val="en-IE" w:eastAsia="en-IE"/>
              </w:rPr>
            </w:pPr>
          </w:p>
        </w:tc>
      </w:tr>
    </w:tbl>
    <w:p w14:paraId="3A7AB9B1" w14:textId="7B70F470" w:rsidR="0A121112" w:rsidRDefault="0A121112" w:rsidP="0A121112">
      <w:pPr>
        <w:rPr>
          <w:rFonts w:asciiTheme="minorHAnsi" w:hAnsiTheme="minorHAnsi"/>
        </w:rPr>
      </w:pPr>
    </w:p>
    <w:p w14:paraId="4F0A31F0" w14:textId="3FEF21EF" w:rsidR="0A121112" w:rsidRDefault="0A121112">
      <w:r>
        <w:br w:type="page"/>
      </w:r>
    </w:p>
    <w:p w14:paraId="2D40550F" w14:textId="5B79466D" w:rsidR="00F17C1D" w:rsidRPr="00624C6F" w:rsidRDefault="6A4A0974" w:rsidP="00A82529">
      <w:pPr>
        <w:pStyle w:val="Heading1"/>
        <w:numPr>
          <w:ilvl w:val="0"/>
          <w:numId w:val="0"/>
        </w:numPr>
        <w:jc w:val="both"/>
        <w:rPr>
          <w:rFonts w:asciiTheme="minorHAnsi" w:hAnsiTheme="minorHAnsi"/>
          <w:lang w:val="en-GB"/>
        </w:rPr>
      </w:pPr>
      <w:bookmarkStart w:id="324" w:name="_Toc223104873"/>
      <w:r w:rsidRPr="00624C6F">
        <w:rPr>
          <w:rFonts w:asciiTheme="minorHAnsi" w:hAnsiTheme="minorHAnsi"/>
          <w:lang w:val="en-GB"/>
        </w:rPr>
        <w:t>Annex 1</w:t>
      </w:r>
      <w:r w:rsidR="00A82529">
        <w:rPr>
          <w:rFonts w:asciiTheme="minorHAnsi" w:hAnsiTheme="minorHAnsi"/>
          <w:lang w:val="en-GB"/>
        </w:rPr>
        <w:t xml:space="preserve"> R</w:t>
      </w:r>
      <w:r w:rsidRPr="00624C6F">
        <w:rPr>
          <w:rFonts w:asciiTheme="minorHAnsi" w:hAnsiTheme="minorHAnsi"/>
          <w:lang w:val="en-GB"/>
        </w:rPr>
        <w:t>eference table data points</w:t>
      </w:r>
      <w:r w:rsidR="00284080">
        <w:rPr>
          <w:rFonts w:asciiTheme="minorHAnsi" w:hAnsiTheme="minorHAnsi"/>
          <w:lang w:val="en-GB"/>
        </w:rPr>
        <w:t xml:space="preserve"> /</w:t>
      </w:r>
      <w:r w:rsidR="00162DD2">
        <w:rPr>
          <w:rFonts w:asciiTheme="minorHAnsi" w:hAnsiTheme="minorHAnsi"/>
          <w:lang w:val="en-GB"/>
        </w:rPr>
        <w:t xml:space="preserve"> </w:t>
      </w:r>
      <w:r w:rsidRPr="00624C6F">
        <w:rPr>
          <w:rFonts w:asciiTheme="minorHAnsi" w:hAnsiTheme="minorHAnsi"/>
          <w:lang w:val="en-GB"/>
        </w:rPr>
        <w:t>labels</w:t>
      </w:r>
      <w:bookmarkEnd w:id="324"/>
    </w:p>
    <w:tbl>
      <w:tblPr>
        <w:tblW w:w="9918" w:type="dxa"/>
        <w:tblLook w:val="04A0" w:firstRow="1" w:lastRow="0" w:firstColumn="1" w:lastColumn="0" w:noHBand="0" w:noVBand="1"/>
      </w:tblPr>
      <w:tblGrid>
        <w:gridCol w:w="1290"/>
        <w:gridCol w:w="1500"/>
        <w:gridCol w:w="2308"/>
        <w:gridCol w:w="2694"/>
        <w:gridCol w:w="850"/>
        <w:gridCol w:w="1276"/>
      </w:tblGrid>
      <w:tr w:rsidR="0051795D" w:rsidRPr="0051795D" w14:paraId="609D0FEE" w14:textId="77777777" w:rsidTr="00513763">
        <w:trPr>
          <w:trHeight w:val="930"/>
        </w:trPr>
        <w:tc>
          <w:tcPr>
            <w:tcW w:w="1290" w:type="dxa"/>
            <w:tcBorders>
              <w:top w:val="single" w:sz="4" w:space="0" w:color="auto"/>
              <w:left w:val="single" w:sz="4" w:space="0" w:color="auto"/>
              <w:bottom w:val="single" w:sz="4" w:space="0" w:color="auto"/>
              <w:right w:val="single" w:sz="4" w:space="0" w:color="auto"/>
            </w:tcBorders>
            <w:shd w:val="clear" w:color="000000" w:fill="000099"/>
            <w:vAlign w:val="center"/>
            <w:hideMark/>
          </w:tcPr>
          <w:p w14:paraId="2785A4DE" w14:textId="77777777" w:rsidR="0051795D" w:rsidRPr="0051795D" w:rsidRDefault="0051795D" w:rsidP="0051795D">
            <w:pPr>
              <w:spacing w:before="0" w:after="0" w:line="240" w:lineRule="auto"/>
              <w:jc w:val="center"/>
              <w:rPr>
                <w:rFonts w:ascii="Aptos Narrow" w:eastAsia="Times New Roman" w:hAnsi="Aptos Narrow"/>
                <w:b/>
                <w:bCs/>
                <w:color w:val="FFFFFF"/>
                <w:kern w:val="0"/>
                <w:sz w:val="20"/>
                <w:lang w:val="en-IE" w:eastAsia="en-IE"/>
              </w:rPr>
            </w:pPr>
            <w:r w:rsidRPr="0051795D">
              <w:rPr>
                <w:rFonts w:ascii="Aptos Narrow" w:eastAsia="Times New Roman" w:hAnsi="Aptos Narrow"/>
                <w:b/>
                <w:bCs/>
                <w:color w:val="FFFFFF"/>
                <w:kern w:val="0"/>
                <w:sz w:val="20"/>
                <w:lang w:val="en-IE" w:eastAsia="en-IE"/>
              </w:rPr>
              <w:t xml:space="preserve">Risk Category </w:t>
            </w:r>
          </w:p>
        </w:tc>
        <w:tc>
          <w:tcPr>
            <w:tcW w:w="1500" w:type="dxa"/>
            <w:tcBorders>
              <w:top w:val="single" w:sz="4" w:space="0" w:color="auto"/>
              <w:left w:val="nil"/>
              <w:bottom w:val="single" w:sz="4" w:space="0" w:color="auto"/>
              <w:right w:val="single" w:sz="4" w:space="0" w:color="auto"/>
            </w:tcBorders>
            <w:shd w:val="clear" w:color="000000" w:fill="000099"/>
            <w:vAlign w:val="center"/>
            <w:hideMark/>
          </w:tcPr>
          <w:p w14:paraId="4D129E85" w14:textId="77777777" w:rsidR="0051795D" w:rsidRPr="0051795D" w:rsidRDefault="0051795D" w:rsidP="0051795D">
            <w:pPr>
              <w:spacing w:before="0" w:after="0" w:line="240" w:lineRule="auto"/>
              <w:jc w:val="center"/>
              <w:rPr>
                <w:rFonts w:ascii="Aptos Narrow" w:eastAsia="Times New Roman" w:hAnsi="Aptos Narrow"/>
                <w:b/>
                <w:bCs/>
                <w:color w:val="FFFFFF"/>
                <w:kern w:val="0"/>
                <w:sz w:val="20"/>
                <w:lang w:val="en-IE" w:eastAsia="en-IE"/>
              </w:rPr>
            </w:pPr>
            <w:r w:rsidRPr="0051795D">
              <w:rPr>
                <w:rFonts w:ascii="Aptos Narrow" w:eastAsia="Times New Roman" w:hAnsi="Aptos Narrow"/>
                <w:b/>
                <w:bCs/>
                <w:color w:val="FFFFFF"/>
                <w:kern w:val="0"/>
                <w:sz w:val="20"/>
                <w:lang w:val="en-IE" w:eastAsia="en-IE"/>
              </w:rPr>
              <w:t>Sub-Category</w:t>
            </w:r>
          </w:p>
        </w:tc>
        <w:tc>
          <w:tcPr>
            <w:tcW w:w="2308" w:type="dxa"/>
            <w:tcBorders>
              <w:top w:val="single" w:sz="4" w:space="0" w:color="auto"/>
              <w:left w:val="nil"/>
              <w:bottom w:val="single" w:sz="4" w:space="0" w:color="auto"/>
              <w:right w:val="single" w:sz="4" w:space="0" w:color="auto"/>
            </w:tcBorders>
            <w:shd w:val="clear" w:color="000000" w:fill="000099"/>
            <w:vAlign w:val="center"/>
            <w:hideMark/>
          </w:tcPr>
          <w:p w14:paraId="5E58298C" w14:textId="77777777" w:rsidR="0051795D" w:rsidRPr="0051795D" w:rsidRDefault="0051795D" w:rsidP="0051795D">
            <w:pPr>
              <w:spacing w:before="0" w:after="0" w:line="240" w:lineRule="auto"/>
              <w:jc w:val="center"/>
              <w:rPr>
                <w:rFonts w:ascii="Aptos Narrow" w:eastAsia="Times New Roman" w:hAnsi="Aptos Narrow"/>
                <w:b/>
                <w:bCs/>
                <w:color w:val="FFFFFF"/>
                <w:kern w:val="0"/>
                <w:sz w:val="20"/>
                <w:lang w:val="en-IE" w:eastAsia="en-IE"/>
              </w:rPr>
            </w:pPr>
            <w:r w:rsidRPr="0051795D">
              <w:rPr>
                <w:rFonts w:ascii="Aptos Narrow" w:eastAsia="Times New Roman" w:hAnsi="Aptos Narrow"/>
                <w:b/>
                <w:bCs/>
                <w:color w:val="FFFFFF"/>
                <w:kern w:val="0"/>
                <w:sz w:val="20"/>
                <w:lang w:val="en-IE" w:eastAsia="en-IE"/>
              </w:rPr>
              <w:t>Data points</w:t>
            </w:r>
          </w:p>
        </w:tc>
        <w:tc>
          <w:tcPr>
            <w:tcW w:w="2694" w:type="dxa"/>
            <w:tcBorders>
              <w:top w:val="single" w:sz="4" w:space="0" w:color="auto"/>
              <w:left w:val="nil"/>
              <w:bottom w:val="single" w:sz="4" w:space="0" w:color="auto"/>
              <w:right w:val="single" w:sz="4" w:space="0" w:color="auto"/>
            </w:tcBorders>
            <w:shd w:val="clear" w:color="000000" w:fill="000099"/>
            <w:vAlign w:val="center"/>
            <w:hideMark/>
          </w:tcPr>
          <w:p w14:paraId="773EBE1E" w14:textId="77777777" w:rsidR="0051795D" w:rsidRPr="0051795D" w:rsidRDefault="0051795D" w:rsidP="0051795D">
            <w:pPr>
              <w:spacing w:before="0" w:after="0" w:line="240" w:lineRule="auto"/>
              <w:jc w:val="center"/>
              <w:rPr>
                <w:rFonts w:ascii="Aptos Narrow" w:eastAsia="Times New Roman" w:hAnsi="Aptos Narrow"/>
                <w:b/>
                <w:bCs/>
                <w:color w:val="FFFFFF"/>
                <w:kern w:val="0"/>
                <w:sz w:val="20"/>
                <w:lang w:val="en-IE" w:eastAsia="en-IE"/>
              </w:rPr>
            </w:pPr>
            <w:r w:rsidRPr="0051795D">
              <w:rPr>
                <w:rFonts w:ascii="Aptos Narrow" w:eastAsia="Times New Roman" w:hAnsi="Aptos Narrow"/>
                <w:b/>
                <w:bCs/>
                <w:color w:val="FFFFFF"/>
                <w:kern w:val="0"/>
                <w:sz w:val="20"/>
                <w:lang w:val="en-IE" w:eastAsia="en-IE"/>
              </w:rPr>
              <w:t>Labels in the template</w:t>
            </w:r>
          </w:p>
        </w:tc>
        <w:tc>
          <w:tcPr>
            <w:tcW w:w="850" w:type="dxa"/>
            <w:tcBorders>
              <w:top w:val="single" w:sz="4" w:space="0" w:color="auto"/>
              <w:left w:val="nil"/>
              <w:bottom w:val="single" w:sz="4" w:space="0" w:color="auto"/>
              <w:right w:val="single" w:sz="4" w:space="0" w:color="auto"/>
            </w:tcBorders>
            <w:shd w:val="clear" w:color="000000" w:fill="000099"/>
            <w:vAlign w:val="center"/>
            <w:hideMark/>
          </w:tcPr>
          <w:p w14:paraId="3D107212" w14:textId="77777777" w:rsidR="0051795D" w:rsidRPr="0051795D" w:rsidRDefault="0051795D" w:rsidP="0051795D">
            <w:pPr>
              <w:spacing w:before="0" w:after="0" w:line="240" w:lineRule="auto"/>
              <w:jc w:val="center"/>
              <w:rPr>
                <w:rFonts w:ascii="Aptos Narrow" w:eastAsia="Times New Roman" w:hAnsi="Aptos Narrow"/>
                <w:b/>
                <w:bCs/>
                <w:color w:val="FFFFFF"/>
                <w:kern w:val="0"/>
                <w:sz w:val="20"/>
                <w:lang w:val="en-IE" w:eastAsia="en-IE"/>
              </w:rPr>
            </w:pPr>
            <w:r w:rsidRPr="0051795D">
              <w:rPr>
                <w:rFonts w:ascii="Aptos Narrow" w:eastAsia="Times New Roman" w:hAnsi="Aptos Narrow"/>
                <w:b/>
                <w:bCs/>
                <w:color w:val="FFFFFF"/>
                <w:kern w:val="0"/>
                <w:sz w:val="20"/>
                <w:lang w:val="en-IE" w:eastAsia="en-IE"/>
              </w:rPr>
              <w:t>column</w:t>
            </w:r>
          </w:p>
        </w:tc>
        <w:tc>
          <w:tcPr>
            <w:tcW w:w="1276" w:type="dxa"/>
            <w:tcBorders>
              <w:top w:val="single" w:sz="4" w:space="0" w:color="auto"/>
              <w:left w:val="nil"/>
              <w:bottom w:val="single" w:sz="4" w:space="0" w:color="auto"/>
              <w:right w:val="single" w:sz="4" w:space="0" w:color="auto"/>
            </w:tcBorders>
            <w:shd w:val="clear" w:color="000000" w:fill="000099"/>
            <w:vAlign w:val="center"/>
            <w:hideMark/>
          </w:tcPr>
          <w:p w14:paraId="3AF4E90B" w14:textId="77777777" w:rsidR="0051795D" w:rsidRPr="0051795D" w:rsidRDefault="0051795D" w:rsidP="0051795D">
            <w:pPr>
              <w:spacing w:before="0" w:after="0" w:line="240" w:lineRule="auto"/>
              <w:jc w:val="center"/>
              <w:rPr>
                <w:rFonts w:ascii="Aptos Narrow" w:eastAsia="Times New Roman" w:hAnsi="Aptos Narrow"/>
                <w:b/>
                <w:bCs/>
                <w:color w:val="FFFFFF"/>
                <w:kern w:val="0"/>
                <w:sz w:val="20"/>
                <w:lang w:val="en-IE" w:eastAsia="en-IE"/>
              </w:rPr>
            </w:pPr>
            <w:r w:rsidRPr="0051795D">
              <w:rPr>
                <w:rFonts w:ascii="Aptos Narrow" w:eastAsia="Times New Roman" w:hAnsi="Aptos Narrow"/>
                <w:b/>
                <w:bCs/>
                <w:color w:val="FFFFFF"/>
                <w:kern w:val="0"/>
                <w:sz w:val="20"/>
                <w:lang w:val="en-IE" w:eastAsia="en-IE"/>
              </w:rPr>
              <w:t>template</w:t>
            </w:r>
          </w:p>
        </w:tc>
      </w:tr>
      <w:tr w:rsidR="00476609" w:rsidRPr="0051795D" w14:paraId="281CC76B" w14:textId="77777777" w:rsidTr="00513763">
        <w:trPr>
          <w:trHeight w:val="720"/>
        </w:trPr>
        <w:tc>
          <w:tcPr>
            <w:tcW w:w="1290" w:type="dxa"/>
            <w:vMerge w:val="restart"/>
            <w:tcBorders>
              <w:top w:val="nil"/>
              <w:left w:val="nil"/>
              <w:bottom w:val="nil"/>
              <w:right w:val="single" w:sz="4" w:space="0" w:color="auto"/>
            </w:tcBorders>
            <w:shd w:val="clear" w:color="000000" w:fill="0728CB"/>
            <w:vAlign w:val="center"/>
            <w:hideMark/>
          </w:tcPr>
          <w:p w14:paraId="0478FB80" w14:textId="77777777" w:rsidR="0051795D" w:rsidRPr="0051795D" w:rsidRDefault="0051795D" w:rsidP="0051795D">
            <w:pPr>
              <w:spacing w:before="0" w:after="0" w:line="240" w:lineRule="auto"/>
              <w:jc w:val="center"/>
              <w:rPr>
                <w:rFonts w:ascii="Aptos Narrow" w:eastAsia="Times New Roman" w:hAnsi="Aptos Narrow"/>
                <w:b/>
                <w:bCs/>
                <w:color w:val="FFFFFF"/>
                <w:kern w:val="0"/>
                <w:sz w:val="20"/>
                <w:lang w:val="en-IE" w:eastAsia="en-IE"/>
              </w:rPr>
            </w:pPr>
            <w:r w:rsidRPr="0051795D">
              <w:rPr>
                <w:rFonts w:ascii="Aptos Narrow" w:eastAsia="Times New Roman" w:hAnsi="Aptos Narrow"/>
                <w:b/>
                <w:bCs/>
                <w:color w:val="FFFFFF"/>
                <w:kern w:val="0"/>
                <w:sz w:val="20"/>
                <w:lang w:val="en-IE" w:eastAsia="en-IE"/>
              </w:rPr>
              <w:t>Customers</w:t>
            </w:r>
          </w:p>
        </w:tc>
        <w:tc>
          <w:tcPr>
            <w:tcW w:w="1500" w:type="dxa"/>
            <w:vMerge w:val="restart"/>
            <w:tcBorders>
              <w:top w:val="nil"/>
              <w:left w:val="single" w:sz="4" w:space="0" w:color="auto"/>
              <w:bottom w:val="nil"/>
              <w:right w:val="single" w:sz="4" w:space="0" w:color="auto"/>
            </w:tcBorders>
            <w:shd w:val="clear" w:color="000000" w:fill="3D7AF5"/>
            <w:vAlign w:val="center"/>
            <w:hideMark/>
          </w:tcPr>
          <w:p w14:paraId="30550F67" w14:textId="77777777" w:rsidR="0051795D" w:rsidRPr="0051795D" w:rsidRDefault="0051795D" w:rsidP="0051795D">
            <w:pPr>
              <w:spacing w:before="0" w:after="0" w:line="240" w:lineRule="auto"/>
              <w:jc w:val="center"/>
              <w:rPr>
                <w:rFonts w:ascii="Aptos Narrow" w:eastAsia="Times New Roman" w:hAnsi="Aptos Narrow"/>
                <w:b/>
                <w:bCs/>
                <w:color w:val="FFFFFF"/>
                <w:kern w:val="0"/>
                <w:sz w:val="20"/>
                <w:lang w:val="en-IE" w:eastAsia="en-IE"/>
              </w:rPr>
            </w:pPr>
            <w:r w:rsidRPr="0051795D">
              <w:rPr>
                <w:rFonts w:ascii="Aptos Narrow" w:eastAsia="Times New Roman" w:hAnsi="Aptos Narrow"/>
                <w:b/>
                <w:bCs/>
                <w:color w:val="FFFFFF"/>
                <w:kern w:val="0"/>
                <w:sz w:val="20"/>
                <w:lang w:val="en-IE" w:eastAsia="en-IE"/>
              </w:rPr>
              <w:t>Customers</w:t>
            </w:r>
          </w:p>
        </w:tc>
        <w:tc>
          <w:tcPr>
            <w:tcW w:w="2308" w:type="dxa"/>
            <w:tcBorders>
              <w:top w:val="nil"/>
              <w:left w:val="nil"/>
              <w:bottom w:val="nil"/>
              <w:right w:val="single" w:sz="4" w:space="0" w:color="auto"/>
            </w:tcBorders>
            <w:vAlign w:val="center"/>
            <w:hideMark/>
          </w:tcPr>
          <w:p w14:paraId="4A3CBB35"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number of customers</w:t>
            </w:r>
          </w:p>
        </w:tc>
        <w:tc>
          <w:tcPr>
            <w:tcW w:w="2694" w:type="dxa"/>
            <w:tcBorders>
              <w:top w:val="nil"/>
              <w:left w:val="nil"/>
              <w:bottom w:val="nil"/>
              <w:right w:val="single" w:sz="4" w:space="0" w:color="auto"/>
            </w:tcBorders>
            <w:vAlign w:val="center"/>
            <w:hideMark/>
          </w:tcPr>
          <w:p w14:paraId="16E6C376"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Customers</w:t>
            </w:r>
          </w:p>
        </w:tc>
        <w:tc>
          <w:tcPr>
            <w:tcW w:w="850" w:type="dxa"/>
            <w:tcBorders>
              <w:top w:val="nil"/>
              <w:left w:val="nil"/>
              <w:bottom w:val="nil"/>
              <w:right w:val="single" w:sz="4" w:space="0" w:color="auto"/>
            </w:tcBorders>
            <w:vAlign w:val="center"/>
            <w:hideMark/>
          </w:tcPr>
          <w:p w14:paraId="2DE54C3A"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C0010</w:t>
            </w:r>
          </w:p>
        </w:tc>
        <w:tc>
          <w:tcPr>
            <w:tcW w:w="1276" w:type="dxa"/>
            <w:tcBorders>
              <w:top w:val="nil"/>
              <w:left w:val="nil"/>
              <w:bottom w:val="nil"/>
              <w:right w:val="single" w:sz="4" w:space="0" w:color="auto"/>
            </w:tcBorders>
            <w:shd w:val="clear" w:color="000000" w:fill="3D7AF5"/>
            <w:vAlign w:val="center"/>
            <w:hideMark/>
          </w:tcPr>
          <w:p w14:paraId="50AA160D" w14:textId="77777777" w:rsidR="0051795D" w:rsidRPr="0051795D" w:rsidRDefault="0051795D" w:rsidP="0051795D">
            <w:pPr>
              <w:spacing w:before="0" w:after="0" w:line="240" w:lineRule="auto"/>
              <w:jc w:val="center"/>
              <w:rPr>
                <w:rFonts w:ascii="Aptos Narrow" w:eastAsia="Times New Roman" w:hAnsi="Aptos Narrow"/>
                <w:b/>
                <w:bCs/>
                <w:color w:val="FFFFFF"/>
                <w:kern w:val="0"/>
                <w:sz w:val="20"/>
                <w:lang w:val="en-IE" w:eastAsia="en-IE"/>
              </w:rPr>
            </w:pPr>
            <w:r w:rsidRPr="0051795D">
              <w:rPr>
                <w:rFonts w:ascii="Aptos Narrow" w:eastAsia="Times New Roman" w:hAnsi="Aptos Narrow"/>
                <w:b/>
                <w:bCs/>
                <w:color w:val="FFFFFF"/>
                <w:kern w:val="0"/>
                <w:sz w:val="20"/>
                <w:lang w:val="en-IE" w:eastAsia="en-IE"/>
              </w:rPr>
              <w:t>AML.02.01</w:t>
            </w:r>
          </w:p>
        </w:tc>
      </w:tr>
      <w:tr w:rsidR="00476609" w:rsidRPr="0051795D" w14:paraId="182FC3D7" w14:textId="77777777" w:rsidTr="00513763">
        <w:trPr>
          <w:trHeight w:val="720"/>
        </w:trPr>
        <w:tc>
          <w:tcPr>
            <w:tcW w:w="1290" w:type="dxa"/>
            <w:vMerge/>
            <w:tcBorders>
              <w:top w:val="nil"/>
              <w:left w:val="nil"/>
              <w:bottom w:val="nil"/>
              <w:right w:val="single" w:sz="4" w:space="0" w:color="auto"/>
            </w:tcBorders>
            <w:vAlign w:val="center"/>
            <w:hideMark/>
          </w:tcPr>
          <w:p w14:paraId="731B0D6A" w14:textId="77777777" w:rsidR="0051795D" w:rsidRPr="0051795D" w:rsidRDefault="0051795D" w:rsidP="0051795D">
            <w:pPr>
              <w:spacing w:before="0" w:after="0" w:line="240" w:lineRule="auto"/>
              <w:rPr>
                <w:rFonts w:ascii="Aptos Narrow" w:eastAsia="Times New Roman" w:hAnsi="Aptos Narrow"/>
                <w:b/>
                <w:bCs/>
                <w:color w:val="FFFFFF"/>
                <w:kern w:val="0"/>
                <w:sz w:val="20"/>
                <w:lang w:val="en-IE" w:eastAsia="en-IE"/>
              </w:rPr>
            </w:pPr>
          </w:p>
        </w:tc>
        <w:tc>
          <w:tcPr>
            <w:tcW w:w="1500" w:type="dxa"/>
            <w:vMerge/>
            <w:tcBorders>
              <w:top w:val="nil"/>
              <w:left w:val="single" w:sz="4" w:space="0" w:color="auto"/>
              <w:bottom w:val="nil"/>
              <w:right w:val="single" w:sz="4" w:space="0" w:color="auto"/>
            </w:tcBorders>
            <w:vAlign w:val="center"/>
            <w:hideMark/>
          </w:tcPr>
          <w:p w14:paraId="6FDE8887" w14:textId="77777777" w:rsidR="0051795D" w:rsidRPr="0051795D" w:rsidRDefault="0051795D" w:rsidP="0051795D">
            <w:pPr>
              <w:spacing w:before="0" w:after="0" w:line="240" w:lineRule="auto"/>
              <w:rPr>
                <w:rFonts w:ascii="Aptos Narrow" w:eastAsia="Times New Roman" w:hAnsi="Aptos Narrow"/>
                <w:b/>
                <w:bCs/>
                <w:color w:val="FFFFFF"/>
                <w:kern w:val="0"/>
                <w:sz w:val="20"/>
                <w:lang w:val="en-IE" w:eastAsia="en-IE"/>
              </w:rPr>
            </w:pPr>
          </w:p>
        </w:tc>
        <w:tc>
          <w:tcPr>
            <w:tcW w:w="2308" w:type="dxa"/>
            <w:vMerge w:val="restart"/>
            <w:tcBorders>
              <w:top w:val="single" w:sz="4" w:space="0" w:color="auto"/>
              <w:left w:val="single" w:sz="4" w:space="0" w:color="auto"/>
              <w:bottom w:val="single" w:sz="4" w:space="0" w:color="000000"/>
              <w:right w:val="single" w:sz="4" w:space="0" w:color="auto"/>
            </w:tcBorders>
            <w:vAlign w:val="center"/>
            <w:hideMark/>
          </w:tcPr>
          <w:p w14:paraId="472887F9"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Number of customers which are Natural Persons (NP) per country</w:t>
            </w:r>
          </w:p>
        </w:tc>
        <w:tc>
          <w:tcPr>
            <w:tcW w:w="2694" w:type="dxa"/>
            <w:tcBorders>
              <w:top w:val="single" w:sz="4" w:space="0" w:color="auto"/>
              <w:left w:val="nil"/>
              <w:bottom w:val="nil"/>
              <w:right w:val="single" w:sz="4" w:space="0" w:color="auto"/>
            </w:tcBorders>
            <w:vAlign w:val="center"/>
            <w:hideMark/>
          </w:tcPr>
          <w:p w14:paraId="78F528B4"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Natural Persons</w:t>
            </w:r>
          </w:p>
        </w:tc>
        <w:tc>
          <w:tcPr>
            <w:tcW w:w="850" w:type="dxa"/>
            <w:tcBorders>
              <w:top w:val="single" w:sz="4" w:space="0" w:color="auto"/>
              <w:left w:val="nil"/>
              <w:bottom w:val="nil"/>
              <w:right w:val="single" w:sz="4" w:space="0" w:color="auto"/>
            </w:tcBorders>
            <w:vAlign w:val="center"/>
            <w:hideMark/>
          </w:tcPr>
          <w:p w14:paraId="70278C01"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C0020</w:t>
            </w:r>
          </w:p>
        </w:tc>
        <w:tc>
          <w:tcPr>
            <w:tcW w:w="1276" w:type="dxa"/>
            <w:tcBorders>
              <w:top w:val="single" w:sz="4" w:space="0" w:color="auto"/>
              <w:left w:val="nil"/>
              <w:bottom w:val="nil"/>
              <w:right w:val="single" w:sz="4" w:space="0" w:color="auto"/>
            </w:tcBorders>
            <w:shd w:val="clear" w:color="000000" w:fill="3D7AF5"/>
            <w:vAlign w:val="center"/>
            <w:hideMark/>
          </w:tcPr>
          <w:p w14:paraId="38330411" w14:textId="77777777" w:rsidR="0051795D" w:rsidRPr="0051795D" w:rsidRDefault="0051795D" w:rsidP="0051795D">
            <w:pPr>
              <w:spacing w:before="0" w:after="0" w:line="240" w:lineRule="auto"/>
              <w:jc w:val="center"/>
              <w:rPr>
                <w:rFonts w:ascii="Aptos Narrow" w:eastAsia="Times New Roman" w:hAnsi="Aptos Narrow"/>
                <w:b/>
                <w:bCs/>
                <w:color w:val="FFFFFF"/>
                <w:kern w:val="0"/>
                <w:sz w:val="20"/>
                <w:lang w:val="en-IE" w:eastAsia="en-IE"/>
              </w:rPr>
            </w:pPr>
            <w:r w:rsidRPr="0051795D">
              <w:rPr>
                <w:rFonts w:ascii="Aptos Narrow" w:eastAsia="Times New Roman" w:hAnsi="Aptos Narrow"/>
                <w:b/>
                <w:bCs/>
                <w:color w:val="FFFFFF"/>
                <w:kern w:val="0"/>
                <w:sz w:val="20"/>
                <w:lang w:val="en-IE" w:eastAsia="en-IE"/>
              </w:rPr>
              <w:t>AML.02.01</w:t>
            </w:r>
          </w:p>
        </w:tc>
      </w:tr>
      <w:tr w:rsidR="00476609" w:rsidRPr="0051795D" w14:paraId="7CA531DC" w14:textId="77777777" w:rsidTr="00513763">
        <w:trPr>
          <w:trHeight w:val="720"/>
        </w:trPr>
        <w:tc>
          <w:tcPr>
            <w:tcW w:w="1290" w:type="dxa"/>
            <w:vMerge/>
            <w:tcBorders>
              <w:top w:val="nil"/>
              <w:left w:val="nil"/>
              <w:bottom w:val="nil"/>
              <w:right w:val="single" w:sz="4" w:space="0" w:color="auto"/>
            </w:tcBorders>
            <w:vAlign w:val="center"/>
            <w:hideMark/>
          </w:tcPr>
          <w:p w14:paraId="7B78C367" w14:textId="77777777" w:rsidR="0051795D" w:rsidRPr="0051795D" w:rsidRDefault="0051795D" w:rsidP="0051795D">
            <w:pPr>
              <w:spacing w:before="0" w:after="0" w:line="240" w:lineRule="auto"/>
              <w:rPr>
                <w:rFonts w:ascii="Aptos Narrow" w:eastAsia="Times New Roman" w:hAnsi="Aptos Narrow"/>
                <w:b/>
                <w:bCs/>
                <w:color w:val="FFFFFF"/>
                <w:kern w:val="0"/>
                <w:sz w:val="20"/>
                <w:lang w:val="en-IE" w:eastAsia="en-IE"/>
              </w:rPr>
            </w:pPr>
          </w:p>
        </w:tc>
        <w:tc>
          <w:tcPr>
            <w:tcW w:w="1500" w:type="dxa"/>
            <w:vMerge/>
            <w:tcBorders>
              <w:top w:val="nil"/>
              <w:left w:val="single" w:sz="4" w:space="0" w:color="auto"/>
              <w:bottom w:val="nil"/>
              <w:right w:val="single" w:sz="4" w:space="0" w:color="auto"/>
            </w:tcBorders>
            <w:vAlign w:val="center"/>
            <w:hideMark/>
          </w:tcPr>
          <w:p w14:paraId="62ED3E60" w14:textId="77777777" w:rsidR="0051795D" w:rsidRPr="0051795D" w:rsidRDefault="0051795D" w:rsidP="0051795D">
            <w:pPr>
              <w:spacing w:before="0" w:after="0" w:line="240" w:lineRule="auto"/>
              <w:rPr>
                <w:rFonts w:ascii="Aptos Narrow" w:eastAsia="Times New Roman" w:hAnsi="Aptos Narrow"/>
                <w:b/>
                <w:bCs/>
                <w:color w:val="FFFFFF"/>
                <w:kern w:val="0"/>
                <w:sz w:val="20"/>
                <w:lang w:val="en-IE" w:eastAsia="en-IE"/>
              </w:rPr>
            </w:pPr>
          </w:p>
        </w:tc>
        <w:tc>
          <w:tcPr>
            <w:tcW w:w="2308" w:type="dxa"/>
            <w:vMerge/>
            <w:tcBorders>
              <w:top w:val="single" w:sz="4" w:space="0" w:color="auto"/>
              <w:left w:val="single" w:sz="4" w:space="0" w:color="auto"/>
              <w:bottom w:val="single" w:sz="4" w:space="0" w:color="000000"/>
              <w:right w:val="single" w:sz="4" w:space="0" w:color="auto"/>
            </w:tcBorders>
            <w:vAlign w:val="center"/>
            <w:hideMark/>
          </w:tcPr>
          <w:p w14:paraId="427EE1BC"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p>
        </w:tc>
        <w:tc>
          <w:tcPr>
            <w:tcW w:w="2694" w:type="dxa"/>
            <w:tcBorders>
              <w:top w:val="single" w:sz="4" w:space="0" w:color="auto"/>
              <w:left w:val="nil"/>
              <w:bottom w:val="nil"/>
              <w:right w:val="single" w:sz="4" w:space="0" w:color="auto"/>
            </w:tcBorders>
            <w:vAlign w:val="center"/>
            <w:hideMark/>
          </w:tcPr>
          <w:p w14:paraId="18A6C29D"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Natural Persons</w:t>
            </w:r>
          </w:p>
        </w:tc>
        <w:tc>
          <w:tcPr>
            <w:tcW w:w="850" w:type="dxa"/>
            <w:tcBorders>
              <w:top w:val="single" w:sz="4" w:space="0" w:color="auto"/>
              <w:left w:val="nil"/>
              <w:bottom w:val="nil"/>
              <w:right w:val="single" w:sz="4" w:space="0" w:color="auto"/>
            </w:tcBorders>
            <w:vAlign w:val="center"/>
            <w:hideMark/>
          </w:tcPr>
          <w:p w14:paraId="5084C84B"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C0020</w:t>
            </w:r>
          </w:p>
        </w:tc>
        <w:tc>
          <w:tcPr>
            <w:tcW w:w="1276" w:type="dxa"/>
            <w:tcBorders>
              <w:top w:val="single" w:sz="4" w:space="0" w:color="auto"/>
              <w:left w:val="nil"/>
              <w:bottom w:val="nil"/>
              <w:right w:val="single" w:sz="4" w:space="0" w:color="auto"/>
            </w:tcBorders>
            <w:shd w:val="clear" w:color="000000" w:fill="3D7AF5"/>
            <w:vAlign w:val="center"/>
            <w:hideMark/>
          </w:tcPr>
          <w:p w14:paraId="1104B51F" w14:textId="77777777" w:rsidR="0051795D" w:rsidRPr="0051795D" w:rsidRDefault="0051795D" w:rsidP="0051795D">
            <w:pPr>
              <w:spacing w:before="0" w:after="0" w:line="240" w:lineRule="auto"/>
              <w:jc w:val="center"/>
              <w:rPr>
                <w:rFonts w:ascii="Aptos Narrow" w:eastAsia="Times New Roman" w:hAnsi="Aptos Narrow"/>
                <w:b/>
                <w:bCs/>
                <w:color w:val="FFFFFF"/>
                <w:kern w:val="0"/>
                <w:sz w:val="20"/>
                <w:lang w:val="en-IE" w:eastAsia="en-IE"/>
              </w:rPr>
            </w:pPr>
            <w:r w:rsidRPr="0051795D">
              <w:rPr>
                <w:rFonts w:ascii="Aptos Narrow" w:eastAsia="Times New Roman" w:hAnsi="Aptos Narrow"/>
                <w:b/>
                <w:bCs/>
                <w:color w:val="FFFFFF"/>
                <w:kern w:val="0"/>
                <w:sz w:val="20"/>
                <w:lang w:val="en-IE" w:eastAsia="en-IE"/>
              </w:rPr>
              <w:t>AML.05.01</w:t>
            </w:r>
          </w:p>
        </w:tc>
      </w:tr>
      <w:tr w:rsidR="00476609" w:rsidRPr="0051795D" w14:paraId="01ED67EA" w14:textId="77777777" w:rsidTr="00513763">
        <w:trPr>
          <w:trHeight w:val="720"/>
        </w:trPr>
        <w:tc>
          <w:tcPr>
            <w:tcW w:w="1290" w:type="dxa"/>
            <w:vMerge/>
            <w:tcBorders>
              <w:top w:val="nil"/>
              <w:left w:val="nil"/>
              <w:bottom w:val="nil"/>
              <w:right w:val="single" w:sz="4" w:space="0" w:color="auto"/>
            </w:tcBorders>
            <w:vAlign w:val="center"/>
            <w:hideMark/>
          </w:tcPr>
          <w:p w14:paraId="6876CFB0" w14:textId="77777777" w:rsidR="0051795D" w:rsidRPr="0051795D" w:rsidRDefault="0051795D" w:rsidP="0051795D">
            <w:pPr>
              <w:spacing w:before="0" w:after="0" w:line="240" w:lineRule="auto"/>
              <w:rPr>
                <w:rFonts w:ascii="Aptos Narrow" w:eastAsia="Times New Roman" w:hAnsi="Aptos Narrow"/>
                <w:b/>
                <w:bCs/>
                <w:color w:val="FFFFFF"/>
                <w:kern w:val="0"/>
                <w:sz w:val="20"/>
                <w:lang w:val="en-IE" w:eastAsia="en-IE"/>
              </w:rPr>
            </w:pPr>
          </w:p>
        </w:tc>
        <w:tc>
          <w:tcPr>
            <w:tcW w:w="1500" w:type="dxa"/>
            <w:vMerge/>
            <w:tcBorders>
              <w:top w:val="nil"/>
              <w:left w:val="single" w:sz="4" w:space="0" w:color="auto"/>
              <w:bottom w:val="nil"/>
              <w:right w:val="single" w:sz="4" w:space="0" w:color="auto"/>
            </w:tcBorders>
            <w:vAlign w:val="center"/>
            <w:hideMark/>
          </w:tcPr>
          <w:p w14:paraId="310A7C10" w14:textId="77777777" w:rsidR="0051795D" w:rsidRPr="0051795D" w:rsidRDefault="0051795D" w:rsidP="0051795D">
            <w:pPr>
              <w:spacing w:before="0" w:after="0" w:line="240" w:lineRule="auto"/>
              <w:rPr>
                <w:rFonts w:ascii="Aptos Narrow" w:eastAsia="Times New Roman" w:hAnsi="Aptos Narrow"/>
                <w:b/>
                <w:bCs/>
                <w:color w:val="FFFFFF"/>
                <w:kern w:val="0"/>
                <w:sz w:val="20"/>
                <w:lang w:val="en-IE" w:eastAsia="en-IE"/>
              </w:rPr>
            </w:pPr>
          </w:p>
        </w:tc>
        <w:tc>
          <w:tcPr>
            <w:tcW w:w="2308" w:type="dxa"/>
            <w:vMerge w:val="restart"/>
            <w:tcBorders>
              <w:top w:val="nil"/>
              <w:left w:val="single" w:sz="4" w:space="0" w:color="auto"/>
              <w:bottom w:val="single" w:sz="4" w:space="0" w:color="000000"/>
              <w:right w:val="single" w:sz="4" w:space="0" w:color="auto"/>
            </w:tcBorders>
            <w:vAlign w:val="center"/>
            <w:hideMark/>
          </w:tcPr>
          <w:p w14:paraId="7A464594"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Number of customers which are Legal Entities (LE) per country</w:t>
            </w:r>
          </w:p>
        </w:tc>
        <w:tc>
          <w:tcPr>
            <w:tcW w:w="2694" w:type="dxa"/>
            <w:tcBorders>
              <w:top w:val="single" w:sz="4" w:space="0" w:color="auto"/>
              <w:left w:val="nil"/>
              <w:bottom w:val="nil"/>
              <w:right w:val="single" w:sz="4" w:space="0" w:color="auto"/>
            </w:tcBorders>
            <w:vAlign w:val="center"/>
            <w:hideMark/>
          </w:tcPr>
          <w:p w14:paraId="74E841D0"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Legal Entities</w:t>
            </w:r>
          </w:p>
        </w:tc>
        <w:tc>
          <w:tcPr>
            <w:tcW w:w="850" w:type="dxa"/>
            <w:tcBorders>
              <w:top w:val="single" w:sz="4" w:space="0" w:color="auto"/>
              <w:left w:val="nil"/>
              <w:bottom w:val="nil"/>
              <w:right w:val="single" w:sz="4" w:space="0" w:color="auto"/>
            </w:tcBorders>
            <w:vAlign w:val="center"/>
            <w:hideMark/>
          </w:tcPr>
          <w:p w14:paraId="0D31BCEE"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C0030</w:t>
            </w:r>
          </w:p>
        </w:tc>
        <w:tc>
          <w:tcPr>
            <w:tcW w:w="1276" w:type="dxa"/>
            <w:tcBorders>
              <w:top w:val="single" w:sz="4" w:space="0" w:color="auto"/>
              <w:left w:val="nil"/>
              <w:bottom w:val="nil"/>
              <w:right w:val="single" w:sz="4" w:space="0" w:color="auto"/>
            </w:tcBorders>
            <w:shd w:val="clear" w:color="000000" w:fill="3D7AF5"/>
            <w:vAlign w:val="center"/>
            <w:hideMark/>
          </w:tcPr>
          <w:p w14:paraId="4829AD62" w14:textId="77777777" w:rsidR="0051795D" w:rsidRPr="0051795D" w:rsidRDefault="0051795D" w:rsidP="0051795D">
            <w:pPr>
              <w:spacing w:before="0" w:after="0" w:line="240" w:lineRule="auto"/>
              <w:jc w:val="center"/>
              <w:rPr>
                <w:rFonts w:ascii="Aptos Narrow" w:eastAsia="Times New Roman" w:hAnsi="Aptos Narrow"/>
                <w:b/>
                <w:bCs/>
                <w:color w:val="FFFFFF"/>
                <w:kern w:val="0"/>
                <w:sz w:val="20"/>
                <w:lang w:val="en-IE" w:eastAsia="en-IE"/>
              </w:rPr>
            </w:pPr>
            <w:r w:rsidRPr="0051795D">
              <w:rPr>
                <w:rFonts w:ascii="Aptos Narrow" w:eastAsia="Times New Roman" w:hAnsi="Aptos Narrow"/>
                <w:b/>
                <w:bCs/>
                <w:color w:val="FFFFFF"/>
                <w:kern w:val="0"/>
                <w:sz w:val="20"/>
                <w:lang w:val="en-IE" w:eastAsia="en-IE"/>
              </w:rPr>
              <w:t>AML.02.01</w:t>
            </w:r>
          </w:p>
        </w:tc>
      </w:tr>
      <w:tr w:rsidR="00476609" w:rsidRPr="0051795D" w14:paraId="5F3B9462" w14:textId="77777777" w:rsidTr="00513763">
        <w:trPr>
          <w:trHeight w:val="720"/>
        </w:trPr>
        <w:tc>
          <w:tcPr>
            <w:tcW w:w="1290" w:type="dxa"/>
            <w:vMerge/>
            <w:tcBorders>
              <w:top w:val="nil"/>
              <w:left w:val="nil"/>
              <w:bottom w:val="nil"/>
              <w:right w:val="single" w:sz="4" w:space="0" w:color="auto"/>
            </w:tcBorders>
            <w:vAlign w:val="center"/>
            <w:hideMark/>
          </w:tcPr>
          <w:p w14:paraId="0BB83149" w14:textId="77777777" w:rsidR="0051795D" w:rsidRPr="0051795D" w:rsidRDefault="0051795D" w:rsidP="0051795D">
            <w:pPr>
              <w:spacing w:before="0" w:after="0" w:line="240" w:lineRule="auto"/>
              <w:rPr>
                <w:rFonts w:ascii="Aptos Narrow" w:eastAsia="Times New Roman" w:hAnsi="Aptos Narrow"/>
                <w:b/>
                <w:bCs/>
                <w:color w:val="FFFFFF"/>
                <w:kern w:val="0"/>
                <w:sz w:val="20"/>
                <w:lang w:val="en-IE" w:eastAsia="en-IE"/>
              </w:rPr>
            </w:pPr>
          </w:p>
        </w:tc>
        <w:tc>
          <w:tcPr>
            <w:tcW w:w="1500" w:type="dxa"/>
            <w:vMerge/>
            <w:tcBorders>
              <w:top w:val="nil"/>
              <w:left w:val="single" w:sz="4" w:space="0" w:color="auto"/>
              <w:bottom w:val="nil"/>
              <w:right w:val="single" w:sz="4" w:space="0" w:color="auto"/>
            </w:tcBorders>
            <w:vAlign w:val="center"/>
            <w:hideMark/>
          </w:tcPr>
          <w:p w14:paraId="3447769E" w14:textId="77777777" w:rsidR="0051795D" w:rsidRPr="0051795D" w:rsidRDefault="0051795D" w:rsidP="0051795D">
            <w:pPr>
              <w:spacing w:before="0" w:after="0" w:line="240" w:lineRule="auto"/>
              <w:rPr>
                <w:rFonts w:ascii="Aptos Narrow" w:eastAsia="Times New Roman" w:hAnsi="Aptos Narrow"/>
                <w:b/>
                <w:bCs/>
                <w:color w:val="FFFFFF"/>
                <w:kern w:val="0"/>
                <w:sz w:val="20"/>
                <w:lang w:val="en-IE" w:eastAsia="en-IE"/>
              </w:rPr>
            </w:pPr>
          </w:p>
        </w:tc>
        <w:tc>
          <w:tcPr>
            <w:tcW w:w="2308" w:type="dxa"/>
            <w:vMerge/>
            <w:tcBorders>
              <w:top w:val="nil"/>
              <w:left w:val="single" w:sz="4" w:space="0" w:color="auto"/>
              <w:bottom w:val="single" w:sz="4" w:space="0" w:color="000000"/>
              <w:right w:val="single" w:sz="4" w:space="0" w:color="auto"/>
            </w:tcBorders>
            <w:vAlign w:val="center"/>
            <w:hideMark/>
          </w:tcPr>
          <w:p w14:paraId="349E659B"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p>
        </w:tc>
        <w:tc>
          <w:tcPr>
            <w:tcW w:w="2694" w:type="dxa"/>
            <w:tcBorders>
              <w:top w:val="single" w:sz="4" w:space="0" w:color="auto"/>
              <w:left w:val="nil"/>
              <w:bottom w:val="nil"/>
              <w:right w:val="single" w:sz="4" w:space="0" w:color="auto"/>
            </w:tcBorders>
            <w:vAlign w:val="center"/>
            <w:hideMark/>
          </w:tcPr>
          <w:p w14:paraId="3BACAA36"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Legal Entities</w:t>
            </w:r>
          </w:p>
        </w:tc>
        <w:tc>
          <w:tcPr>
            <w:tcW w:w="850" w:type="dxa"/>
            <w:tcBorders>
              <w:top w:val="single" w:sz="4" w:space="0" w:color="auto"/>
              <w:left w:val="nil"/>
              <w:bottom w:val="nil"/>
              <w:right w:val="single" w:sz="4" w:space="0" w:color="auto"/>
            </w:tcBorders>
            <w:vAlign w:val="center"/>
            <w:hideMark/>
          </w:tcPr>
          <w:p w14:paraId="6A0AB2F8"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C0030</w:t>
            </w:r>
          </w:p>
        </w:tc>
        <w:tc>
          <w:tcPr>
            <w:tcW w:w="1276" w:type="dxa"/>
            <w:tcBorders>
              <w:top w:val="single" w:sz="4" w:space="0" w:color="auto"/>
              <w:left w:val="nil"/>
              <w:bottom w:val="nil"/>
              <w:right w:val="single" w:sz="4" w:space="0" w:color="auto"/>
            </w:tcBorders>
            <w:shd w:val="clear" w:color="000000" w:fill="3D7AF5"/>
            <w:vAlign w:val="center"/>
            <w:hideMark/>
          </w:tcPr>
          <w:p w14:paraId="3780B20E" w14:textId="77777777" w:rsidR="0051795D" w:rsidRPr="0051795D" w:rsidRDefault="0051795D" w:rsidP="0051795D">
            <w:pPr>
              <w:spacing w:before="0" w:after="0" w:line="240" w:lineRule="auto"/>
              <w:jc w:val="center"/>
              <w:rPr>
                <w:rFonts w:ascii="Aptos Narrow" w:eastAsia="Times New Roman" w:hAnsi="Aptos Narrow"/>
                <w:b/>
                <w:bCs/>
                <w:color w:val="FFFFFF"/>
                <w:kern w:val="0"/>
                <w:sz w:val="20"/>
                <w:lang w:val="en-IE" w:eastAsia="en-IE"/>
              </w:rPr>
            </w:pPr>
            <w:r w:rsidRPr="0051795D">
              <w:rPr>
                <w:rFonts w:ascii="Aptos Narrow" w:eastAsia="Times New Roman" w:hAnsi="Aptos Narrow"/>
                <w:b/>
                <w:bCs/>
                <w:color w:val="FFFFFF"/>
                <w:kern w:val="0"/>
                <w:sz w:val="20"/>
                <w:lang w:val="en-IE" w:eastAsia="en-IE"/>
              </w:rPr>
              <w:t>AML.05.01</w:t>
            </w:r>
          </w:p>
        </w:tc>
      </w:tr>
      <w:tr w:rsidR="00476609" w:rsidRPr="0051795D" w14:paraId="0DC62E9E" w14:textId="77777777" w:rsidTr="00513763">
        <w:trPr>
          <w:trHeight w:val="720"/>
        </w:trPr>
        <w:tc>
          <w:tcPr>
            <w:tcW w:w="1290" w:type="dxa"/>
            <w:vMerge/>
            <w:tcBorders>
              <w:top w:val="nil"/>
              <w:left w:val="nil"/>
              <w:bottom w:val="nil"/>
              <w:right w:val="single" w:sz="4" w:space="0" w:color="auto"/>
            </w:tcBorders>
            <w:vAlign w:val="center"/>
            <w:hideMark/>
          </w:tcPr>
          <w:p w14:paraId="0BB85084" w14:textId="77777777" w:rsidR="0051795D" w:rsidRPr="0051795D" w:rsidRDefault="0051795D" w:rsidP="0051795D">
            <w:pPr>
              <w:spacing w:before="0" w:after="0" w:line="240" w:lineRule="auto"/>
              <w:rPr>
                <w:rFonts w:ascii="Aptos Narrow" w:eastAsia="Times New Roman" w:hAnsi="Aptos Narrow"/>
                <w:b/>
                <w:bCs/>
                <w:color w:val="FFFFFF"/>
                <w:kern w:val="0"/>
                <w:sz w:val="20"/>
                <w:lang w:val="en-IE" w:eastAsia="en-IE"/>
              </w:rPr>
            </w:pPr>
          </w:p>
        </w:tc>
        <w:tc>
          <w:tcPr>
            <w:tcW w:w="1500" w:type="dxa"/>
            <w:vMerge/>
            <w:tcBorders>
              <w:top w:val="nil"/>
              <w:left w:val="single" w:sz="4" w:space="0" w:color="auto"/>
              <w:bottom w:val="nil"/>
              <w:right w:val="single" w:sz="4" w:space="0" w:color="auto"/>
            </w:tcBorders>
            <w:vAlign w:val="center"/>
            <w:hideMark/>
          </w:tcPr>
          <w:p w14:paraId="38F5946C" w14:textId="77777777" w:rsidR="0051795D" w:rsidRPr="0051795D" w:rsidRDefault="0051795D" w:rsidP="0051795D">
            <w:pPr>
              <w:spacing w:before="0" w:after="0" w:line="240" w:lineRule="auto"/>
              <w:rPr>
                <w:rFonts w:ascii="Aptos Narrow" w:eastAsia="Times New Roman" w:hAnsi="Aptos Narrow"/>
                <w:b/>
                <w:bCs/>
                <w:color w:val="FFFFFF"/>
                <w:kern w:val="0"/>
                <w:sz w:val="20"/>
                <w:lang w:val="en-IE" w:eastAsia="en-IE"/>
              </w:rPr>
            </w:pPr>
          </w:p>
        </w:tc>
        <w:tc>
          <w:tcPr>
            <w:tcW w:w="2308" w:type="dxa"/>
            <w:vMerge w:val="restart"/>
            <w:tcBorders>
              <w:top w:val="nil"/>
              <w:left w:val="single" w:sz="4" w:space="0" w:color="auto"/>
              <w:bottom w:val="single" w:sz="4" w:space="0" w:color="000000"/>
              <w:right w:val="single" w:sz="4" w:space="0" w:color="auto"/>
            </w:tcBorders>
            <w:vAlign w:val="center"/>
            <w:hideMark/>
          </w:tcPr>
          <w:p w14:paraId="404BBD1D"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Number of customers NP who are PEPs per country</w:t>
            </w:r>
          </w:p>
        </w:tc>
        <w:tc>
          <w:tcPr>
            <w:tcW w:w="2694" w:type="dxa"/>
            <w:tcBorders>
              <w:top w:val="single" w:sz="4" w:space="0" w:color="auto"/>
              <w:left w:val="nil"/>
              <w:bottom w:val="single" w:sz="4" w:space="0" w:color="auto"/>
              <w:right w:val="single" w:sz="4" w:space="0" w:color="auto"/>
            </w:tcBorders>
            <w:vAlign w:val="center"/>
            <w:hideMark/>
          </w:tcPr>
          <w:p w14:paraId="34A2DF1F"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Natural Persons - PEPs</w:t>
            </w:r>
          </w:p>
        </w:tc>
        <w:tc>
          <w:tcPr>
            <w:tcW w:w="850" w:type="dxa"/>
            <w:tcBorders>
              <w:top w:val="single" w:sz="4" w:space="0" w:color="auto"/>
              <w:left w:val="nil"/>
              <w:bottom w:val="single" w:sz="4" w:space="0" w:color="auto"/>
              <w:right w:val="single" w:sz="4" w:space="0" w:color="auto"/>
            </w:tcBorders>
            <w:vAlign w:val="center"/>
            <w:hideMark/>
          </w:tcPr>
          <w:p w14:paraId="67567D14"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C0040</w:t>
            </w:r>
          </w:p>
        </w:tc>
        <w:tc>
          <w:tcPr>
            <w:tcW w:w="1276" w:type="dxa"/>
            <w:tcBorders>
              <w:top w:val="single" w:sz="4" w:space="0" w:color="auto"/>
              <w:left w:val="nil"/>
              <w:bottom w:val="nil"/>
              <w:right w:val="single" w:sz="4" w:space="0" w:color="auto"/>
            </w:tcBorders>
            <w:shd w:val="clear" w:color="000000" w:fill="3D7AF5"/>
            <w:vAlign w:val="center"/>
            <w:hideMark/>
          </w:tcPr>
          <w:p w14:paraId="7C0959C7" w14:textId="77777777" w:rsidR="0051795D" w:rsidRPr="0051795D" w:rsidRDefault="0051795D" w:rsidP="0051795D">
            <w:pPr>
              <w:spacing w:before="0" w:after="0" w:line="240" w:lineRule="auto"/>
              <w:jc w:val="center"/>
              <w:rPr>
                <w:rFonts w:ascii="Aptos Narrow" w:eastAsia="Times New Roman" w:hAnsi="Aptos Narrow"/>
                <w:b/>
                <w:bCs/>
                <w:color w:val="FFFFFF"/>
                <w:kern w:val="0"/>
                <w:sz w:val="20"/>
                <w:lang w:val="en-IE" w:eastAsia="en-IE"/>
              </w:rPr>
            </w:pPr>
            <w:r w:rsidRPr="0051795D">
              <w:rPr>
                <w:rFonts w:ascii="Aptos Narrow" w:eastAsia="Times New Roman" w:hAnsi="Aptos Narrow"/>
                <w:b/>
                <w:bCs/>
                <w:color w:val="FFFFFF"/>
                <w:kern w:val="0"/>
                <w:sz w:val="20"/>
                <w:lang w:val="en-IE" w:eastAsia="en-IE"/>
              </w:rPr>
              <w:t>AML.02.01</w:t>
            </w:r>
          </w:p>
        </w:tc>
      </w:tr>
      <w:tr w:rsidR="00476609" w:rsidRPr="0051795D" w14:paraId="0A9583FB" w14:textId="77777777" w:rsidTr="00513763">
        <w:trPr>
          <w:trHeight w:val="720"/>
        </w:trPr>
        <w:tc>
          <w:tcPr>
            <w:tcW w:w="1290" w:type="dxa"/>
            <w:vMerge/>
            <w:tcBorders>
              <w:top w:val="nil"/>
              <w:left w:val="nil"/>
              <w:bottom w:val="nil"/>
              <w:right w:val="single" w:sz="4" w:space="0" w:color="auto"/>
            </w:tcBorders>
            <w:vAlign w:val="center"/>
            <w:hideMark/>
          </w:tcPr>
          <w:p w14:paraId="06F718AD" w14:textId="77777777" w:rsidR="0051795D" w:rsidRPr="0051795D" w:rsidRDefault="0051795D" w:rsidP="0051795D">
            <w:pPr>
              <w:spacing w:before="0" w:after="0" w:line="240" w:lineRule="auto"/>
              <w:rPr>
                <w:rFonts w:ascii="Aptos Narrow" w:eastAsia="Times New Roman" w:hAnsi="Aptos Narrow"/>
                <w:b/>
                <w:bCs/>
                <w:color w:val="FFFFFF"/>
                <w:kern w:val="0"/>
                <w:sz w:val="20"/>
                <w:lang w:val="en-IE" w:eastAsia="en-IE"/>
              </w:rPr>
            </w:pPr>
          </w:p>
        </w:tc>
        <w:tc>
          <w:tcPr>
            <w:tcW w:w="1500" w:type="dxa"/>
            <w:vMerge/>
            <w:tcBorders>
              <w:top w:val="nil"/>
              <w:left w:val="single" w:sz="4" w:space="0" w:color="auto"/>
              <w:bottom w:val="nil"/>
              <w:right w:val="single" w:sz="4" w:space="0" w:color="auto"/>
            </w:tcBorders>
            <w:vAlign w:val="center"/>
            <w:hideMark/>
          </w:tcPr>
          <w:p w14:paraId="507A5DF1" w14:textId="77777777" w:rsidR="0051795D" w:rsidRPr="0051795D" w:rsidRDefault="0051795D" w:rsidP="0051795D">
            <w:pPr>
              <w:spacing w:before="0" w:after="0" w:line="240" w:lineRule="auto"/>
              <w:rPr>
                <w:rFonts w:ascii="Aptos Narrow" w:eastAsia="Times New Roman" w:hAnsi="Aptos Narrow"/>
                <w:b/>
                <w:bCs/>
                <w:color w:val="FFFFFF"/>
                <w:kern w:val="0"/>
                <w:sz w:val="20"/>
                <w:lang w:val="en-IE" w:eastAsia="en-IE"/>
              </w:rPr>
            </w:pPr>
          </w:p>
        </w:tc>
        <w:tc>
          <w:tcPr>
            <w:tcW w:w="2308" w:type="dxa"/>
            <w:vMerge/>
            <w:tcBorders>
              <w:top w:val="nil"/>
              <w:left w:val="single" w:sz="4" w:space="0" w:color="auto"/>
              <w:bottom w:val="single" w:sz="4" w:space="0" w:color="000000"/>
              <w:right w:val="single" w:sz="4" w:space="0" w:color="auto"/>
            </w:tcBorders>
            <w:vAlign w:val="center"/>
            <w:hideMark/>
          </w:tcPr>
          <w:p w14:paraId="0172D021"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p>
        </w:tc>
        <w:tc>
          <w:tcPr>
            <w:tcW w:w="2694" w:type="dxa"/>
            <w:tcBorders>
              <w:top w:val="nil"/>
              <w:left w:val="nil"/>
              <w:bottom w:val="single" w:sz="4" w:space="0" w:color="auto"/>
              <w:right w:val="single" w:sz="4" w:space="0" w:color="auto"/>
            </w:tcBorders>
            <w:vAlign w:val="center"/>
            <w:hideMark/>
          </w:tcPr>
          <w:p w14:paraId="2CA732D8"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Natural Persons - PEPs</w:t>
            </w:r>
          </w:p>
        </w:tc>
        <w:tc>
          <w:tcPr>
            <w:tcW w:w="850" w:type="dxa"/>
            <w:tcBorders>
              <w:top w:val="nil"/>
              <w:left w:val="nil"/>
              <w:bottom w:val="single" w:sz="4" w:space="0" w:color="auto"/>
              <w:right w:val="single" w:sz="4" w:space="0" w:color="auto"/>
            </w:tcBorders>
            <w:vAlign w:val="center"/>
            <w:hideMark/>
          </w:tcPr>
          <w:p w14:paraId="25564C6F"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C0040</w:t>
            </w:r>
          </w:p>
        </w:tc>
        <w:tc>
          <w:tcPr>
            <w:tcW w:w="1276" w:type="dxa"/>
            <w:tcBorders>
              <w:top w:val="single" w:sz="4" w:space="0" w:color="auto"/>
              <w:left w:val="nil"/>
              <w:bottom w:val="nil"/>
              <w:right w:val="single" w:sz="4" w:space="0" w:color="auto"/>
            </w:tcBorders>
            <w:shd w:val="clear" w:color="000000" w:fill="3D7AF5"/>
            <w:vAlign w:val="center"/>
            <w:hideMark/>
          </w:tcPr>
          <w:p w14:paraId="7ABEF3A2" w14:textId="77777777" w:rsidR="0051795D" w:rsidRPr="0051795D" w:rsidRDefault="0051795D" w:rsidP="0051795D">
            <w:pPr>
              <w:spacing w:before="0" w:after="0" w:line="240" w:lineRule="auto"/>
              <w:jc w:val="center"/>
              <w:rPr>
                <w:rFonts w:ascii="Aptos Narrow" w:eastAsia="Times New Roman" w:hAnsi="Aptos Narrow"/>
                <w:b/>
                <w:bCs/>
                <w:color w:val="FFFFFF"/>
                <w:kern w:val="0"/>
                <w:sz w:val="20"/>
                <w:lang w:val="en-IE" w:eastAsia="en-IE"/>
              </w:rPr>
            </w:pPr>
            <w:r w:rsidRPr="0051795D">
              <w:rPr>
                <w:rFonts w:ascii="Aptos Narrow" w:eastAsia="Times New Roman" w:hAnsi="Aptos Narrow"/>
                <w:b/>
                <w:bCs/>
                <w:color w:val="FFFFFF"/>
                <w:kern w:val="0"/>
                <w:sz w:val="20"/>
                <w:lang w:val="en-IE" w:eastAsia="en-IE"/>
              </w:rPr>
              <w:t>AML.05.01</w:t>
            </w:r>
          </w:p>
        </w:tc>
      </w:tr>
      <w:tr w:rsidR="00476609" w:rsidRPr="0051795D" w14:paraId="2CEDECA1" w14:textId="77777777" w:rsidTr="00513763">
        <w:trPr>
          <w:trHeight w:val="720"/>
        </w:trPr>
        <w:tc>
          <w:tcPr>
            <w:tcW w:w="1290" w:type="dxa"/>
            <w:vMerge/>
            <w:tcBorders>
              <w:top w:val="nil"/>
              <w:left w:val="nil"/>
              <w:bottom w:val="nil"/>
              <w:right w:val="single" w:sz="4" w:space="0" w:color="auto"/>
            </w:tcBorders>
            <w:vAlign w:val="center"/>
            <w:hideMark/>
          </w:tcPr>
          <w:p w14:paraId="24F4E244" w14:textId="77777777" w:rsidR="0051795D" w:rsidRPr="0051795D" w:rsidRDefault="0051795D" w:rsidP="0051795D">
            <w:pPr>
              <w:spacing w:before="0" w:after="0" w:line="240" w:lineRule="auto"/>
              <w:rPr>
                <w:rFonts w:ascii="Aptos Narrow" w:eastAsia="Times New Roman" w:hAnsi="Aptos Narrow"/>
                <w:b/>
                <w:bCs/>
                <w:color w:val="FFFFFF"/>
                <w:kern w:val="0"/>
                <w:sz w:val="20"/>
                <w:lang w:val="en-IE" w:eastAsia="en-IE"/>
              </w:rPr>
            </w:pPr>
          </w:p>
        </w:tc>
        <w:tc>
          <w:tcPr>
            <w:tcW w:w="1500" w:type="dxa"/>
            <w:vMerge/>
            <w:tcBorders>
              <w:top w:val="nil"/>
              <w:left w:val="single" w:sz="4" w:space="0" w:color="auto"/>
              <w:bottom w:val="nil"/>
              <w:right w:val="single" w:sz="4" w:space="0" w:color="auto"/>
            </w:tcBorders>
            <w:vAlign w:val="center"/>
            <w:hideMark/>
          </w:tcPr>
          <w:p w14:paraId="61991960" w14:textId="77777777" w:rsidR="0051795D" w:rsidRPr="0051795D" w:rsidRDefault="0051795D" w:rsidP="0051795D">
            <w:pPr>
              <w:spacing w:before="0" w:after="0" w:line="240" w:lineRule="auto"/>
              <w:rPr>
                <w:rFonts w:ascii="Aptos Narrow" w:eastAsia="Times New Roman" w:hAnsi="Aptos Narrow"/>
                <w:b/>
                <w:bCs/>
                <w:color w:val="FFFFFF"/>
                <w:kern w:val="0"/>
                <w:sz w:val="20"/>
                <w:lang w:val="en-IE" w:eastAsia="en-IE"/>
              </w:rPr>
            </w:pPr>
          </w:p>
        </w:tc>
        <w:tc>
          <w:tcPr>
            <w:tcW w:w="2308" w:type="dxa"/>
            <w:vMerge w:val="restart"/>
            <w:tcBorders>
              <w:top w:val="nil"/>
              <w:left w:val="single" w:sz="4" w:space="0" w:color="auto"/>
              <w:bottom w:val="single" w:sz="4" w:space="0" w:color="000000"/>
              <w:right w:val="single" w:sz="4" w:space="0" w:color="auto"/>
            </w:tcBorders>
            <w:vAlign w:val="center"/>
            <w:hideMark/>
          </w:tcPr>
          <w:p w14:paraId="496F6D70"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 xml:space="preserve">Number of customers LE whose UBO are PEPs per country </w:t>
            </w:r>
          </w:p>
        </w:tc>
        <w:tc>
          <w:tcPr>
            <w:tcW w:w="2694" w:type="dxa"/>
            <w:tcBorders>
              <w:top w:val="nil"/>
              <w:left w:val="nil"/>
              <w:bottom w:val="nil"/>
              <w:right w:val="single" w:sz="4" w:space="0" w:color="auto"/>
            </w:tcBorders>
            <w:vAlign w:val="center"/>
            <w:hideMark/>
          </w:tcPr>
          <w:p w14:paraId="52C63B4D"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Legal Entities - PEP Bos</w:t>
            </w:r>
          </w:p>
        </w:tc>
        <w:tc>
          <w:tcPr>
            <w:tcW w:w="850" w:type="dxa"/>
            <w:tcBorders>
              <w:top w:val="nil"/>
              <w:left w:val="nil"/>
              <w:bottom w:val="nil"/>
              <w:right w:val="single" w:sz="4" w:space="0" w:color="auto"/>
            </w:tcBorders>
            <w:vAlign w:val="center"/>
            <w:hideMark/>
          </w:tcPr>
          <w:p w14:paraId="19DDDC1B"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C0050</w:t>
            </w:r>
          </w:p>
        </w:tc>
        <w:tc>
          <w:tcPr>
            <w:tcW w:w="1276" w:type="dxa"/>
            <w:tcBorders>
              <w:top w:val="single" w:sz="4" w:space="0" w:color="auto"/>
              <w:left w:val="nil"/>
              <w:bottom w:val="nil"/>
              <w:right w:val="single" w:sz="4" w:space="0" w:color="auto"/>
            </w:tcBorders>
            <w:shd w:val="clear" w:color="000000" w:fill="3D7AF5"/>
            <w:vAlign w:val="center"/>
            <w:hideMark/>
          </w:tcPr>
          <w:p w14:paraId="6F51B732" w14:textId="77777777" w:rsidR="0051795D" w:rsidRPr="0051795D" w:rsidRDefault="0051795D" w:rsidP="0051795D">
            <w:pPr>
              <w:spacing w:before="0" w:after="0" w:line="240" w:lineRule="auto"/>
              <w:jc w:val="center"/>
              <w:rPr>
                <w:rFonts w:ascii="Aptos Narrow" w:eastAsia="Times New Roman" w:hAnsi="Aptos Narrow"/>
                <w:b/>
                <w:bCs/>
                <w:color w:val="FFFFFF"/>
                <w:kern w:val="0"/>
                <w:sz w:val="20"/>
                <w:lang w:val="en-IE" w:eastAsia="en-IE"/>
              </w:rPr>
            </w:pPr>
            <w:r w:rsidRPr="0051795D">
              <w:rPr>
                <w:rFonts w:ascii="Aptos Narrow" w:eastAsia="Times New Roman" w:hAnsi="Aptos Narrow"/>
                <w:b/>
                <w:bCs/>
                <w:color w:val="FFFFFF"/>
                <w:kern w:val="0"/>
                <w:sz w:val="20"/>
                <w:lang w:val="en-IE" w:eastAsia="en-IE"/>
              </w:rPr>
              <w:t>AML.02.01</w:t>
            </w:r>
          </w:p>
        </w:tc>
      </w:tr>
      <w:tr w:rsidR="00476609" w:rsidRPr="0051795D" w14:paraId="5C61DF8C" w14:textId="77777777" w:rsidTr="00513763">
        <w:trPr>
          <w:trHeight w:val="720"/>
        </w:trPr>
        <w:tc>
          <w:tcPr>
            <w:tcW w:w="1290" w:type="dxa"/>
            <w:vMerge/>
            <w:tcBorders>
              <w:top w:val="nil"/>
              <w:left w:val="nil"/>
              <w:bottom w:val="nil"/>
              <w:right w:val="single" w:sz="4" w:space="0" w:color="auto"/>
            </w:tcBorders>
            <w:vAlign w:val="center"/>
            <w:hideMark/>
          </w:tcPr>
          <w:p w14:paraId="3E9BB2E2" w14:textId="77777777" w:rsidR="0051795D" w:rsidRPr="0051795D" w:rsidRDefault="0051795D" w:rsidP="0051795D">
            <w:pPr>
              <w:spacing w:before="0" w:after="0" w:line="240" w:lineRule="auto"/>
              <w:rPr>
                <w:rFonts w:ascii="Aptos Narrow" w:eastAsia="Times New Roman" w:hAnsi="Aptos Narrow"/>
                <w:b/>
                <w:bCs/>
                <w:color w:val="FFFFFF"/>
                <w:kern w:val="0"/>
                <w:sz w:val="20"/>
                <w:lang w:val="en-IE" w:eastAsia="en-IE"/>
              </w:rPr>
            </w:pPr>
          </w:p>
        </w:tc>
        <w:tc>
          <w:tcPr>
            <w:tcW w:w="1500" w:type="dxa"/>
            <w:vMerge/>
            <w:tcBorders>
              <w:top w:val="nil"/>
              <w:left w:val="single" w:sz="4" w:space="0" w:color="auto"/>
              <w:bottom w:val="nil"/>
              <w:right w:val="single" w:sz="4" w:space="0" w:color="auto"/>
            </w:tcBorders>
            <w:vAlign w:val="center"/>
            <w:hideMark/>
          </w:tcPr>
          <w:p w14:paraId="762A4C22" w14:textId="77777777" w:rsidR="0051795D" w:rsidRPr="0051795D" w:rsidRDefault="0051795D" w:rsidP="0051795D">
            <w:pPr>
              <w:spacing w:before="0" w:after="0" w:line="240" w:lineRule="auto"/>
              <w:rPr>
                <w:rFonts w:ascii="Aptos Narrow" w:eastAsia="Times New Roman" w:hAnsi="Aptos Narrow"/>
                <w:b/>
                <w:bCs/>
                <w:color w:val="FFFFFF"/>
                <w:kern w:val="0"/>
                <w:sz w:val="20"/>
                <w:lang w:val="en-IE" w:eastAsia="en-IE"/>
              </w:rPr>
            </w:pPr>
          </w:p>
        </w:tc>
        <w:tc>
          <w:tcPr>
            <w:tcW w:w="2308" w:type="dxa"/>
            <w:vMerge/>
            <w:tcBorders>
              <w:top w:val="nil"/>
              <w:left w:val="single" w:sz="4" w:space="0" w:color="auto"/>
              <w:bottom w:val="single" w:sz="4" w:space="0" w:color="000000"/>
              <w:right w:val="single" w:sz="4" w:space="0" w:color="auto"/>
            </w:tcBorders>
            <w:vAlign w:val="center"/>
            <w:hideMark/>
          </w:tcPr>
          <w:p w14:paraId="4FB7B1DB"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p>
        </w:tc>
        <w:tc>
          <w:tcPr>
            <w:tcW w:w="2694" w:type="dxa"/>
            <w:tcBorders>
              <w:top w:val="nil"/>
              <w:left w:val="nil"/>
              <w:bottom w:val="nil"/>
              <w:right w:val="single" w:sz="4" w:space="0" w:color="auto"/>
            </w:tcBorders>
            <w:vAlign w:val="center"/>
            <w:hideMark/>
          </w:tcPr>
          <w:p w14:paraId="552F01FD"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Legal Entities - PEP Bos</w:t>
            </w:r>
          </w:p>
        </w:tc>
        <w:tc>
          <w:tcPr>
            <w:tcW w:w="850" w:type="dxa"/>
            <w:tcBorders>
              <w:top w:val="nil"/>
              <w:left w:val="nil"/>
              <w:bottom w:val="nil"/>
              <w:right w:val="single" w:sz="4" w:space="0" w:color="auto"/>
            </w:tcBorders>
            <w:vAlign w:val="center"/>
            <w:hideMark/>
          </w:tcPr>
          <w:p w14:paraId="076C222D"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C0050</w:t>
            </w:r>
          </w:p>
        </w:tc>
        <w:tc>
          <w:tcPr>
            <w:tcW w:w="1276" w:type="dxa"/>
            <w:tcBorders>
              <w:top w:val="single" w:sz="4" w:space="0" w:color="auto"/>
              <w:left w:val="nil"/>
              <w:bottom w:val="nil"/>
              <w:right w:val="single" w:sz="4" w:space="0" w:color="auto"/>
            </w:tcBorders>
            <w:shd w:val="clear" w:color="000000" w:fill="3D7AF5"/>
            <w:vAlign w:val="center"/>
            <w:hideMark/>
          </w:tcPr>
          <w:p w14:paraId="5A67D4F7" w14:textId="77777777" w:rsidR="0051795D" w:rsidRPr="0051795D" w:rsidRDefault="0051795D" w:rsidP="0051795D">
            <w:pPr>
              <w:spacing w:before="0" w:after="0" w:line="240" w:lineRule="auto"/>
              <w:jc w:val="center"/>
              <w:rPr>
                <w:rFonts w:ascii="Aptos Narrow" w:eastAsia="Times New Roman" w:hAnsi="Aptos Narrow"/>
                <w:b/>
                <w:bCs/>
                <w:color w:val="FFFFFF"/>
                <w:kern w:val="0"/>
                <w:sz w:val="20"/>
                <w:lang w:val="en-IE" w:eastAsia="en-IE"/>
              </w:rPr>
            </w:pPr>
            <w:r w:rsidRPr="0051795D">
              <w:rPr>
                <w:rFonts w:ascii="Aptos Narrow" w:eastAsia="Times New Roman" w:hAnsi="Aptos Narrow"/>
                <w:b/>
                <w:bCs/>
                <w:color w:val="FFFFFF"/>
                <w:kern w:val="0"/>
                <w:sz w:val="20"/>
                <w:lang w:val="en-IE" w:eastAsia="en-IE"/>
              </w:rPr>
              <w:t>AML.05.01</w:t>
            </w:r>
          </w:p>
        </w:tc>
      </w:tr>
      <w:tr w:rsidR="00476609" w:rsidRPr="0051795D" w14:paraId="62EC7F75" w14:textId="77777777" w:rsidTr="00513763">
        <w:trPr>
          <w:trHeight w:val="720"/>
        </w:trPr>
        <w:tc>
          <w:tcPr>
            <w:tcW w:w="1290" w:type="dxa"/>
            <w:vMerge/>
            <w:tcBorders>
              <w:top w:val="nil"/>
              <w:left w:val="nil"/>
              <w:bottom w:val="nil"/>
              <w:right w:val="single" w:sz="4" w:space="0" w:color="auto"/>
            </w:tcBorders>
            <w:vAlign w:val="center"/>
            <w:hideMark/>
          </w:tcPr>
          <w:p w14:paraId="31C9D334" w14:textId="77777777" w:rsidR="0051795D" w:rsidRPr="0051795D" w:rsidRDefault="0051795D" w:rsidP="0051795D">
            <w:pPr>
              <w:spacing w:before="0" w:after="0" w:line="240" w:lineRule="auto"/>
              <w:rPr>
                <w:rFonts w:ascii="Aptos Narrow" w:eastAsia="Times New Roman" w:hAnsi="Aptos Narrow"/>
                <w:b/>
                <w:bCs/>
                <w:color w:val="FFFFFF"/>
                <w:kern w:val="0"/>
                <w:sz w:val="20"/>
                <w:lang w:val="en-IE" w:eastAsia="en-IE"/>
              </w:rPr>
            </w:pPr>
          </w:p>
        </w:tc>
        <w:tc>
          <w:tcPr>
            <w:tcW w:w="1500" w:type="dxa"/>
            <w:vMerge/>
            <w:tcBorders>
              <w:top w:val="nil"/>
              <w:left w:val="single" w:sz="4" w:space="0" w:color="auto"/>
              <w:bottom w:val="nil"/>
              <w:right w:val="single" w:sz="4" w:space="0" w:color="auto"/>
            </w:tcBorders>
            <w:vAlign w:val="center"/>
            <w:hideMark/>
          </w:tcPr>
          <w:p w14:paraId="26B84776" w14:textId="77777777" w:rsidR="0051795D" w:rsidRPr="0051795D" w:rsidRDefault="0051795D" w:rsidP="0051795D">
            <w:pPr>
              <w:spacing w:before="0" w:after="0" w:line="240" w:lineRule="auto"/>
              <w:rPr>
                <w:rFonts w:ascii="Aptos Narrow" w:eastAsia="Times New Roman" w:hAnsi="Aptos Narrow"/>
                <w:b/>
                <w:bCs/>
                <w:color w:val="FFFFFF"/>
                <w:kern w:val="0"/>
                <w:sz w:val="20"/>
                <w:lang w:val="en-IE" w:eastAsia="en-IE"/>
              </w:rPr>
            </w:pPr>
          </w:p>
        </w:tc>
        <w:tc>
          <w:tcPr>
            <w:tcW w:w="2308" w:type="dxa"/>
            <w:tcBorders>
              <w:top w:val="nil"/>
              <w:left w:val="nil"/>
              <w:bottom w:val="single" w:sz="4" w:space="0" w:color="auto"/>
              <w:right w:val="single" w:sz="4" w:space="0" w:color="auto"/>
            </w:tcBorders>
            <w:vAlign w:val="center"/>
            <w:hideMark/>
          </w:tcPr>
          <w:p w14:paraId="069A3DFB"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Number of customers with at least one transaction in the previous year</w:t>
            </w:r>
          </w:p>
        </w:tc>
        <w:tc>
          <w:tcPr>
            <w:tcW w:w="2694" w:type="dxa"/>
            <w:tcBorders>
              <w:top w:val="single" w:sz="4" w:space="0" w:color="auto"/>
              <w:left w:val="nil"/>
              <w:bottom w:val="nil"/>
              <w:right w:val="single" w:sz="4" w:space="0" w:color="auto"/>
            </w:tcBorders>
            <w:vAlign w:val="center"/>
            <w:hideMark/>
          </w:tcPr>
          <w:p w14:paraId="66487DEE"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Active Customers</w:t>
            </w:r>
          </w:p>
        </w:tc>
        <w:tc>
          <w:tcPr>
            <w:tcW w:w="850" w:type="dxa"/>
            <w:tcBorders>
              <w:top w:val="single" w:sz="4" w:space="0" w:color="auto"/>
              <w:left w:val="nil"/>
              <w:bottom w:val="nil"/>
              <w:right w:val="single" w:sz="4" w:space="0" w:color="auto"/>
            </w:tcBorders>
            <w:vAlign w:val="center"/>
            <w:hideMark/>
          </w:tcPr>
          <w:p w14:paraId="0613F2B3"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C0060</w:t>
            </w:r>
          </w:p>
        </w:tc>
        <w:tc>
          <w:tcPr>
            <w:tcW w:w="1276" w:type="dxa"/>
            <w:tcBorders>
              <w:top w:val="single" w:sz="4" w:space="0" w:color="auto"/>
              <w:left w:val="nil"/>
              <w:bottom w:val="nil"/>
              <w:right w:val="single" w:sz="4" w:space="0" w:color="auto"/>
            </w:tcBorders>
            <w:shd w:val="clear" w:color="000000" w:fill="3D7AF5"/>
            <w:vAlign w:val="center"/>
            <w:hideMark/>
          </w:tcPr>
          <w:p w14:paraId="46526B55" w14:textId="77777777" w:rsidR="0051795D" w:rsidRPr="0051795D" w:rsidRDefault="0051795D" w:rsidP="0051795D">
            <w:pPr>
              <w:spacing w:before="0" w:after="0" w:line="240" w:lineRule="auto"/>
              <w:jc w:val="center"/>
              <w:rPr>
                <w:rFonts w:ascii="Aptos Narrow" w:eastAsia="Times New Roman" w:hAnsi="Aptos Narrow"/>
                <w:b/>
                <w:bCs/>
                <w:color w:val="FFFFFF"/>
                <w:kern w:val="0"/>
                <w:sz w:val="20"/>
                <w:lang w:val="en-IE" w:eastAsia="en-IE"/>
              </w:rPr>
            </w:pPr>
            <w:r w:rsidRPr="0051795D">
              <w:rPr>
                <w:rFonts w:ascii="Aptos Narrow" w:eastAsia="Times New Roman" w:hAnsi="Aptos Narrow"/>
                <w:b/>
                <w:bCs/>
                <w:color w:val="FFFFFF"/>
                <w:kern w:val="0"/>
                <w:sz w:val="20"/>
                <w:lang w:val="en-IE" w:eastAsia="en-IE"/>
              </w:rPr>
              <w:t>AML.02.01</w:t>
            </w:r>
          </w:p>
        </w:tc>
      </w:tr>
      <w:tr w:rsidR="00476609" w:rsidRPr="0051795D" w14:paraId="49B4B6C6" w14:textId="77777777" w:rsidTr="00513763">
        <w:trPr>
          <w:trHeight w:val="720"/>
        </w:trPr>
        <w:tc>
          <w:tcPr>
            <w:tcW w:w="1290" w:type="dxa"/>
            <w:vMerge/>
            <w:tcBorders>
              <w:top w:val="nil"/>
              <w:left w:val="nil"/>
              <w:bottom w:val="nil"/>
              <w:right w:val="single" w:sz="4" w:space="0" w:color="auto"/>
            </w:tcBorders>
            <w:vAlign w:val="center"/>
            <w:hideMark/>
          </w:tcPr>
          <w:p w14:paraId="25E294B5" w14:textId="77777777" w:rsidR="0051795D" w:rsidRPr="0051795D" w:rsidRDefault="0051795D" w:rsidP="0051795D">
            <w:pPr>
              <w:spacing w:before="0" w:after="0" w:line="240" w:lineRule="auto"/>
              <w:rPr>
                <w:rFonts w:ascii="Aptos Narrow" w:eastAsia="Times New Roman" w:hAnsi="Aptos Narrow"/>
                <w:b/>
                <w:bCs/>
                <w:color w:val="FFFFFF"/>
                <w:kern w:val="0"/>
                <w:sz w:val="20"/>
                <w:lang w:val="en-IE" w:eastAsia="en-IE"/>
              </w:rPr>
            </w:pPr>
          </w:p>
        </w:tc>
        <w:tc>
          <w:tcPr>
            <w:tcW w:w="1500" w:type="dxa"/>
            <w:vMerge/>
            <w:tcBorders>
              <w:top w:val="nil"/>
              <w:left w:val="single" w:sz="4" w:space="0" w:color="auto"/>
              <w:bottom w:val="nil"/>
              <w:right w:val="single" w:sz="4" w:space="0" w:color="auto"/>
            </w:tcBorders>
            <w:vAlign w:val="center"/>
            <w:hideMark/>
          </w:tcPr>
          <w:p w14:paraId="006F9822" w14:textId="77777777" w:rsidR="0051795D" w:rsidRPr="0051795D" w:rsidRDefault="0051795D" w:rsidP="0051795D">
            <w:pPr>
              <w:spacing w:before="0" w:after="0" w:line="240" w:lineRule="auto"/>
              <w:rPr>
                <w:rFonts w:ascii="Aptos Narrow" w:eastAsia="Times New Roman" w:hAnsi="Aptos Narrow"/>
                <w:b/>
                <w:bCs/>
                <w:color w:val="FFFFFF"/>
                <w:kern w:val="0"/>
                <w:sz w:val="20"/>
                <w:lang w:val="en-IE" w:eastAsia="en-IE"/>
              </w:rPr>
            </w:pPr>
          </w:p>
        </w:tc>
        <w:tc>
          <w:tcPr>
            <w:tcW w:w="2308" w:type="dxa"/>
            <w:tcBorders>
              <w:top w:val="nil"/>
              <w:left w:val="nil"/>
              <w:bottom w:val="single" w:sz="4" w:space="0" w:color="auto"/>
              <w:right w:val="single" w:sz="4" w:space="0" w:color="auto"/>
            </w:tcBorders>
            <w:vAlign w:val="center"/>
            <w:hideMark/>
          </w:tcPr>
          <w:p w14:paraId="542C028D"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Number of new customers in the previous year</w:t>
            </w:r>
          </w:p>
        </w:tc>
        <w:tc>
          <w:tcPr>
            <w:tcW w:w="2694" w:type="dxa"/>
            <w:tcBorders>
              <w:top w:val="single" w:sz="4" w:space="0" w:color="auto"/>
              <w:left w:val="nil"/>
              <w:bottom w:val="nil"/>
              <w:right w:val="single" w:sz="4" w:space="0" w:color="auto"/>
            </w:tcBorders>
            <w:vAlign w:val="center"/>
            <w:hideMark/>
          </w:tcPr>
          <w:p w14:paraId="376ACFE3"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New Customers</w:t>
            </w:r>
          </w:p>
        </w:tc>
        <w:tc>
          <w:tcPr>
            <w:tcW w:w="850" w:type="dxa"/>
            <w:tcBorders>
              <w:top w:val="single" w:sz="4" w:space="0" w:color="auto"/>
              <w:left w:val="nil"/>
              <w:bottom w:val="nil"/>
              <w:right w:val="single" w:sz="4" w:space="0" w:color="auto"/>
            </w:tcBorders>
            <w:vAlign w:val="center"/>
            <w:hideMark/>
          </w:tcPr>
          <w:p w14:paraId="17B615A7"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C0070</w:t>
            </w:r>
          </w:p>
        </w:tc>
        <w:tc>
          <w:tcPr>
            <w:tcW w:w="1276" w:type="dxa"/>
            <w:tcBorders>
              <w:top w:val="single" w:sz="4" w:space="0" w:color="auto"/>
              <w:left w:val="nil"/>
              <w:bottom w:val="nil"/>
              <w:right w:val="single" w:sz="4" w:space="0" w:color="auto"/>
            </w:tcBorders>
            <w:shd w:val="clear" w:color="000000" w:fill="3D7AF5"/>
            <w:vAlign w:val="center"/>
            <w:hideMark/>
          </w:tcPr>
          <w:p w14:paraId="3F696782" w14:textId="77777777" w:rsidR="0051795D" w:rsidRPr="0051795D" w:rsidRDefault="0051795D" w:rsidP="0051795D">
            <w:pPr>
              <w:spacing w:before="0" w:after="0" w:line="240" w:lineRule="auto"/>
              <w:jc w:val="center"/>
              <w:rPr>
                <w:rFonts w:ascii="Aptos Narrow" w:eastAsia="Times New Roman" w:hAnsi="Aptos Narrow"/>
                <w:b/>
                <w:bCs/>
                <w:color w:val="FFFFFF"/>
                <w:kern w:val="0"/>
                <w:sz w:val="20"/>
                <w:lang w:val="en-IE" w:eastAsia="en-IE"/>
              </w:rPr>
            </w:pPr>
            <w:r w:rsidRPr="0051795D">
              <w:rPr>
                <w:rFonts w:ascii="Aptos Narrow" w:eastAsia="Times New Roman" w:hAnsi="Aptos Narrow"/>
                <w:b/>
                <w:bCs/>
                <w:color w:val="FFFFFF"/>
                <w:kern w:val="0"/>
                <w:sz w:val="20"/>
                <w:lang w:val="en-IE" w:eastAsia="en-IE"/>
              </w:rPr>
              <w:t>AML.02.01</w:t>
            </w:r>
          </w:p>
        </w:tc>
      </w:tr>
      <w:tr w:rsidR="00476609" w:rsidRPr="0051795D" w14:paraId="013AB51A" w14:textId="77777777" w:rsidTr="00513763">
        <w:trPr>
          <w:trHeight w:val="720"/>
        </w:trPr>
        <w:tc>
          <w:tcPr>
            <w:tcW w:w="1290" w:type="dxa"/>
            <w:vMerge/>
            <w:tcBorders>
              <w:top w:val="nil"/>
              <w:left w:val="nil"/>
              <w:bottom w:val="nil"/>
              <w:right w:val="single" w:sz="4" w:space="0" w:color="auto"/>
            </w:tcBorders>
            <w:vAlign w:val="center"/>
            <w:hideMark/>
          </w:tcPr>
          <w:p w14:paraId="34D4ADE3" w14:textId="77777777" w:rsidR="0051795D" w:rsidRPr="0051795D" w:rsidRDefault="0051795D" w:rsidP="0051795D">
            <w:pPr>
              <w:spacing w:before="0" w:after="0" w:line="240" w:lineRule="auto"/>
              <w:rPr>
                <w:rFonts w:ascii="Aptos Narrow" w:eastAsia="Times New Roman" w:hAnsi="Aptos Narrow"/>
                <w:b/>
                <w:bCs/>
                <w:color w:val="FFFFFF"/>
                <w:kern w:val="0"/>
                <w:sz w:val="20"/>
                <w:lang w:val="en-IE" w:eastAsia="en-IE"/>
              </w:rPr>
            </w:pPr>
          </w:p>
        </w:tc>
        <w:tc>
          <w:tcPr>
            <w:tcW w:w="1500" w:type="dxa"/>
            <w:vMerge/>
            <w:tcBorders>
              <w:top w:val="nil"/>
              <w:left w:val="single" w:sz="4" w:space="0" w:color="auto"/>
              <w:bottom w:val="nil"/>
              <w:right w:val="single" w:sz="4" w:space="0" w:color="auto"/>
            </w:tcBorders>
            <w:vAlign w:val="center"/>
            <w:hideMark/>
          </w:tcPr>
          <w:p w14:paraId="5E1F9CC7" w14:textId="77777777" w:rsidR="0051795D" w:rsidRPr="0051795D" w:rsidRDefault="0051795D" w:rsidP="0051795D">
            <w:pPr>
              <w:spacing w:before="0" w:after="0" w:line="240" w:lineRule="auto"/>
              <w:rPr>
                <w:rFonts w:ascii="Aptos Narrow" w:eastAsia="Times New Roman" w:hAnsi="Aptos Narrow"/>
                <w:b/>
                <w:bCs/>
                <w:color w:val="FFFFFF"/>
                <w:kern w:val="0"/>
                <w:sz w:val="20"/>
                <w:lang w:val="en-IE" w:eastAsia="en-IE"/>
              </w:rPr>
            </w:pPr>
          </w:p>
        </w:tc>
        <w:tc>
          <w:tcPr>
            <w:tcW w:w="2308" w:type="dxa"/>
            <w:tcBorders>
              <w:top w:val="nil"/>
              <w:left w:val="nil"/>
              <w:bottom w:val="single" w:sz="4" w:space="0" w:color="auto"/>
              <w:right w:val="single" w:sz="4" w:space="0" w:color="auto"/>
            </w:tcBorders>
            <w:vAlign w:val="center"/>
            <w:hideMark/>
          </w:tcPr>
          <w:p w14:paraId="7DCE6AC9" w14:textId="0E6647E1"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Number of legal entities with complex corporate structure</w:t>
            </w:r>
          </w:p>
        </w:tc>
        <w:tc>
          <w:tcPr>
            <w:tcW w:w="2694" w:type="dxa"/>
            <w:tcBorders>
              <w:top w:val="single" w:sz="4" w:space="0" w:color="auto"/>
              <w:left w:val="nil"/>
              <w:bottom w:val="nil"/>
              <w:right w:val="single" w:sz="4" w:space="0" w:color="auto"/>
            </w:tcBorders>
            <w:vAlign w:val="center"/>
            <w:hideMark/>
          </w:tcPr>
          <w:p w14:paraId="72E3A1D2"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Legal Entities - Complex Structure</w:t>
            </w:r>
          </w:p>
        </w:tc>
        <w:tc>
          <w:tcPr>
            <w:tcW w:w="850" w:type="dxa"/>
            <w:tcBorders>
              <w:top w:val="single" w:sz="4" w:space="0" w:color="auto"/>
              <w:left w:val="nil"/>
              <w:bottom w:val="nil"/>
              <w:right w:val="single" w:sz="4" w:space="0" w:color="auto"/>
            </w:tcBorders>
            <w:vAlign w:val="center"/>
            <w:hideMark/>
          </w:tcPr>
          <w:p w14:paraId="21C3D86C"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C0110</w:t>
            </w:r>
          </w:p>
        </w:tc>
        <w:tc>
          <w:tcPr>
            <w:tcW w:w="1276" w:type="dxa"/>
            <w:tcBorders>
              <w:top w:val="single" w:sz="4" w:space="0" w:color="auto"/>
              <w:left w:val="nil"/>
              <w:bottom w:val="nil"/>
              <w:right w:val="single" w:sz="4" w:space="0" w:color="auto"/>
            </w:tcBorders>
            <w:shd w:val="clear" w:color="000000" w:fill="3D7AF5"/>
            <w:vAlign w:val="center"/>
            <w:hideMark/>
          </w:tcPr>
          <w:p w14:paraId="715266B2" w14:textId="77777777" w:rsidR="0051795D" w:rsidRPr="0051795D" w:rsidRDefault="0051795D" w:rsidP="0051795D">
            <w:pPr>
              <w:spacing w:before="0" w:after="0" w:line="240" w:lineRule="auto"/>
              <w:jc w:val="center"/>
              <w:rPr>
                <w:rFonts w:ascii="Aptos Narrow" w:eastAsia="Times New Roman" w:hAnsi="Aptos Narrow"/>
                <w:b/>
                <w:bCs/>
                <w:color w:val="FFFFFF"/>
                <w:kern w:val="0"/>
                <w:sz w:val="20"/>
                <w:lang w:val="en-IE" w:eastAsia="en-IE"/>
              </w:rPr>
            </w:pPr>
            <w:r w:rsidRPr="0051795D">
              <w:rPr>
                <w:rFonts w:ascii="Aptos Narrow" w:eastAsia="Times New Roman" w:hAnsi="Aptos Narrow"/>
                <w:b/>
                <w:bCs/>
                <w:color w:val="FFFFFF"/>
                <w:kern w:val="0"/>
                <w:sz w:val="20"/>
                <w:lang w:val="en-IE" w:eastAsia="en-IE"/>
              </w:rPr>
              <w:t>AML.02.01</w:t>
            </w:r>
          </w:p>
        </w:tc>
      </w:tr>
      <w:tr w:rsidR="00476609" w:rsidRPr="0051795D" w14:paraId="68FF384D" w14:textId="77777777" w:rsidTr="00513763">
        <w:trPr>
          <w:trHeight w:val="720"/>
        </w:trPr>
        <w:tc>
          <w:tcPr>
            <w:tcW w:w="1290" w:type="dxa"/>
            <w:vMerge/>
            <w:tcBorders>
              <w:top w:val="nil"/>
              <w:left w:val="nil"/>
              <w:bottom w:val="nil"/>
              <w:right w:val="single" w:sz="4" w:space="0" w:color="auto"/>
            </w:tcBorders>
            <w:vAlign w:val="center"/>
            <w:hideMark/>
          </w:tcPr>
          <w:p w14:paraId="4442526E" w14:textId="77777777" w:rsidR="0051795D" w:rsidRPr="0051795D" w:rsidRDefault="0051795D" w:rsidP="0051795D">
            <w:pPr>
              <w:spacing w:before="0" w:after="0" w:line="240" w:lineRule="auto"/>
              <w:rPr>
                <w:rFonts w:ascii="Aptos Narrow" w:eastAsia="Times New Roman" w:hAnsi="Aptos Narrow"/>
                <w:b/>
                <w:bCs/>
                <w:color w:val="FFFFFF"/>
                <w:kern w:val="0"/>
                <w:sz w:val="20"/>
                <w:lang w:val="en-IE" w:eastAsia="en-IE"/>
              </w:rPr>
            </w:pPr>
          </w:p>
        </w:tc>
        <w:tc>
          <w:tcPr>
            <w:tcW w:w="1500" w:type="dxa"/>
            <w:vMerge/>
            <w:tcBorders>
              <w:top w:val="nil"/>
              <w:left w:val="single" w:sz="4" w:space="0" w:color="auto"/>
              <w:bottom w:val="nil"/>
              <w:right w:val="single" w:sz="4" w:space="0" w:color="auto"/>
            </w:tcBorders>
            <w:vAlign w:val="center"/>
            <w:hideMark/>
          </w:tcPr>
          <w:p w14:paraId="3F611157" w14:textId="77777777" w:rsidR="0051795D" w:rsidRPr="0051795D" w:rsidRDefault="0051795D" w:rsidP="0051795D">
            <w:pPr>
              <w:spacing w:before="0" w:after="0" w:line="240" w:lineRule="auto"/>
              <w:rPr>
                <w:rFonts w:ascii="Aptos Narrow" w:eastAsia="Times New Roman" w:hAnsi="Aptos Narrow"/>
                <w:b/>
                <w:bCs/>
                <w:color w:val="FFFFFF"/>
                <w:kern w:val="0"/>
                <w:sz w:val="20"/>
                <w:lang w:val="en-IE" w:eastAsia="en-IE"/>
              </w:rPr>
            </w:pPr>
          </w:p>
        </w:tc>
        <w:tc>
          <w:tcPr>
            <w:tcW w:w="2308" w:type="dxa"/>
            <w:tcBorders>
              <w:top w:val="nil"/>
              <w:left w:val="nil"/>
              <w:bottom w:val="single" w:sz="4" w:space="0" w:color="auto"/>
              <w:right w:val="single" w:sz="4" w:space="0" w:color="auto"/>
            </w:tcBorders>
            <w:vAlign w:val="center"/>
            <w:hideMark/>
          </w:tcPr>
          <w:p w14:paraId="09E31192"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Number of customers with high risk activities</w:t>
            </w:r>
          </w:p>
        </w:tc>
        <w:tc>
          <w:tcPr>
            <w:tcW w:w="2694" w:type="dxa"/>
            <w:tcBorders>
              <w:top w:val="single" w:sz="4" w:space="0" w:color="auto"/>
              <w:left w:val="nil"/>
              <w:bottom w:val="nil"/>
              <w:right w:val="single" w:sz="4" w:space="0" w:color="auto"/>
            </w:tcBorders>
            <w:vAlign w:val="center"/>
            <w:hideMark/>
          </w:tcPr>
          <w:p w14:paraId="6725D525" w14:textId="27C376B5"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 xml:space="preserve">Customers with high-risk activities </w:t>
            </w:r>
          </w:p>
        </w:tc>
        <w:tc>
          <w:tcPr>
            <w:tcW w:w="850" w:type="dxa"/>
            <w:tcBorders>
              <w:top w:val="single" w:sz="4" w:space="0" w:color="auto"/>
              <w:left w:val="nil"/>
              <w:bottom w:val="nil"/>
              <w:right w:val="single" w:sz="4" w:space="0" w:color="auto"/>
            </w:tcBorders>
            <w:vAlign w:val="center"/>
            <w:hideMark/>
          </w:tcPr>
          <w:p w14:paraId="316ED4BE"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C0120</w:t>
            </w:r>
          </w:p>
        </w:tc>
        <w:tc>
          <w:tcPr>
            <w:tcW w:w="1276" w:type="dxa"/>
            <w:tcBorders>
              <w:top w:val="single" w:sz="4" w:space="0" w:color="auto"/>
              <w:left w:val="nil"/>
              <w:bottom w:val="nil"/>
              <w:right w:val="single" w:sz="4" w:space="0" w:color="auto"/>
            </w:tcBorders>
            <w:shd w:val="clear" w:color="000000" w:fill="3D7AF5"/>
            <w:vAlign w:val="center"/>
            <w:hideMark/>
          </w:tcPr>
          <w:p w14:paraId="03E450DF" w14:textId="77777777" w:rsidR="0051795D" w:rsidRPr="0051795D" w:rsidRDefault="0051795D" w:rsidP="0051795D">
            <w:pPr>
              <w:spacing w:before="0" w:after="0" w:line="240" w:lineRule="auto"/>
              <w:jc w:val="center"/>
              <w:rPr>
                <w:rFonts w:ascii="Aptos Narrow" w:eastAsia="Times New Roman" w:hAnsi="Aptos Narrow"/>
                <w:b/>
                <w:bCs/>
                <w:color w:val="FFFFFF"/>
                <w:kern w:val="0"/>
                <w:sz w:val="20"/>
                <w:lang w:val="en-IE" w:eastAsia="en-IE"/>
              </w:rPr>
            </w:pPr>
            <w:r w:rsidRPr="0051795D">
              <w:rPr>
                <w:rFonts w:ascii="Aptos Narrow" w:eastAsia="Times New Roman" w:hAnsi="Aptos Narrow"/>
                <w:b/>
                <w:bCs/>
                <w:color w:val="FFFFFF"/>
                <w:kern w:val="0"/>
                <w:sz w:val="20"/>
                <w:lang w:val="en-IE" w:eastAsia="en-IE"/>
              </w:rPr>
              <w:t>AML.02.01</w:t>
            </w:r>
          </w:p>
        </w:tc>
      </w:tr>
      <w:tr w:rsidR="00476609" w:rsidRPr="0051795D" w14:paraId="62BD0D96" w14:textId="77777777" w:rsidTr="00513763">
        <w:trPr>
          <w:trHeight w:val="720"/>
        </w:trPr>
        <w:tc>
          <w:tcPr>
            <w:tcW w:w="1290" w:type="dxa"/>
            <w:vMerge/>
            <w:tcBorders>
              <w:top w:val="nil"/>
              <w:left w:val="nil"/>
              <w:bottom w:val="nil"/>
              <w:right w:val="single" w:sz="4" w:space="0" w:color="auto"/>
            </w:tcBorders>
            <w:vAlign w:val="center"/>
            <w:hideMark/>
          </w:tcPr>
          <w:p w14:paraId="221FD224" w14:textId="77777777" w:rsidR="0051795D" w:rsidRPr="0051795D" w:rsidRDefault="0051795D" w:rsidP="0051795D">
            <w:pPr>
              <w:spacing w:before="0" w:after="0" w:line="240" w:lineRule="auto"/>
              <w:rPr>
                <w:rFonts w:ascii="Aptos Narrow" w:eastAsia="Times New Roman" w:hAnsi="Aptos Narrow"/>
                <w:b/>
                <w:bCs/>
                <w:color w:val="FFFFFF"/>
                <w:kern w:val="0"/>
                <w:sz w:val="20"/>
                <w:lang w:val="en-IE" w:eastAsia="en-IE"/>
              </w:rPr>
            </w:pPr>
          </w:p>
        </w:tc>
        <w:tc>
          <w:tcPr>
            <w:tcW w:w="1500" w:type="dxa"/>
            <w:vMerge/>
            <w:tcBorders>
              <w:top w:val="nil"/>
              <w:left w:val="single" w:sz="4" w:space="0" w:color="auto"/>
              <w:bottom w:val="nil"/>
              <w:right w:val="single" w:sz="4" w:space="0" w:color="auto"/>
            </w:tcBorders>
            <w:vAlign w:val="center"/>
            <w:hideMark/>
          </w:tcPr>
          <w:p w14:paraId="39CD85B2" w14:textId="77777777" w:rsidR="0051795D" w:rsidRPr="0051795D" w:rsidRDefault="0051795D" w:rsidP="0051795D">
            <w:pPr>
              <w:spacing w:before="0" w:after="0" w:line="240" w:lineRule="auto"/>
              <w:rPr>
                <w:rFonts w:ascii="Aptos Narrow" w:eastAsia="Times New Roman" w:hAnsi="Aptos Narrow"/>
                <w:b/>
                <w:bCs/>
                <w:color w:val="FFFFFF"/>
                <w:kern w:val="0"/>
                <w:sz w:val="20"/>
                <w:lang w:val="en-IE" w:eastAsia="en-IE"/>
              </w:rPr>
            </w:pPr>
          </w:p>
        </w:tc>
        <w:tc>
          <w:tcPr>
            <w:tcW w:w="2308" w:type="dxa"/>
            <w:tcBorders>
              <w:top w:val="nil"/>
              <w:left w:val="nil"/>
              <w:bottom w:val="single" w:sz="4" w:space="0" w:color="auto"/>
              <w:right w:val="single" w:sz="4" w:space="0" w:color="auto"/>
            </w:tcBorders>
            <w:vAlign w:val="center"/>
            <w:hideMark/>
          </w:tcPr>
          <w:p w14:paraId="1C8ED69B"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Number of legal entities with at least 1 UBOs located in non-EEA countries (residence)</w:t>
            </w:r>
          </w:p>
        </w:tc>
        <w:tc>
          <w:tcPr>
            <w:tcW w:w="2694" w:type="dxa"/>
            <w:tcBorders>
              <w:top w:val="single" w:sz="4" w:space="0" w:color="auto"/>
              <w:left w:val="nil"/>
              <w:bottom w:val="nil"/>
              <w:right w:val="single" w:sz="4" w:space="0" w:color="auto"/>
            </w:tcBorders>
            <w:vAlign w:val="center"/>
            <w:hideMark/>
          </w:tcPr>
          <w:p w14:paraId="2ECBC317" w14:textId="7560547A"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 xml:space="preserve">Legal entities with at least 1 Beneficial Owner resident in non-EEA countries </w:t>
            </w:r>
          </w:p>
        </w:tc>
        <w:tc>
          <w:tcPr>
            <w:tcW w:w="850" w:type="dxa"/>
            <w:tcBorders>
              <w:top w:val="single" w:sz="4" w:space="0" w:color="auto"/>
              <w:left w:val="nil"/>
              <w:bottom w:val="nil"/>
              <w:right w:val="single" w:sz="4" w:space="0" w:color="auto"/>
            </w:tcBorders>
            <w:vAlign w:val="center"/>
            <w:hideMark/>
          </w:tcPr>
          <w:p w14:paraId="5A080778"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C0130</w:t>
            </w:r>
          </w:p>
        </w:tc>
        <w:tc>
          <w:tcPr>
            <w:tcW w:w="1276" w:type="dxa"/>
            <w:tcBorders>
              <w:top w:val="single" w:sz="4" w:space="0" w:color="auto"/>
              <w:left w:val="nil"/>
              <w:bottom w:val="nil"/>
              <w:right w:val="single" w:sz="4" w:space="0" w:color="auto"/>
            </w:tcBorders>
            <w:shd w:val="clear" w:color="000000" w:fill="3D7AF5"/>
            <w:vAlign w:val="center"/>
            <w:hideMark/>
          </w:tcPr>
          <w:p w14:paraId="011376B1" w14:textId="77777777" w:rsidR="0051795D" w:rsidRPr="0051795D" w:rsidRDefault="0051795D" w:rsidP="0051795D">
            <w:pPr>
              <w:spacing w:before="0" w:after="0" w:line="240" w:lineRule="auto"/>
              <w:jc w:val="center"/>
              <w:rPr>
                <w:rFonts w:ascii="Aptos Narrow" w:eastAsia="Times New Roman" w:hAnsi="Aptos Narrow"/>
                <w:b/>
                <w:bCs/>
                <w:color w:val="FFFFFF"/>
                <w:kern w:val="0"/>
                <w:sz w:val="20"/>
                <w:lang w:val="en-IE" w:eastAsia="en-IE"/>
              </w:rPr>
            </w:pPr>
            <w:r w:rsidRPr="0051795D">
              <w:rPr>
                <w:rFonts w:ascii="Aptos Narrow" w:eastAsia="Times New Roman" w:hAnsi="Aptos Narrow"/>
                <w:b/>
                <w:bCs/>
                <w:color w:val="FFFFFF"/>
                <w:kern w:val="0"/>
                <w:sz w:val="20"/>
                <w:lang w:val="en-IE" w:eastAsia="en-IE"/>
              </w:rPr>
              <w:t>AML.02.01</w:t>
            </w:r>
          </w:p>
        </w:tc>
      </w:tr>
      <w:tr w:rsidR="00476609" w:rsidRPr="0051795D" w14:paraId="3384A54F" w14:textId="77777777" w:rsidTr="00513763">
        <w:trPr>
          <w:trHeight w:val="720"/>
        </w:trPr>
        <w:tc>
          <w:tcPr>
            <w:tcW w:w="1290" w:type="dxa"/>
            <w:vMerge/>
            <w:tcBorders>
              <w:top w:val="nil"/>
              <w:left w:val="nil"/>
              <w:bottom w:val="nil"/>
              <w:right w:val="single" w:sz="4" w:space="0" w:color="auto"/>
            </w:tcBorders>
            <w:vAlign w:val="center"/>
            <w:hideMark/>
          </w:tcPr>
          <w:p w14:paraId="09BF108F" w14:textId="77777777" w:rsidR="0051795D" w:rsidRPr="0051795D" w:rsidRDefault="0051795D" w:rsidP="0051795D">
            <w:pPr>
              <w:spacing w:before="0" w:after="0" w:line="240" w:lineRule="auto"/>
              <w:rPr>
                <w:rFonts w:ascii="Aptos Narrow" w:eastAsia="Times New Roman" w:hAnsi="Aptos Narrow"/>
                <w:b/>
                <w:bCs/>
                <w:color w:val="FFFFFF"/>
                <w:kern w:val="0"/>
                <w:sz w:val="20"/>
                <w:lang w:val="en-IE" w:eastAsia="en-IE"/>
              </w:rPr>
            </w:pPr>
          </w:p>
        </w:tc>
        <w:tc>
          <w:tcPr>
            <w:tcW w:w="1500" w:type="dxa"/>
            <w:vMerge/>
            <w:tcBorders>
              <w:top w:val="nil"/>
              <w:left w:val="single" w:sz="4" w:space="0" w:color="auto"/>
              <w:bottom w:val="nil"/>
              <w:right w:val="single" w:sz="4" w:space="0" w:color="auto"/>
            </w:tcBorders>
            <w:vAlign w:val="center"/>
            <w:hideMark/>
          </w:tcPr>
          <w:p w14:paraId="01EAED75" w14:textId="77777777" w:rsidR="0051795D" w:rsidRPr="0051795D" w:rsidRDefault="0051795D" w:rsidP="0051795D">
            <w:pPr>
              <w:spacing w:before="0" w:after="0" w:line="240" w:lineRule="auto"/>
              <w:rPr>
                <w:rFonts w:ascii="Aptos Narrow" w:eastAsia="Times New Roman" w:hAnsi="Aptos Narrow"/>
                <w:b/>
                <w:bCs/>
                <w:color w:val="FFFFFF"/>
                <w:kern w:val="0"/>
                <w:sz w:val="20"/>
                <w:lang w:val="en-IE" w:eastAsia="en-IE"/>
              </w:rPr>
            </w:pPr>
          </w:p>
        </w:tc>
        <w:tc>
          <w:tcPr>
            <w:tcW w:w="2308" w:type="dxa"/>
            <w:tcBorders>
              <w:top w:val="nil"/>
              <w:left w:val="nil"/>
              <w:bottom w:val="single" w:sz="4" w:space="0" w:color="auto"/>
              <w:right w:val="single" w:sz="4" w:space="0" w:color="auto"/>
            </w:tcBorders>
            <w:vAlign w:val="center"/>
            <w:hideMark/>
          </w:tcPr>
          <w:p w14:paraId="2CA45B20"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 xml:space="preserve">Number of customers with cross border transactions involving non-EEA countries </w:t>
            </w:r>
          </w:p>
        </w:tc>
        <w:tc>
          <w:tcPr>
            <w:tcW w:w="2694" w:type="dxa"/>
            <w:tcBorders>
              <w:top w:val="single" w:sz="4" w:space="0" w:color="auto"/>
              <w:left w:val="nil"/>
              <w:bottom w:val="nil"/>
              <w:right w:val="single" w:sz="4" w:space="0" w:color="auto"/>
            </w:tcBorders>
            <w:vAlign w:val="center"/>
            <w:hideMark/>
          </w:tcPr>
          <w:p w14:paraId="3848A841"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Customers with cross border Transactions - Non-EEA </w:t>
            </w:r>
          </w:p>
        </w:tc>
        <w:tc>
          <w:tcPr>
            <w:tcW w:w="850" w:type="dxa"/>
            <w:tcBorders>
              <w:top w:val="single" w:sz="4" w:space="0" w:color="auto"/>
              <w:left w:val="nil"/>
              <w:bottom w:val="nil"/>
              <w:right w:val="single" w:sz="4" w:space="0" w:color="auto"/>
            </w:tcBorders>
            <w:vAlign w:val="center"/>
            <w:hideMark/>
          </w:tcPr>
          <w:p w14:paraId="566B96FC"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C0140</w:t>
            </w:r>
          </w:p>
        </w:tc>
        <w:tc>
          <w:tcPr>
            <w:tcW w:w="1276" w:type="dxa"/>
            <w:tcBorders>
              <w:top w:val="single" w:sz="4" w:space="0" w:color="auto"/>
              <w:left w:val="nil"/>
              <w:bottom w:val="nil"/>
              <w:right w:val="single" w:sz="4" w:space="0" w:color="auto"/>
            </w:tcBorders>
            <w:shd w:val="clear" w:color="000000" w:fill="3D7AF5"/>
            <w:vAlign w:val="center"/>
            <w:hideMark/>
          </w:tcPr>
          <w:p w14:paraId="788C256C" w14:textId="77777777" w:rsidR="0051795D" w:rsidRPr="0051795D" w:rsidRDefault="0051795D" w:rsidP="0051795D">
            <w:pPr>
              <w:spacing w:before="0" w:after="0" w:line="240" w:lineRule="auto"/>
              <w:jc w:val="center"/>
              <w:rPr>
                <w:rFonts w:ascii="Aptos Narrow" w:eastAsia="Times New Roman" w:hAnsi="Aptos Narrow"/>
                <w:b/>
                <w:bCs/>
                <w:color w:val="FFFFFF"/>
                <w:kern w:val="0"/>
                <w:sz w:val="20"/>
                <w:lang w:val="en-IE" w:eastAsia="en-IE"/>
              </w:rPr>
            </w:pPr>
            <w:r w:rsidRPr="0051795D">
              <w:rPr>
                <w:rFonts w:ascii="Aptos Narrow" w:eastAsia="Times New Roman" w:hAnsi="Aptos Narrow"/>
                <w:b/>
                <w:bCs/>
                <w:color w:val="FFFFFF"/>
                <w:kern w:val="0"/>
                <w:sz w:val="20"/>
                <w:lang w:val="en-IE" w:eastAsia="en-IE"/>
              </w:rPr>
              <w:t>AML.02.01</w:t>
            </w:r>
          </w:p>
        </w:tc>
      </w:tr>
      <w:tr w:rsidR="00476609" w:rsidRPr="0051795D" w14:paraId="2CD3084F" w14:textId="77777777" w:rsidTr="00513763">
        <w:trPr>
          <w:trHeight w:val="720"/>
        </w:trPr>
        <w:tc>
          <w:tcPr>
            <w:tcW w:w="1290" w:type="dxa"/>
            <w:vMerge/>
            <w:tcBorders>
              <w:top w:val="nil"/>
              <w:left w:val="nil"/>
              <w:bottom w:val="nil"/>
              <w:right w:val="single" w:sz="4" w:space="0" w:color="auto"/>
            </w:tcBorders>
            <w:vAlign w:val="center"/>
            <w:hideMark/>
          </w:tcPr>
          <w:p w14:paraId="02C691F5" w14:textId="77777777" w:rsidR="0051795D" w:rsidRPr="0051795D" w:rsidRDefault="0051795D" w:rsidP="0051795D">
            <w:pPr>
              <w:spacing w:before="0" w:after="0" w:line="240" w:lineRule="auto"/>
              <w:rPr>
                <w:rFonts w:ascii="Aptos Narrow" w:eastAsia="Times New Roman" w:hAnsi="Aptos Narrow"/>
                <w:b/>
                <w:bCs/>
                <w:color w:val="FFFFFF"/>
                <w:kern w:val="0"/>
                <w:sz w:val="20"/>
                <w:lang w:val="en-IE" w:eastAsia="en-IE"/>
              </w:rPr>
            </w:pPr>
          </w:p>
        </w:tc>
        <w:tc>
          <w:tcPr>
            <w:tcW w:w="1500" w:type="dxa"/>
            <w:vMerge/>
            <w:tcBorders>
              <w:top w:val="nil"/>
              <w:left w:val="single" w:sz="4" w:space="0" w:color="auto"/>
              <w:bottom w:val="nil"/>
              <w:right w:val="single" w:sz="4" w:space="0" w:color="auto"/>
            </w:tcBorders>
            <w:vAlign w:val="center"/>
            <w:hideMark/>
          </w:tcPr>
          <w:p w14:paraId="16DA17B5" w14:textId="77777777" w:rsidR="0051795D" w:rsidRPr="0051795D" w:rsidRDefault="0051795D" w:rsidP="0051795D">
            <w:pPr>
              <w:spacing w:before="0" w:after="0" w:line="240" w:lineRule="auto"/>
              <w:rPr>
                <w:rFonts w:ascii="Aptos Narrow" w:eastAsia="Times New Roman" w:hAnsi="Aptos Narrow"/>
                <w:b/>
                <w:bCs/>
                <w:color w:val="FFFFFF"/>
                <w:kern w:val="0"/>
                <w:sz w:val="20"/>
                <w:lang w:val="en-IE" w:eastAsia="en-IE"/>
              </w:rPr>
            </w:pPr>
          </w:p>
        </w:tc>
        <w:tc>
          <w:tcPr>
            <w:tcW w:w="2308" w:type="dxa"/>
            <w:tcBorders>
              <w:top w:val="nil"/>
              <w:left w:val="nil"/>
              <w:bottom w:val="single" w:sz="4" w:space="0" w:color="auto"/>
              <w:right w:val="single" w:sz="4" w:space="0" w:color="auto"/>
            </w:tcBorders>
            <w:vAlign w:val="center"/>
            <w:hideMark/>
          </w:tcPr>
          <w:p w14:paraId="47CC3AF8"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Number of walk-in customers</w:t>
            </w:r>
          </w:p>
        </w:tc>
        <w:tc>
          <w:tcPr>
            <w:tcW w:w="2694" w:type="dxa"/>
            <w:tcBorders>
              <w:top w:val="single" w:sz="4" w:space="0" w:color="auto"/>
              <w:left w:val="nil"/>
              <w:bottom w:val="nil"/>
              <w:right w:val="single" w:sz="4" w:space="0" w:color="auto"/>
            </w:tcBorders>
            <w:vAlign w:val="center"/>
            <w:hideMark/>
          </w:tcPr>
          <w:p w14:paraId="00FF2021"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Walk-in Customers</w:t>
            </w:r>
          </w:p>
        </w:tc>
        <w:tc>
          <w:tcPr>
            <w:tcW w:w="850" w:type="dxa"/>
            <w:tcBorders>
              <w:top w:val="single" w:sz="4" w:space="0" w:color="auto"/>
              <w:left w:val="nil"/>
              <w:bottom w:val="nil"/>
              <w:right w:val="single" w:sz="4" w:space="0" w:color="auto"/>
            </w:tcBorders>
            <w:vAlign w:val="center"/>
            <w:hideMark/>
          </w:tcPr>
          <w:p w14:paraId="568031E8"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C0150</w:t>
            </w:r>
          </w:p>
        </w:tc>
        <w:tc>
          <w:tcPr>
            <w:tcW w:w="1276" w:type="dxa"/>
            <w:tcBorders>
              <w:top w:val="single" w:sz="4" w:space="0" w:color="auto"/>
              <w:left w:val="nil"/>
              <w:bottom w:val="nil"/>
              <w:right w:val="single" w:sz="4" w:space="0" w:color="auto"/>
            </w:tcBorders>
            <w:shd w:val="clear" w:color="000000" w:fill="3D7AF5"/>
            <w:vAlign w:val="center"/>
            <w:hideMark/>
          </w:tcPr>
          <w:p w14:paraId="0F0779A9" w14:textId="77777777" w:rsidR="0051795D" w:rsidRPr="0051795D" w:rsidRDefault="0051795D" w:rsidP="0051795D">
            <w:pPr>
              <w:spacing w:before="0" w:after="0" w:line="240" w:lineRule="auto"/>
              <w:jc w:val="center"/>
              <w:rPr>
                <w:rFonts w:ascii="Aptos Narrow" w:eastAsia="Times New Roman" w:hAnsi="Aptos Narrow"/>
                <w:b/>
                <w:bCs/>
                <w:color w:val="FFFFFF"/>
                <w:kern w:val="0"/>
                <w:sz w:val="20"/>
                <w:lang w:val="en-IE" w:eastAsia="en-IE"/>
              </w:rPr>
            </w:pPr>
            <w:r w:rsidRPr="0051795D">
              <w:rPr>
                <w:rFonts w:ascii="Aptos Narrow" w:eastAsia="Times New Roman" w:hAnsi="Aptos Narrow"/>
                <w:b/>
                <w:bCs/>
                <w:color w:val="FFFFFF"/>
                <w:kern w:val="0"/>
                <w:sz w:val="20"/>
                <w:lang w:val="en-IE" w:eastAsia="en-IE"/>
              </w:rPr>
              <w:t>AML.02.01</w:t>
            </w:r>
          </w:p>
        </w:tc>
      </w:tr>
      <w:tr w:rsidR="00476609" w:rsidRPr="0051795D" w14:paraId="75A2C8EE" w14:textId="77777777" w:rsidTr="00513763">
        <w:trPr>
          <w:trHeight w:val="720"/>
        </w:trPr>
        <w:tc>
          <w:tcPr>
            <w:tcW w:w="1290" w:type="dxa"/>
            <w:vMerge/>
            <w:tcBorders>
              <w:top w:val="nil"/>
              <w:left w:val="nil"/>
              <w:bottom w:val="nil"/>
              <w:right w:val="single" w:sz="4" w:space="0" w:color="auto"/>
            </w:tcBorders>
            <w:vAlign w:val="center"/>
            <w:hideMark/>
          </w:tcPr>
          <w:p w14:paraId="36F29637" w14:textId="77777777" w:rsidR="0051795D" w:rsidRPr="0051795D" w:rsidRDefault="0051795D" w:rsidP="0051795D">
            <w:pPr>
              <w:spacing w:before="0" w:after="0" w:line="240" w:lineRule="auto"/>
              <w:rPr>
                <w:rFonts w:ascii="Aptos Narrow" w:eastAsia="Times New Roman" w:hAnsi="Aptos Narrow"/>
                <w:b/>
                <w:bCs/>
                <w:color w:val="FFFFFF"/>
                <w:kern w:val="0"/>
                <w:sz w:val="20"/>
                <w:lang w:val="en-IE" w:eastAsia="en-IE"/>
              </w:rPr>
            </w:pPr>
          </w:p>
        </w:tc>
        <w:tc>
          <w:tcPr>
            <w:tcW w:w="1500" w:type="dxa"/>
            <w:vMerge/>
            <w:tcBorders>
              <w:top w:val="nil"/>
              <w:left w:val="single" w:sz="4" w:space="0" w:color="auto"/>
              <w:bottom w:val="nil"/>
              <w:right w:val="single" w:sz="4" w:space="0" w:color="auto"/>
            </w:tcBorders>
            <w:vAlign w:val="center"/>
            <w:hideMark/>
          </w:tcPr>
          <w:p w14:paraId="13799BD1" w14:textId="77777777" w:rsidR="0051795D" w:rsidRPr="0051795D" w:rsidRDefault="0051795D" w:rsidP="0051795D">
            <w:pPr>
              <w:spacing w:before="0" w:after="0" w:line="240" w:lineRule="auto"/>
              <w:rPr>
                <w:rFonts w:ascii="Aptos Narrow" w:eastAsia="Times New Roman" w:hAnsi="Aptos Narrow"/>
                <w:b/>
                <w:bCs/>
                <w:color w:val="FFFFFF"/>
                <w:kern w:val="0"/>
                <w:sz w:val="20"/>
                <w:lang w:val="en-IE" w:eastAsia="en-IE"/>
              </w:rPr>
            </w:pPr>
          </w:p>
        </w:tc>
        <w:tc>
          <w:tcPr>
            <w:tcW w:w="2308" w:type="dxa"/>
            <w:tcBorders>
              <w:top w:val="nil"/>
              <w:left w:val="nil"/>
              <w:bottom w:val="nil"/>
              <w:right w:val="single" w:sz="4" w:space="0" w:color="auto"/>
            </w:tcBorders>
            <w:vAlign w:val="center"/>
            <w:hideMark/>
          </w:tcPr>
          <w:p w14:paraId="3B5B609E"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Number of occasional transactions carried by walk in customers</w:t>
            </w:r>
          </w:p>
        </w:tc>
        <w:tc>
          <w:tcPr>
            <w:tcW w:w="2694" w:type="dxa"/>
            <w:tcBorders>
              <w:top w:val="single" w:sz="4" w:space="0" w:color="auto"/>
              <w:left w:val="nil"/>
              <w:bottom w:val="nil"/>
              <w:right w:val="single" w:sz="4" w:space="0" w:color="auto"/>
            </w:tcBorders>
            <w:vAlign w:val="center"/>
            <w:hideMark/>
          </w:tcPr>
          <w:p w14:paraId="3B965003"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Occasional Transactions carried out by walk in customers</w:t>
            </w:r>
          </w:p>
        </w:tc>
        <w:tc>
          <w:tcPr>
            <w:tcW w:w="850" w:type="dxa"/>
            <w:tcBorders>
              <w:top w:val="single" w:sz="4" w:space="0" w:color="auto"/>
              <w:left w:val="nil"/>
              <w:bottom w:val="nil"/>
              <w:right w:val="single" w:sz="4" w:space="0" w:color="auto"/>
            </w:tcBorders>
            <w:vAlign w:val="center"/>
            <w:hideMark/>
          </w:tcPr>
          <w:p w14:paraId="108848ED"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C0160</w:t>
            </w:r>
          </w:p>
        </w:tc>
        <w:tc>
          <w:tcPr>
            <w:tcW w:w="1276" w:type="dxa"/>
            <w:tcBorders>
              <w:top w:val="single" w:sz="4" w:space="0" w:color="auto"/>
              <w:left w:val="nil"/>
              <w:bottom w:val="nil"/>
              <w:right w:val="single" w:sz="4" w:space="0" w:color="auto"/>
            </w:tcBorders>
            <w:shd w:val="clear" w:color="000000" w:fill="3D7AF5"/>
            <w:vAlign w:val="center"/>
            <w:hideMark/>
          </w:tcPr>
          <w:p w14:paraId="57626AA9" w14:textId="77777777" w:rsidR="0051795D" w:rsidRPr="0051795D" w:rsidRDefault="0051795D" w:rsidP="0051795D">
            <w:pPr>
              <w:spacing w:before="0" w:after="0" w:line="240" w:lineRule="auto"/>
              <w:jc w:val="center"/>
              <w:rPr>
                <w:rFonts w:ascii="Aptos Narrow" w:eastAsia="Times New Roman" w:hAnsi="Aptos Narrow"/>
                <w:b/>
                <w:bCs/>
                <w:color w:val="FFFFFF"/>
                <w:kern w:val="0"/>
                <w:sz w:val="20"/>
                <w:lang w:val="en-IE" w:eastAsia="en-IE"/>
              </w:rPr>
            </w:pPr>
            <w:r w:rsidRPr="0051795D">
              <w:rPr>
                <w:rFonts w:ascii="Aptos Narrow" w:eastAsia="Times New Roman" w:hAnsi="Aptos Narrow"/>
                <w:b/>
                <w:bCs/>
                <w:color w:val="FFFFFF"/>
                <w:kern w:val="0"/>
                <w:sz w:val="20"/>
                <w:lang w:val="en-IE" w:eastAsia="en-IE"/>
              </w:rPr>
              <w:t>AML.02.01</w:t>
            </w:r>
          </w:p>
        </w:tc>
      </w:tr>
      <w:tr w:rsidR="00476609" w:rsidRPr="0051795D" w14:paraId="44AB4416" w14:textId="77777777" w:rsidTr="00513763">
        <w:trPr>
          <w:trHeight w:val="720"/>
        </w:trPr>
        <w:tc>
          <w:tcPr>
            <w:tcW w:w="1290" w:type="dxa"/>
            <w:vMerge/>
            <w:tcBorders>
              <w:top w:val="nil"/>
              <w:left w:val="nil"/>
              <w:bottom w:val="nil"/>
              <w:right w:val="single" w:sz="4" w:space="0" w:color="auto"/>
            </w:tcBorders>
            <w:vAlign w:val="center"/>
            <w:hideMark/>
          </w:tcPr>
          <w:p w14:paraId="0103561D" w14:textId="77777777" w:rsidR="0051795D" w:rsidRPr="0051795D" w:rsidRDefault="0051795D" w:rsidP="0051795D">
            <w:pPr>
              <w:spacing w:before="0" w:after="0" w:line="240" w:lineRule="auto"/>
              <w:rPr>
                <w:rFonts w:ascii="Aptos Narrow" w:eastAsia="Times New Roman" w:hAnsi="Aptos Narrow"/>
                <w:b/>
                <w:bCs/>
                <w:color w:val="FFFFFF"/>
                <w:kern w:val="0"/>
                <w:sz w:val="20"/>
                <w:lang w:val="en-IE" w:eastAsia="en-IE"/>
              </w:rPr>
            </w:pPr>
          </w:p>
        </w:tc>
        <w:tc>
          <w:tcPr>
            <w:tcW w:w="1500" w:type="dxa"/>
            <w:vMerge/>
            <w:tcBorders>
              <w:top w:val="nil"/>
              <w:left w:val="single" w:sz="4" w:space="0" w:color="auto"/>
              <w:bottom w:val="nil"/>
              <w:right w:val="single" w:sz="4" w:space="0" w:color="auto"/>
            </w:tcBorders>
            <w:vAlign w:val="center"/>
            <w:hideMark/>
          </w:tcPr>
          <w:p w14:paraId="780B4F8D" w14:textId="77777777" w:rsidR="0051795D" w:rsidRPr="0051795D" w:rsidRDefault="0051795D" w:rsidP="0051795D">
            <w:pPr>
              <w:spacing w:before="0" w:after="0" w:line="240" w:lineRule="auto"/>
              <w:rPr>
                <w:rFonts w:ascii="Aptos Narrow" w:eastAsia="Times New Roman" w:hAnsi="Aptos Narrow"/>
                <w:b/>
                <w:bCs/>
                <w:color w:val="FFFFFF"/>
                <w:kern w:val="0"/>
                <w:sz w:val="20"/>
                <w:lang w:val="en-IE" w:eastAsia="en-IE"/>
              </w:rPr>
            </w:pPr>
          </w:p>
        </w:tc>
        <w:tc>
          <w:tcPr>
            <w:tcW w:w="2308" w:type="dxa"/>
            <w:tcBorders>
              <w:top w:val="single" w:sz="4" w:space="0" w:color="auto"/>
              <w:left w:val="nil"/>
              <w:bottom w:val="single" w:sz="8" w:space="0" w:color="000000"/>
              <w:right w:val="nil"/>
            </w:tcBorders>
            <w:vAlign w:val="center"/>
            <w:hideMark/>
          </w:tcPr>
          <w:p w14:paraId="64F7DD31"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Number of customers with requests from FIU</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3ED87AE"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Customers with requests from FIU</w:t>
            </w:r>
          </w:p>
        </w:tc>
        <w:tc>
          <w:tcPr>
            <w:tcW w:w="850" w:type="dxa"/>
            <w:tcBorders>
              <w:top w:val="single" w:sz="4" w:space="0" w:color="auto"/>
              <w:left w:val="nil"/>
              <w:bottom w:val="single" w:sz="4" w:space="0" w:color="auto"/>
              <w:right w:val="single" w:sz="4" w:space="0" w:color="auto"/>
            </w:tcBorders>
            <w:vAlign w:val="center"/>
            <w:hideMark/>
          </w:tcPr>
          <w:p w14:paraId="1A7AE0C0"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C0170</w:t>
            </w:r>
          </w:p>
        </w:tc>
        <w:tc>
          <w:tcPr>
            <w:tcW w:w="1276" w:type="dxa"/>
            <w:tcBorders>
              <w:top w:val="single" w:sz="4" w:space="0" w:color="auto"/>
              <w:left w:val="nil"/>
              <w:bottom w:val="single" w:sz="4" w:space="0" w:color="auto"/>
              <w:right w:val="single" w:sz="4" w:space="0" w:color="auto"/>
            </w:tcBorders>
            <w:shd w:val="clear" w:color="000000" w:fill="3D7AF5"/>
            <w:vAlign w:val="center"/>
            <w:hideMark/>
          </w:tcPr>
          <w:p w14:paraId="770CE49D" w14:textId="77777777" w:rsidR="0051795D" w:rsidRPr="0051795D" w:rsidRDefault="0051795D" w:rsidP="0051795D">
            <w:pPr>
              <w:spacing w:before="0" w:after="0" w:line="240" w:lineRule="auto"/>
              <w:jc w:val="center"/>
              <w:rPr>
                <w:rFonts w:ascii="Aptos Narrow" w:eastAsia="Times New Roman" w:hAnsi="Aptos Narrow"/>
                <w:b/>
                <w:bCs/>
                <w:color w:val="FFFFFF"/>
                <w:kern w:val="0"/>
                <w:sz w:val="20"/>
                <w:lang w:val="en-IE" w:eastAsia="en-IE"/>
              </w:rPr>
            </w:pPr>
            <w:r w:rsidRPr="0051795D">
              <w:rPr>
                <w:rFonts w:ascii="Aptos Narrow" w:eastAsia="Times New Roman" w:hAnsi="Aptos Narrow"/>
                <w:b/>
                <w:bCs/>
                <w:color w:val="FFFFFF"/>
                <w:kern w:val="0"/>
                <w:sz w:val="20"/>
                <w:lang w:val="en-IE" w:eastAsia="en-IE"/>
              </w:rPr>
              <w:t>AML.02.01</w:t>
            </w:r>
          </w:p>
        </w:tc>
      </w:tr>
      <w:tr w:rsidR="00476609" w:rsidRPr="0051795D" w14:paraId="1BB8AC50" w14:textId="77777777" w:rsidTr="00513763">
        <w:trPr>
          <w:trHeight w:val="720"/>
        </w:trPr>
        <w:tc>
          <w:tcPr>
            <w:tcW w:w="1290" w:type="dxa"/>
            <w:vMerge w:val="restart"/>
            <w:tcBorders>
              <w:top w:val="single" w:sz="8" w:space="0" w:color="auto"/>
              <w:left w:val="nil"/>
              <w:bottom w:val="nil"/>
              <w:right w:val="single" w:sz="4" w:space="0" w:color="auto"/>
            </w:tcBorders>
            <w:shd w:val="clear" w:color="000000" w:fill="0728CB"/>
            <w:vAlign w:val="center"/>
            <w:hideMark/>
          </w:tcPr>
          <w:p w14:paraId="795FCCF1"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Products</w:t>
            </w:r>
          </w:p>
        </w:tc>
        <w:tc>
          <w:tcPr>
            <w:tcW w:w="1500" w:type="dxa"/>
            <w:vMerge w:val="restart"/>
            <w:tcBorders>
              <w:top w:val="single" w:sz="8" w:space="0" w:color="auto"/>
              <w:left w:val="single" w:sz="4" w:space="0" w:color="auto"/>
              <w:bottom w:val="single" w:sz="8" w:space="0" w:color="000000"/>
              <w:right w:val="single" w:sz="4" w:space="0" w:color="auto"/>
            </w:tcBorders>
            <w:shd w:val="clear" w:color="000000" w:fill="3D7AF5"/>
            <w:vAlign w:val="center"/>
            <w:hideMark/>
          </w:tcPr>
          <w:p w14:paraId="6B46284B" w14:textId="77777777" w:rsidR="0051795D" w:rsidRPr="0051795D" w:rsidRDefault="0051795D" w:rsidP="0051795D">
            <w:pPr>
              <w:spacing w:before="0" w:after="0" w:line="240" w:lineRule="auto"/>
              <w:jc w:val="center"/>
              <w:rPr>
                <w:rFonts w:ascii="Aptos Narrow" w:eastAsia="Times New Roman" w:hAnsi="Aptos Narrow"/>
                <w:b/>
                <w:bCs/>
                <w:color w:val="FFFFFF"/>
                <w:kern w:val="0"/>
                <w:sz w:val="20"/>
                <w:lang w:val="en-IE" w:eastAsia="en-IE"/>
              </w:rPr>
            </w:pPr>
            <w:r w:rsidRPr="0051795D">
              <w:rPr>
                <w:rFonts w:ascii="Aptos Narrow" w:eastAsia="Times New Roman" w:hAnsi="Aptos Narrow"/>
                <w:b/>
                <w:bCs/>
                <w:color w:val="FFFFFF"/>
                <w:kern w:val="0"/>
                <w:sz w:val="20"/>
                <w:lang w:val="en-IE" w:eastAsia="en-IE"/>
              </w:rPr>
              <w:t>Payment Accounts</w:t>
            </w:r>
          </w:p>
        </w:tc>
        <w:tc>
          <w:tcPr>
            <w:tcW w:w="2308" w:type="dxa"/>
            <w:tcBorders>
              <w:top w:val="nil"/>
              <w:left w:val="nil"/>
              <w:bottom w:val="nil"/>
              <w:right w:val="nil"/>
            </w:tcBorders>
            <w:vAlign w:val="center"/>
            <w:hideMark/>
          </w:tcPr>
          <w:p w14:paraId="7D84B111"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Number of payment accounts</w:t>
            </w:r>
          </w:p>
        </w:tc>
        <w:tc>
          <w:tcPr>
            <w:tcW w:w="2694" w:type="dxa"/>
            <w:tcBorders>
              <w:top w:val="nil"/>
              <w:left w:val="single" w:sz="4" w:space="0" w:color="auto"/>
              <w:bottom w:val="single" w:sz="4" w:space="0" w:color="auto"/>
              <w:right w:val="single" w:sz="4" w:space="0" w:color="auto"/>
            </w:tcBorders>
            <w:vAlign w:val="center"/>
            <w:hideMark/>
          </w:tcPr>
          <w:p w14:paraId="6689C1B3"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Payment Accounts</w:t>
            </w:r>
          </w:p>
        </w:tc>
        <w:tc>
          <w:tcPr>
            <w:tcW w:w="850" w:type="dxa"/>
            <w:tcBorders>
              <w:top w:val="nil"/>
              <w:left w:val="nil"/>
              <w:bottom w:val="single" w:sz="4" w:space="0" w:color="auto"/>
              <w:right w:val="single" w:sz="4" w:space="0" w:color="auto"/>
            </w:tcBorders>
            <w:vAlign w:val="center"/>
            <w:hideMark/>
          </w:tcPr>
          <w:p w14:paraId="4DD8D8DA"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C0010</w:t>
            </w:r>
          </w:p>
        </w:tc>
        <w:tc>
          <w:tcPr>
            <w:tcW w:w="1276" w:type="dxa"/>
            <w:tcBorders>
              <w:top w:val="nil"/>
              <w:left w:val="nil"/>
              <w:bottom w:val="single" w:sz="4" w:space="0" w:color="auto"/>
              <w:right w:val="single" w:sz="4" w:space="0" w:color="auto"/>
            </w:tcBorders>
            <w:shd w:val="clear" w:color="000000" w:fill="3D7AF5"/>
            <w:vAlign w:val="center"/>
            <w:hideMark/>
          </w:tcPr>
          <w:p w14:paraId="13040175" w14:textId="77777777" w:rsidR="0051795D" w:rsidRPr="0051795D" w:rsidRDefault="0051795D" w:rsidP="0051795D">
            <w:pPr>
              <w:spacing w:before="0" w:after="0" w:line="240" w:lineRule="auto"/>
              <w:jc w:val="center"/>
              <w:rPr>
                <w:rFonts w:ascii="Aptos Narrow" w:eastAsia="Times New Roman" w:hAnsi="Aptos Narrow"/>
                <w:b/>
                <w:bCs/>
                <w:color w:val="FFFFFF"/>
                <w:kern w:val="0"/>
                <w:sz w:val="20"/>
                <w:lang w:val="en-IE" w:eastAsia="en-IE"/>
              </w:rPr>
            </w:pPr>
            <w:r w:rsidRPr="0051795D">
              <w:rPr>
                <w:rFonts w:ascii="Aptos Narrow" w:eastAsia="Times New Roman" w:hAnsi="Aptos Narrow"/>
                <w:b/>
                <w:bCs/>
                <w:color w:val="FFFFFF"/>
                <w:kern w:val="0"/>
                <w:sz w:val="20"/>
                <w:lang w:val="en-IE" w:eastAsia="en-IE"/>
              </w:rPr>
              <w:t>AML.03.01</w:t>
            </w:r>
          </w:p>
        </w:tc>
      </w:tr>
      <w:tr w:rsidR="00476609" w:rsidRPr="0051795D" w14:paraId="6D967527"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16B7457E"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single" w:sz="8" w:space="0" w:color="auto"/>
              <w:left w:val="single" w:sz="4" w:space="0" w:color="auto"/>
              <w:bottom w:val="single" w:sz="8" w:space="0" w:color="000000"/>
              <w:right w:val="single" w:sz="4" w:space="0" w:color="auto"/>
            </w:tcBorders>
            <w:vAlign w:val="center"/>
            <w:hideMark/>
          </w:tcPr>
          <w:p w14:paraId="0FF1B0BE" w14:textId="77777777" w:rsidR="0051795D" w:rsidRPr="0051795D" w:rsidRDefault="0051795D" w:rsidP="0051795D">
            <w:pPr>
              <w:spacing w:before="0" w:after="0" w:line="240" w:lineRule="auto"/>
              <w:rPr>
                <w:rFonts w:ascii="Aptos Narrow" w:eastAsia="Times New Roman" w:hAnsi="Aptos Narrow"/>
                <w:b/>
                <w:bCs/>
                <w:color w:val="FFFFFF"/>
                <w:kern w:val="0"/>
                <w:sz w:val="20"/>
                <w:lang w:val="en-IE" w:eastAsia="en-IE"/>
              </w:rPr>
            </w:pPr>
          </w:p>
        </w:tc>
        <w:tc>
          <w:tcPr>
            <w:tcW w:w="2308" w:type="dxa"/>
            <w:tcBorders>
              <w:top w:val="single" w:sz="4" w:space="0" w:color="000000"/>
              <w:left w:val="nil"/>
              <w:bottom w:val="single" w:sz="4" w:space="0" w:color="000000"/>
              <w:right w:val="nil"/>
            </w:tcBorders>
            <w:vAlign w:val="center"/>
            <w:hideMark/>
          </w:tcPr>
          <w:p w14:paraId="461624D1"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Value (EUR) of incoming transactions in the previous year</w:t>
            </w:r>
          </w:p>
        </w:tc>
        <w:tc>
          <w:tcPr>
            <w:tcW w:w="2694" w:type="dxa"/>
            <w:tcBorders>
              <w:top w:val="nil"/>
              <w:left w:val="single" w:sz="4" w:space="0" w:color="auto"/>
              <w:bottom w:val="single" w:sz="4" w:space="0" w:color="auto"/>
              <w:right w:val="single" w:sz="4" w:space="0" w:color="auto"/>
            </w:tcBorders>
            <w:vAlign w:val="center"/>
            <w:hideMark/>
          </w:tcPr>
          <w:p w14:paraId="5A8F3DD1"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Incoming Transactions - Value</w:t>
            </w:r>
          </w:p>
        </w:tc>
        <w:tc>
          <w:tcPr>
            <w:tcW w:w="850" w:type="dxa"/>
            <w:tcBorders>
              <w:top w:val="nil"/>
              <w:left w:val="nil"/>
              <w:bottom w:val="single" w:sz="4" w:space="0" w:color="auto"/>
              <w:right w:val="single" w:sz="4" w:space="0" w:color="auto"/>
            </w:tcBorders>
            <w:vAlign w:val="center"/>
            <w:hideMark/>
          </w:tcPr>
          <w:p w14:paraId="4443573D"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C0020</w:t>
            </w:r>
          </w:p>
        </w:tc>
        <w:tc>
          <w:tcPr>
            <w:tcW w:w="1276" w:type="dxa"/>
            <w:tcBorders>
              <w:top w:val="nil"/>
              <w:left w:val="nil"/>
              <w:bottom w:val="single" w:sz="4" w:space="0" w:color="auto"/>
              <w:right w:val="single" w:sz="4" w:space="0" w:color="auto"/>
            </w:tcBorders>
            <w:shd w:val="clear" w:color="000000" w:fill="3D7AF5"/>
            <w:vAlign w:val="center"/>
            <w:hideMark/>
          </w:tcPr>
          <w:p w14:paraId="6676909B" w14:textId="77777777" w:rsidR="0051795D" w:rsidRPr="0051795D" w:rsidRDefault="0051795D" w:rsidP="0051795D">
            <w:pPr>
              <w:spacing w:before="0" w:after="0" w:line="240" w:lineRule="auto"/>
              <w:jc w:val="center"/>
              <w:rPr>
                <w:rFonts w:ascii="Aptos Narrow" w:eastAsia="Times New Roman" w:hAnsi="Aptos Narrow"/>
                <w:b/>
                <w:bCs/>
                <w:color w:val="FFFFFF"/>
                <w:kern w:val="0"/>
                <w:sz w:val="20"/>
                <w:lang w:val="en-IE" w:eastAsia="en-IE"/>
              </w:rPr>
            </w:pPr>
            <w:r w:rsidRPr="0051795D">
              <w:rPr>
                <w:rFonts w:ascii="Aptos Narrow" w:eastAsia="Times New Roman" w:hAnsi="Aptos Narrow"/>
                <w:b/>
                <w:bCs/>
                <w:color w:val="FFFFFF"/>
                <w:kern w:val="0"/>
                <w:sz w:val="20"/>
                <w:lang w:val="en-IE" w:eastAsia="en-IE"/>
              </w:rPr>
              <w:t>AML.03.01</w:t>
            </w:r>
          </w:p>
        </w:tc>
      </w:tr>
      <w:tr w:rsidR="00476609" w:rsidRPr="0051795D" w14:paraId="407AB6F9"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40195A1F"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single" w:sz="8" w:space="0" w:color="auto"/>
              <w:left w:val="single" w:sz="4" w:space="0" w:color="auto"/>
              <w:bottom w:val="single" w:sz="8" w:space="0" w:color="000000"/>
              <w:right w:val="single" w:sz="4" w:space="0" w:color="auto"/>
            </w:tcBorders>
            <w:vAlign w:val="center"/>
            <w:hideMark/>
          </w:tcPr>
          <w:p w14:paraId="27A321F8" w14:textId="77777777" w:rsidR="0051795D" w:rsidRPr="0051795D" w:rsidRDefault="0051795D" w:rsidP="0051795D">
            <w:pPr>
              <w:spacing w:before="0" w:after="0" w:line="240" w:lineRule="auto"/>
              <w:rPr>
                <w:rFonts w:ascii="Aptos Narrow" w:eastAsia="Times New Roman" w:hAnsi="Aptos Narrow"/>
                <w:b/>
                <w:bCs/>
                <w:color w:val="FFFFFF"/>
                <w:kern w:val="0"/>
                <w:sz w:val="20"/>
                <w:lang w:val="en-IE" w:eastAsia="en-IE"/>
              </w:rPr>
            </w:pPr>
          </w:p>
        </w:tc>
        <w:tc>
          <w:tcPr>
            <w:tcW w:w="2308" w:type="dxa"/>
            <w:tcBorders>
              <w:top w:val="nil"/>
              <w:left w:val="nil"/>
              <w:bottom w:val="single" w:sz="4" w:space="0" w:color="000000"/>
              <w:right w:val="nil"/>
            </w:tcBorders>
            <w:vAlign w:val="center"/>
            <w:hideMark/>
          </w:tcPr>
          <w:p w14:paraId="385ADE3E"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Number of incoming transactions in the previous year</w:t>
            </w:r>
          </w:p>
        </w:tc>
        <w:tc>
          <w:tcPr>
            <w:tcW w:w="2694" w:type="dxa"/>
            <w:tcBorders>
              <w:top w:val="nil"/>
              <w:left w:val="single" w:sz="4" w:space="0" w:color="auto"/>
              <w:bottom w:val="single" w:sz="4" w:space="0" w:color="auto"/>
              <w:right w:val="single" w:sz="4" w:space="0" w:color="auto"/>
            </w:tcBorders>
            <w:vAlign w:val="center"/>
            <w:hideMark/>
          </w:tcPr>
          <w:p w14:paraId="110CBE61"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Incoming Transactions - Number</w:t>
            </w:r>
          </w:p>
        </w:tc>
        <w:tc>
          <w:tcPr>
            <w:tcW w:w="850" w:type="dxa"/>
            <w:tcBorders>
              <w:top w:val="nil"/>
              <w:left w:val="nil"/>
              <w:bottom w:val="single" w:sz="4" w:space="0" w:color="auto"/>
              <w:right w:val="single" w:sz="4" w:space="0" w:color="auto"/>
            </w:tcBorders>
            <w:vAlign w:val="center"/>
            <w:hideMark/>
          </w:tcPr>
          <w:p w14:paraId="30F03826"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C0030</w:t>
            </w:r>
          </w:p>
        </w:tc>
        <w:tc>
          <w:tcPr>
            <w:tcW w:w="1276" w:type="dxa"/>
            <w:tcBorders>
              <w:top w:val="nil"/>
              <w:left w:val="nil"/>
              <w:bottom w:val="single" w:sz="4" w:space="0" w:color="auto"/>
              <w:right w:val="single" w:sz="4" w:space="0" w:color="auto"/>
            </w:tcBorders>
            <w:shd w:val="clear" w:color="000000" w:fill="3D7AF5"/>
            <w:vAlign w:val="center"/>
            <w:hideMark/>
          </w:tcPr>
          <w:p w14:paraId="0AA6EA64" w14:textId="77777777" w:rsidR="0051795D" w:rsidRPr="0051795D" w:rsidRDefault="0051795D" w:rsidP="0051795D">
            <w:pPr>
              <w:spacing w:before="0" w:after="0" w:line="240" w:lineRule="auto"/>
              <w:jc w:val="center"/>
              <w:rPr>
                <w:rFonts w:ascii="Aptos Narrow" w:eastAsia="Times New Roman" w:hAnsi="Aptos Narrow"/>
                <w:b/>
                <w:bCs/>
                <w:color w:val="FFFFFF"/>
                <w:kern w:val="0"/>
                <w:sz w:val="20"/>
                <w:lang w:val="en-IE" w:eastAsia="en-IE"/>
              </w:rPr>
            </w:pPr>
            <w:r w:rsidRPr="0051795D">
              <w:rPr>
                <w:rFonts w:ascii="Aptos Narrow" w:eastAsia="Times New Roman" w:hAnsi="Aptos Narrow"/>
                <w:b/>
                <w:bCs/>
                <w:color w:val="FFFFFF"/>
                <w:kern w:val="0"/>
                <w:sz w:val="20"/>
                <w:lang w:val="en-IE" w:eastAsia="en-IE"/>
              </w:rPr>
              <w:t>AML.03.01</w:t>
            </w:r>
          </w:p>
        </w:tc>
      </w:tr>
      <w:tr w:rsidR="00476609" w:rsidRPr="0051795D" w14:paraId="24654134"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3ECA5496"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single" w:sz="8" w:space="0" w:color="auto"/>
              <w:left w:val="single" w:sz="4" w:space="0" w:color="auto"/>
              <w:bottom w:val="single" w:sz="8" w:space="0" w:color="000000"/>
              <w:right w:val="single" w:sz="4" w:space="0" w:color="auto"/>
            </w:tcBorders>
            <w:vAlign w:val="center"/>
            <w:hideMark/>
          </w:tcPr>
          <w:p w14:paraId="731BC812" w14:textId="77777777" w:rsidR="0051795D" w:rsidRPr="0051795D" w:rsidRDefault="0051795D" w:rsidP="0051795D">
            <w:pPr>
              <w:spacing w:before="0" w:after="0" w:line="240" w:lineRule="auto"/>
              <w:rPr>
                <w:rFonts w:ascii="Aptos Narrow" w:eastAsia="Times New Roman" w:hAnsi="Aptos Narrow"/>
                <w:b/>
                <w:bCs/>
                <w:color w:val="FFFFFF"/>
                <w:kern w:val="0"/>
                <w:sz w:val="20"/>
                <w:lang w:val="en-IE" w:eastAsia="en-IE"/>
              </w:rPr>
            </w:pPr>
          </w:p>
        </w:tc>
        <w:tc>
          <w:tcPr>
            <w:tcW w:w="2308" w:type="dxa"/>
            <w:tcBorders>
              <w:top w:val="nil"/>
              <w:left w:val="nil"/>
              <w:bottom w:val="single" w:sz="4" w:space="0" w:color="000000"/>
              <w:right w:val="nil"/>
            </w:tcBorders>
            <w:vAlign w:val="center"/>
            <w:hideMark/>
          </w:tcPr>
          <w:p w14:paraId="0BD7429E"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Value (EUR) of outgoing transactions in the previous year</w:t>
            </w:r>
          </w:p>
        </w:tc>
        <w:tc>
          <w:tcPr>
            <w:tcW w:w="2694" w:type="dxa"/>
            <w:tcBorders>
              <w:top w:val="nil"/>
              <w:left w:val="single" w:sz="4" w:space="0" w:color="auto"/>
              <w:bottom w:val="single" w:sz="4" w:space="0" w:color="auto"/>
              <w:right w:val="single" w:sz="4" w:space="0" w:color="auto"/>
            </w:tcBorders>
            <w:vAlign w:val="center"/>
            <w:hideMark/>
          </w:tcPr>
          <w:p w14:paraId="5C236669"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Outgoing Transactions - Value</w:t>
            </w:r>
          </w:p>
        </w:tc>
        <w:tc>
          <w:tcPr>
            <w:tcW w:w="850" w:type="dxa"/>
            <w:tcBorders>
              <w:top w:val="nil"/>
              <w:left w:val="nil"/>
              <w:bottom w:val="single" w:sz="4" w:space="0" w:color="auto"/>
              <w:right w:val="single" w:sz="4" w:space="0" w:color="auto"/>
            </w:tcBorders>
            <w:vAlign w:val="center"/>
            <w:hideMark/>
          </w:tcPr>
          <w:p w14:paraId="551CC121"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C0040</w:t>
            </w:r>
          </w:p>
        </w:tc>
        <w:tc>
          <w:tcPr>
            <w:tcW w:w="1276" w:type="dxa"/>
            <w:tcBorders>
              <w:top w:val="nil"/>
              <w:left w:val="nil"/>
              <w:bottom w:val="single" w:sz="4" w:space="0" w:color="auto"/>
              <w:right w:val="single" w:sz="4" w:space="0" w:color="auto"/>
            </w:tcBorders>
            <w:shd w:val="clear" w:color="000000" w:fill="3D7AF5"/>
            <w:vAlign w:val="center"/>
            <w:hideMark/>
          </w:tcPr>
          <w:p w14:paraId="4B29F9E9" w14:textId="77777777" w:rsidR="0051795D" w:rsidRPr="0051795D" w:rsidRDefault="0051795D" w:rsidP="0051795D">
            <w:pPr>
              <w:spacing w:before="0" w:after="0" w:line="240" w:lineRule="auto"/>
              <w:jc w:val="center"/>
              <w:rPr>
                <w:rFonts w:ascii="Aptos Narrow" w:eastAsia="Times New Roman" w:hAnsi="Aptos Narrow"/>
                <w:b/>
                <w:bCs/>
                <w:color w:val="FFFFFF"/>
                <w:kern w:val="0"/>
                <w:sz w:val="20"/>
                <w:lang w:val="en-IE" w:eastAsia="en-IE"/>
              </w:rPr>
            </w:pPr>
            <w:r w:rsidRPr="0051795D">
              <w:rPr>
                <w:rFonts w:ascii="Aptos Narrow" w:eastAsia="Times New Roman" w:hAnsi="Aptos Narrow"/>
                <w:b/>
                <w:bCs/>
                <w:color w:val="FFFFFF"/>
                <w:kern w:val="0"/>
                <w:sz w:val="20"/>
                <w:lang w:val="en-IE" w:eastAsia="en-IE"/>
              </w:rPr>
              <w:t>AML.03.01</w:t>
            </w:r>
          </w:p>
        </w:tc>
      </w:tr>
      <w:tr w:rsidR="00476609" w:rsidRPr="0051795D" w14:paraId="6049BBA8"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5B832E66"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single" w:sz="8" w:space="0" w:color="auto"/>
              <w:left w:val="single" w:sz="4" w:space="0" w:color="auto"/>
              <w:bottom w:val="single" w:sz="8" w:space="0" w:color="000000"/>
              <w:right w:val="single" w:sz="4" w:space="0" w:color="auto"/>
            </w:tcBorders>
            <w:vAlign w:val="center"/>
            <w:hideMark/>
          </w:tcPr>
          <w:p w14:paraId="5297D5F8" w14:textId="77777777" w:rsidR="0051795D" w:rsidRPr="0051795D" w:rsidRDefault="0051795D" w:rsidP="0051795D">
            <w:pPr>
              <w:spacing w:before="0" w:after="0" w:line="240" w:lineRule="auto"/>
              <w:rPr>
                <w:rFonts w:ascii="Aptos Narrow" w:eastAsia="Times New Roman" w:hAnsi="Aptos Narrow"/>
                <w:b/>
                <w:bCs/>
                <w:color w:val="FFFFFF"/>
                <w:kern w:val="0"/>
                <w:sz w:val="20"/>
                <w:lang w:val="en-IE" w:eastAsia="en-IE"/>
              </w:rPr>
            </w:pPr>
          </w:p>
        </w:tc>
        <w:tc>
          <w:tcPr>
            <w:tcW w:w="2308" w:type="dxa"/>
            <w:tcBorders>
              <w:top w:val="nil"/>
              <w:left w:val="nil"/>
              <w:bottom w:val="single" w:sz="8" w:space="0" w:color="auto"/>
              <w:right w:val="nil"/>
            </w:tcBorders>
            <w:vAlign w:val="center"/>
            <w:hideMark/>
          </w:tcPr>
          <w:p w14:paraId="25F87FE9"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Number of outgoing transactions in the previous year</w:t>
            </w:r>
          </w:p>
        </w:tc>
        <w:tc>
          <w:tcPr>
            <w:tcW w:w="2694" w:type="dxa"/>
            <w:tcBorders>
              <w:top w:val="nil"/>
              <w:left w:val="single" w:sz="4" w:space="0" w:color="auto"/>
              <w:bottom w:val="single" w:sz="4" w:space="0" w:color="auto"/>
              <w:right w:val="single" w:sz="4" w:space="0" w:color="auto"/>
            </w:tcBorders>
            <w:vAlign w:val="center"/>
            <w:hideMark/>
          </w:tcPr>
          <w:p w14:paraId="494FC7F0"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Outgoing Transactions - Number</w:t>
            </w:r>
          </w:p>
        </w:tc>
        <w:tc>
          <w:tcPr>
            <w:tcW w:w="850" w:type="dxa"/>
            <w:tcBorders>
              <w:top w:val="nil"/>
              <w:left w:val="nil"/>
              <w:bottom w:val="single" w:sz="4" w:space="0" w:color="auto"/>
              <w:right w:val="single" w:sz="4" w:space="0" w:color="auto"/>
            </w:tcBorders>
            <w:vAlign w:val="center"/>
            <w:hideMark/>
          </w:tcPr>
          <w:p w14:paraId="14B6282B"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C0050</w:t>
            </w:r>
          </w:p>
        </w:tc>
        <w:tc>
          <w:tcPr>
            <w:tcW w:w="1276" w:type="dxa"/>
            <w:tcBorders>
              <w:top w:val="nil"/>
              <w:left w:val="nil"/>
              <w:bottom w:val="single" w:sz="4" w:space="0" w:color="auto"/>
              <w:right w:val="single" w:sz="4" w:space="0" w:color="auto"/>
            </w:tcBorders>
            <w:shd w:val="clear" w:color="000000" w:fill="3D7AF5"/>
            <w:vAlign w:val="center"/>
            <w:hideMark/>
          </w:tcPr>
          <w:p w14:paraId="2B2FB544" w14:textId="77777777" w:rsidR="0051795D" w:rsidRPr="0051795D" w:rsidRDefault="0051795D" w:rsidP="0051795D">
            <w:pPr>
              <w:spacing w:before="0" w:after="0" w:line="240" w:lineRule="auto"/>
              <w:jc w:val="center"/>
              <w:rPr>
                <w:rFonts w:ascii="Aptos Narrow" w:eastAsia="Times New Roman" w:hAnsi="Aptos Narrow"/>
                <w:b/>
                <w:bCs/>
                <w:color w:val="FFFFFF"/>
                <w:kern w:val="0"/>
                <w:sz w:val="20"/>
                <w:lang w:val="en-IE" w:eastAsia="en-IE"/>
              </w:rPr>
            </w:pPr>
            <w:r w:rsidRPr="0051795D">
              <w:rPr>
                <w:rFonts w:ascii="Aptos Narrow" w:eastAsia="Times New Roman" w:hAnsi="Aptos Narrow"/>
                <w:b/>
                <w:bCs/>
                <w:color w:val="FFFFFF"/>
                <w:kern w:val="0"/>
                <w:sz w:val="20"/>
                <w:lang w:val="en-IE" w:eastAsia="en-IE"/>
              </w:rPr>
              <w:t>AML.03.01</w:t>
            </w:r>
          </w:p>
        </w:tc>
      </w:tr>
      <w:tr w:rsidR="00476609" w:rsidRPr="0051795D" w14:paraId="5398FB00"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07B10097"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val="restart"/>
            <w:tcBorders>
              <w:top w:val="nil"/>
              <w:left w:val="single" w:sz="4" w:space="0" w:color="000000"/>
              <w:bottom w:val="single" w:sz="8" w:space="0" w:color="000000"/>
              <w:right w:val="single" w:sz="4" w:space="0" w:color="000000"/>
            </w:tcBorders>
            <w:shd w:val="clear" w:color="000000" w:fill="3D7AF5"/>
            <w:vAlign w:val="center"/>
            <w:hideMark/>
          </w:tcPr>
          <w:p w14:paraId="2C704B31" w14:textId="77777777" w:rsidR="0051795D" w:rsidRPr="0051795D" w:rsidRDefault="0051795D" w:rsidP="0051795D">
            <w:pPr>
              <w:spacing w:before="0" w:after="0" w:line="240" w:lineRule="auto"/>
              <w:jc w:val="center"/>
              <w:rPr>
                <w:rFonts w:ascii="Aptos Narrow" w:eastAsia="Times New Roman" w:hAnsi="Aptos Narrow"/>
                <w:b/>
                <w:bCs/>
                <w:color w:val="FFFFFF"/>
                <w:kern w:val="0"/>
                <w:sz w:val="20"/>
                <w:lang w:val="en-IE" w:eastAsia="en-IE"/>
              </w:rPr>
            </w:pPr>
            <w:r w:rsidRPr="0051795D">
              <w:rPr>
                <w:rFonts w:ascii="Aptos Narrow" w:eastAsia="Times New Roman" w:hAnsi="Aptos Narrow"/>
                <w:b/>
                <w:bCs/>
                <w:color w:val="FFFFFF"/>
                <w:kern w:val="0"/>
                <w:sz w:val="20"/>
                <w:lang w:val="en-IE" w:eastAsia="en-IE"/>
              </w:rPr>
              <w:t>Virtual IBANs</w:t>
            </w:r>
          </w:p>
        </w:tc>
        <w:tc>
          <w:tcPr>
            <w:tcW w:w="2308" w:type="dxa"/>
            <w:tcBorders>
              <w:top w:val="nil"/>
              <w:left w:val="nil"/>
              <w:bottom w:val="single" w:sz="4" w:space="0" w:color="000000"/>
              <w:right w:val="single" w:sz="4" w:space="0" w:color="000000"/>
            </w:tcBorders>
            <w:vAlign w:val="center"/>
            <w:hideMark/>
          </w:tcPr>
          <w:p w14:paraId="6B016254"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Number of master accounts with linked vIBANS</w:t>
            </w:r>
          </w:p>
        </w:tc>
        <w:tc>
          <w:tcPr>
            <w:tcW w:w="2694" w:type="dxa"/>
            <w:tcBorders>
              <w:top w:val="nil"/>
              <w:left w:val="nil"/>
              <w:bottom w:val="single" w:sz="4" w:space="0" w:color="000000"/>
              <w:right w:val="single" w:sz="4" w:space="0" w:color="000000"/>
            </w:tcBorders>
            <w:vAlign w:val="center"/>
            <w:hideMark/>
          </w:tcPr>
          <w:p w14:paraId="2F260DF4"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Master Accounts with Linked Virtual IBANs</w:t>
            </w:r>
          </w:p>
        </w:tc>
        <w:tc>
          <w:tcPr>
            <w:tcW w:w="850" w:type="dxa"/>
            <w:tcBorders>
              <w:top w:val="nil"/>
              <w:left w:val="nil"/>
              <w:bottom w:val="single" w:sz="4" w:space="0" w:color="000000"/>
              <w:right w:val="single" w:sz="4" w:space="0" w:color="000000"/>
            </w:tcBorders>
            <w:vAlign w:val="center"/>
            <w:hideMark/>
          </w:tcPr>
          <w:p w14:paraId="61F21099"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C0010</w:t>
            </w:r>
          </w:p>
        </w:tc>
        <w:tc>
          <w:tcPr>
            <w:tcW w:w="1276" w:type="dxa"/>
            <w:tcBorders>
              <w:top w:val="nil"/>
              <w:left w:val="nil"/>
              <w:bottom w:val="single" w:sz="4" w:space="0" w:color="000000"/>
              <w:right w:val="single" w:sz="4" w:space="0" w:color="000000"/>
            </w:tcBorders>
            <w:shd w:val="clear" w:color="000000" w:fill="3D7AF5"/>
            <w:vAlign w:val="center"/>
            <w:hideMark/>
          </w:tcPr>
          <w:p w14:paraId="1E7397F3" w14:textId="77777777" w:rsidR="0051795D" w:rsidRPr="0051795D" w:rsidRDefault="0051795D" w:rsidP="0051795D">
            <w:pPr>
              <w:spacing w:before="0" w:after="0" w:line="240" w:lineRule="auto"/>
              <w:jc w:val="center"/>
              <w:rPr>
                <w:rFonts w:ascii="Aptos Narrow" w:eastAsia="Times New Roman" w:hAnsi="Aptos Narrow"/>
                <w:b/>
                <w:bCs/>
                <w:color w:val="FFFFFF"/>
                <w:kern w:val="0"/>
                <w:sz w:val="20"/>
                <w:lang w:val="en-IE" w:eastAsia="en-IE"/>
              </w:rPr>
            </w:pPr>
            <w:r w:rsidRPr="0051795D">
              <w:rPr>
                <w:rFonts w:ascii="Aptos Narrow" w:eastAsia="Times New Roman" w:hAnsi="Aptos Narrow"/>
                <w:b/>
                <w:bCs/>
                <w:color w:val="FFFFFF"/>
                <w:kern w:val="0"/>
                <w:sz w:val="20"/>
                <w:lang w:val="en-IE" w:eastAsia="en-IE"/>
              </w:rPr>
              <w:t>AML.03.02</w:t>
            </w:r>
          </w:p>
        </w:tc>
      </w:tr>
      <w:tr w:rsidR="00476609" w:rsidRPr="0051795D" w14:paraId="6DDCD1D2"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2EE211E8"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000000"/>
              <w:bottom w:val="single" w:sz="8" w:space="0" w:color="000000"/>
              <w:right w:val="single" w:sz="4" w:space="0" w:color="000000"/>
            </w:tcBorders>
            <w:vAlign w:val="center"/>
            <w:hideMark/>
          </w:tcPr>
          <w:p w14:paraId="31D5C221" w14:textId="77777777" w:rsidR="0051795D" w:rsidRPr="0051795D" w:rsidRDefault="0051795D" w:rsidP="0051795D">
            <w:pPr>
              <w:spacing w:before="0" w:after="0" w:line="240" w:lineRule="auto"/>
              <w:rPr>
                <w:rFonts w:ascii="Aptos Narrow" w:eastAsia="Times New Roman" w:hAnsi="Aptos Narrow"/>
                <w:b/>
                <w:bCs/>
                <w:color w:val="FFFFFF"/>
                <w:kern w:val="0"/>
                <w:sz w:val="20"/>
                <w:lang w:val="en-IE" w:eastAsia="en-IE"/>
              </w:rPr>
            </w:pPr>
          </w:p>
        </w:tc>
        <w:tc>
          <w:tcPr>
            <w:tcW w:w="2308" w:type="dxa"/>
            <w:tcBorders>
              <w:top w:val="nil"/>
              <w:left w:val="nil"/>
              <w:bottom w:val="single" w:sz="4" w:space="0" w:color="000000"/>
              <w:right w:val="single" w:sz="4" w:space="0" w:color="000000"/>
            </w:tcBorders>
            <w:vAlign w:val="center"/>
            <w:hideMark/>
          </w:tcPr>
          <w:p w14:paraId="70854573"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Number of transactions on Virtual IBANs (incoming) in the previous year</w:t>
            </w:r>
          </w:p>
        </w:tc>
        <w:tc>
          <w:tcPr>
            <w:tcW w:w="2694" w:type="dxa"/>
            <w:tcBorders>
              <w:top w:val="nil"/>
              <w:left w:val="nil"/>
              <w:bottom w:val="single" w:sz="4" w:space="0" w:color="000000"/>
              <w:right w:val="single" w:sz="4" w:space="0" w:color="000000"/>
            </w:tcBorders>
            <w:vAlign w:val="center"/>
            <w:hideMark/>
          </w:tcPr>
          <w:p w14:paraId="43C64856"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 xml:space="preserve">Transactions on vIBANs (Incoming) - Number </w:t>
            </w:r>
          </w:p>
        </w:tc>
        <w:tc>
          <w:tcPr>
            <w:tcW w:w="850" w:type="dxa"/>
            <w:tcBorders>
              <w:top w:val="nil"/>
              <w:left w:val="nil"/>
              <w:bottom w:val="single" w:sz="4" w:space="0" w:color="000000"/>
              <w:right w:val="single" w:sz="4" w:space="0" w:color="000000"/>
            </w:tcBorders>
            <w:vAlign w:val="center"/>
            <w:hideMark/>
          </w:tcPr>
          <w:p w14:paraId="28D1D2F3"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C0020</w:t>
            </w:r>
          </w:p>
        </w:tc>
        <w:tc>
          <w:tcPr>
            <w:tcW w:w="1276" w:type="dxa"/>
            <w:tcBorders>
              <w:top w:val="single" w:sz="8" w:space="0" w:color="auto"/>
              <w:left w:val="nil"/>
              <w:bottom w:val="single" w:sz="4" w:space="0" w:color="000000"/>
              <w:right w:val="single" w:sz="4" w:space="0" w:color="000000"/>
            </w:tcBorders>
            <w:shd w:val="clear" w:color="000000" w:fill="3D7AF5"/>
            <w:vAlign w:val="center"/>
            <w:hideMark/>
          </w:tcPr>
          <w:p w14:paraId="1496879A" w14:textId="77777777" w:rsidR="0051795D" w:rsidRPr="0051795D" w:rsidRDefault="0051795D" w:rsidP="0051795D">
            <w:pPr>
              <w:spacing w:before="0" w:after="0" w:line="240" w:lineRule="auto"/>
              <w:jc w:val="center"/>
              <w:rPr>
                <w:rFonts w:ascii="Aptos Narrow" w:eastAsia="Times New Roman" w:hAnsi="Aptos Narrow"/>
                <w:b/>
                <w:bCs/>
                <w:color w:val="FFFFFF"/>
                <w:kern w:val="0"/>
                <w:sz w:val="20"/>
                <w:lang w:val="en-IE" w:eastAsia="en-IE"/>
              </w:rPr>
            </w:pPr>
            <w:r w:rsidRPr="0051795D">
              <w:rPr>
                <w:rFonts w:ascii="Aptos Narrow" w:eastAsia="Times New Roman" w:hAnsi="Aptos Narrow"/>
                <w:b/>
                <w:bCs/>
                <w:color w:val="FFFFFF"/>
                <w:kern w:val="0"/>
                <w:sz w:val="20"/>
                <w:lang w:val="en-IE" w:eastAsia="en-IE"/>
              </w:rPr>
              <w:t>AML.03.02</w:t>
            </w:r>
          </w:p>
        </w:tc>
      </w:tr>
      <w:tr w:rsidR="00476609" w:rsidRPr="0051795D" w14:paraId="3C4BE2C5"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4B6A4BF1"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000000"/>
              <w:bottom w:val="single" w:sz="8" w:space="0" w:color="000000"/>
              <w:right w:val="single" w:sz="4" w:space="0" w:color="000000"/>
            </w:tcBorders>
            <w:vAlign w:val="center"/>
            <w:hideMark/>
          </w:tcPr>
          <w:p w14:paraId="47F030B2" w14:textId="77777777" w:rsidR="0051795D" w:rsidRPr="0051795D" w:rsidRDefault="0051795D" w:rsidP="0051795D">
            <w:pPr>
              <w:spacing w:before="0" w:after="0" w:line="240" w:lineRule="auto"/>
              <w:rPr>
                <w:rFonts w:ascii="Aptos Narrow" w:eastAsia="Times New Roman" w:hAnsi="Aptos Narrow"/>
                <w:b/>
                <w:bCs/>
                <w:color w:val="FFFFFF"/>
                <w:kern w:val="0"/>
                <w:sz w:val="20"/>
                <w:lang w:val="en-IE" w:eastAsia="en-IE"/>
              </w:rPr>
            </w:pPr>
          </w:p>
        </w:tc>
        <w:tc>
          <w:tcPr>
            <w:tcW w:w="2308" w:type="dxa"/>
            <w:tcBorders>
              <w:top w:val="nil"/>
              <w:left w:val="nil"/>
              <w:bottom w:val="single" w:sz="4" w:space="0" w:color="000000"/>
              <w:right w:val="single" w:sz="4" w:space="0" w:color="000000"/>
            </w:tcBorders>
            <w:vAlign w:val="center"/>
            <w:hideMark/>
          </w:tcPr>
          <w:p w14:paraId="6488F5D4"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Value (EUR) of transactions on Virtual IBANs (incoming) in the previous year</w:t>
            </w:r>
          </w:p>
        </w:tc>
        <w:tc>
          <w:tcPr>
            <w:tcW w:w="2694" w:type="dxa"/>
            <w:tcBorders>
              <w:top w:val="nil"/>
              <w:left w:val="nil"/>
              <w:bottom w:val="single" w:sz="4" w:space="0" w:color="000000"/>
              <w:right w:val="single" w:sz="4" w:space="0" w:color="000000"/>
            </w:tcBorders>
            <w:vAlign w:val="center"/>
            <w:hideMark/>
          </w:tcPr>
          <w:p w14:paraId="754BA5B2"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Transactions on vIBANs (Incoming) - Value</w:t>
            </w:r>
          </w:p>
        </w:tc>
        <w:tc>
          <w:tcPr>
            <w:tcW w:w="850" w:type="dxa"/>
            <w:tcBorders>
              <w:top w:val="nil"/>
              <w:left w:val="nil"/>
              <w:bottom w:val="single" w:sz="4" w:space="0" w:color="000000"/>
              <w:right w:val="single" w:sz="4" w:space="0" w:color="000000"/>
            </w:tcBorders>
            <w:vAlign w:val="center"/>
            <w:hideMark/>
          </w:tcPr>
          <w:p w14:paraId="72209C24"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C0030</w:t>
            </w:r>
          </w:p>
        </w:tc>
        <w:tc>
          <w:tcPr>
            <w:tcW w:w="1276" w:type="dxa"/>
            <w:tcBorders>
              <w:top w:val="single" w:sz="8" w:space="0" w:color="auto"/>
              <w:left w:val="nil"/>
              <w:bottom w:val="single" w:sz="4" w:space="0" w:color="000000"/>
              <w:right w:val="single" w:sz="4" w:space="0" w:color="000000"/>
            </w:tcBorders>
            <w:shd w:val="clear" w:color="000000" w:fill="3D7AF5"/>
            <w:vAlign w:val="center"/>
            <w:hideMark/>
          </w:tcPr>
          <w:p w14:paraId="6813024B" w14:textId="77777777" w:rsidR="0051795D" w:rsidRPr="0051795D" w:rsidRDefault="0051795D" w:rsidP="0051795D">
            <w:pPr>
              <w:spacing w:before="0" w:after="0" w:line="240" w:lineRule="auto"/>
              <w:jc w:val="center"/>
              <w:rPr>
                <w:rFonts w:ascii="Aptos Narrow" w:eastAsia="Times New Roman" w:hAnsi="Aptos Narrow"/>
                <w:b/>
                <w:bCs/>
                <w:color w:val="FFFFFF"/>
                <w:kern w:val="0"/>
                <w:sz w:val="20"/>
                <w:lang w:val="en-IE" w:eastAsia="en-IE"/>
              </w:rPr>
            </w:pPr>
            <w:r w:rsidRPr="0051795D">
              <w:rPr>
                <w:rFonts w:ascii="Aptos Narrow" w:eastAsia="Times New Roman" w:hAnsi="Aptos Narrow"/>
                <w:b/>
                <w:bCs/>
                <w:color w:val="FFFFFF"/>
                <w:kern w:val="0"/>
                <w:sz w:val="20"/>
                <w:lang w:val="en-IE" w:eastAsia="en-IE"/>
              </w:rPr>
              <w:t>AML.03.02</w:t>
            </w:r>
          </w:p>
        </w:tc>
      </w:tr>
      <w:tr w:rsidR="00476609" w:rsidRPr="0051795D" w14:paraId="7521880F"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46476C25"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000000"/>
              <w:bottom w:val="single" w:sz="8" w:space="0" w:color="000000"/>
              <w:right w:val="single" w:sz="4" w:space="0" w:color="000000"/>
            </w:tcBorders>
            <w:vAlign w:val="center"/>
            <w:hideMark/>
          </w:tcPr>
          <w:p w14:paraId="3D0C9358" w14:textId="77777777" w:rsidR="0051795D" w:rsidRPr="0051795D" w:rsidRDefault="0051795D" w:rsidP="0051795D">
            <w:pPr>
              <w:spacing w:before="0" w:after="0" w:line="240" w:lineRule="auto"/>
              <w:rPr>
                <w:rFonts w:ascii="Aptos Narrow" w:eastAsia="Times New Roman" w:hAnsi="Aptos Narrow"/>
                <w:b/>
                <w:bCs/>
                <w:color w:val="FFFFFF"/>
                <w:kern w:val="0"/>
                <w:sz w:val="20"/>
                <w:lang w:val="en-IE" w:eastAsia="en-IE"/>
              </w:rPr>
            </w:pPr>
          </w:p>
        </w:tc>
        <w:tc>
          <w:tcPr>
            <w:tcW w:w="2308" w:type="dxa"/>
            <w:tcBorders>
              <w:top w:val="nil"/>
              <w:left w:val="nil"/>
              <w:bottom w:val="single" w:sz="4" w:space="0" w:color="000000"/>
              <w:right w:val="single" w:sz="4" w:space="0" w:color="000000"/>
            </w:tcBorders>
            <w:vAlign w:val="center"/>
            <w:hideMark/>
          </w:tcPr>
          <w:p w14:paraId="267D70E2"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Number of transactions on Virtual IBANs (outgoing) in the previous year</w:t>
            </w:r>
          </w:p>
        </w:tc>
        <w:tc>
          <w:tcPr>
            <w:tcW w:w="2694" w:type="dxa"/>
            <w:tcBorders>
              <w:top w:val="nil"/>
              <w:left w:val="nil"/>
              <w:bottom w:val="single" w:sz="4" w:space="0" w:color="000000"/>
              <w:right w:val="single" w:sz="4" w:space="0" w:color="000000"/>
            </w:tcBorders>
            <w:vAlign w:val="center"/>
            <w:hideMark/>
          </w:tcPr>
          <w:p w14:paraId="356066BE"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Transactions on vIBANs (Outgoing) - Number</w:t>
            </w:r>
          </w:p>
        </w:tc>
        <w:tc>
          <w:tcPr>
            <w:tcW w:w="850" w:type="dxa"/>
            <w:tcBorders>
              <w:top w:val="nil"/>
              <w:left w:val="nil"/>
              <w:bottom w:val="single" w:sz="4" w:space="0" w:color="000000"/>
              <w:right w:val="single" w:sz="4" w:space="0" w:color="000000"/>
            </w:tcBorders>
            <w:vAlign w:val="center"/>
            <w:hideMark/>
          </w:tcPr>
          <w:p w14:paraId="4E525C4B"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C0040</w:t>
            </w:r>
          </w:p>
        </w:tc>
        <w:tc>
          <w:tcPr>
            <w:tcW w:w="1276" w:type="dxa"/>
            <w:tcBorders>
              <w:top w:val="single" w:sz="8" w:space="0" w:color="auto"/>
              <w:left w:val="nil"/>
              <w:bottom w:val="single" w:sz="4" w:space="0" w:color="000000"/>
              <w:right w:val="single" w:sz="4" w:space="0" w:color="000000"/>
            </w:tcBorders>
            <w:shd w:val="clear" w:color="000000" w:fill="3D7AF5"/>
            <w:vAlign w:val="center"/>
            <w:hideMark/>
          </w:tcPr>
          <w:p w14:paraId="48AB77D8" w14:textId="77777777" w:rsidR="0051795D" w:rsidRPr="0051795D" w:rsidRDefault="0051795D" w:rsidP="0051795D">
            <w:pPr>
              <w:spacing w:before="0" w:after="0" w:line="240" w:lineRule="auto"/>
              <w:jc w:val="center"/>
              <w:rPr>
                <w:rFonts w:ascii="Aptos Narrow" w:eastAsia="Times New Roman" w:hAnsi="Aptos Narrow"/>
                <w:b/>
                <w:bCs/>
                <w:color w:val="FFFFFF"/>
                <w:kern w:val="0"/>
                <w:sz w:val="20"/>
                <w:lang w:val="en-IE" w:eastAsia="en-IE"/>
              </w:rPr>
            </w:pPr>
            <w:r w:rsidRPr="0051795D">
              <w:rPr>
                <w:rFonts w:ascii="Aptos Narrow" w:eastAsia="Times New Roman" w:hAnsi="Aptos Narrow"/>
                <w:b/>
                <w:bCs/>
                <w:color w:val="FFFFFF"/>
                <w:kern w:val="0"/>
                <w:sz w:val="20"/>
                <w:lang w:val="en-IE" w:eastAsia="en-IE"/>
              </w:rPr>
              <w:t>AML.03.02</w:t>
            </w:r>
          </w:p>
        </w:tc>
      </w:tr>
      <w:tr w:rsidR="00476609" w:rsidRPr="0051795D" w14:paraId="1720627F"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226DAB8D"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000000"/>
              <w:bottom w:val="single" w:sz="8" w:space="0" w:color="000000"/>
              <w:right w:val="single" w:sz="4" w:space="0" w:color="000000"/>
            </w:tcBorders>
            <w:vAlign w:val="center"/>
            <w:hideMark/>
          </w:tcPr>
          <w:p w14:paraId="645AFCB0" w14:textId="77777777" w:rsidR="0051795D" w:rsidRPr="0051795D" w:rsidRDefault="0051795D" w:rsidP="0051795D">
            <w:pPr>
              <w:spacing w:before="0" w:after="0" w:line="240" w:lineRule="auto"/>
              <w:rPr>
                <w:rFonts w:ascii="Aptos Narrow" w:eastAsia="Times New Roman" w:hAnsi="Aptos Narrow"/>
                <w:b/>
                <w:bCs/>
                <w:color w:val="FFFFFF"/>
                <w:kern w:val="0"/>
                <w:sz w:val="20"/>
                <w:lang w:val="en-IE" w:eastAsia="en-IE"/>
              </w:rPr>
            </w:pPr>
          </w:p>
        </w:tc>
        <w:tc>
          <w:tcPr>
            <w:tcW w:w="2308" w:type="dxa"/>
            <w:tcBorders>
              <w:top w:val="nil"/>
              <w:left w:val="nil"/>
              <w:bottom w:val="single" w:sz="4" w:space="0" w:color="000000"/>
              <w:right w:val="single" w:sz="4" w:space="0" w:color="000000"/>
            </w:tcBorders>
            <w:vAlign w:val="center"/>
            <w:hideMark/>
          </w:tcPr>
          <w:p w14:paraId="119CDC2F"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Value (EUR) of transactions on Virtual IBANs (outgoing) in the previous year</w:t>
            </w:r>
          </w:p>
        </w:tc>
        <w:tc>
          <w:tcPr>
            <w:tcW w:w="2694" w:type="dxa"/>
            <w:tcBorders>
              <w:top w:val="nil"/>
              <w:left w:val="nil"/>
              <w:bottom w:val="nil"/>
              <w:right w:val="single" w:sz="4" w:space="0" w:color="000000"/>
            </w:tcBorders>
            <w:vAlign w:val="center"/>
            <w:hideMark/>
          </w:tcPr>
          <w:p w14:paraId="49B7AE4C"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Transactions on vIBANs (Outgoing) - Value</w:t>
            </w:r>
          </w:p>
        </w:tc>
        <w:tc>
          <w:tcPr>
            <w:tcW w:w="850" w:type="dxa"/>
            <w:tcBorders>
              <w:top w:val="nil"/>
              <w:left w:val="nil"/>
              <w:bottom w:val="nil"/>
              <w:right w:val="single" w:sz="4" w:space="0" w:color="000000"/>
            </w:tcBorders>
            <w:vAlign w:val="center"/>
            <w:hideMark/>
          </w:tcPr>
          <w:p w14:paraId="26A66E6E"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C0050</w:t>
            </w:r>
          </w:p>
        </w:tc>
        <w:tc>
          <w:tcPr>
            <w:tcW w:w="1276" w:type="dxa"/>
            <w:tcBorders>
              <w:top w:val="single" w:sz="8" w:space="0" w:color="auto"/>
              <w:left w:val="nil"/>
              <w:bottom w:val="single" w:sz="4" w:space="0" w:color="000000"/>
              <w:right w:val="single" w:sz="4" w:space="0" w:color="000000"/>
            </w:tcBorders>
            <w:shd w:val="clear" w:color="000000" w:fill="3D7AF5"/>
            <w:vAlign w:val="center"/>
            <w:hideMark/>
          </w:tcPr>
          <w:p w14:paraId="59E73D1D" w14:textId="77777777" w:rsidR="0051795D" w:rsidRPr="0051795D" w:rsidRDefault="0051795D" w:rsidP="0051795D">
            <w:pPr>
              <w:spacing w:before="0" w:after="0" w:line="240" w:lineRule="auto"/>
              <w:jc w:val="center"/>
              <w:rPr>
                <w:rFonts w:ascii="Aptos Narrow" w:eastAsia="Times New Roman" w:hAnsi="Aptos Narrow"/>
                <w:b/>
                <w:bCs/>
                <w:color w:val="FFFFFF"/>
                <w:kern w:val="0"/>
                <w:sz w:val="20"/>
                <w:lang w:val="en-IE" w:eastAsia="en-IE"/>
              </w:rPr>
            </w:pPr>
            <w:r w:rsidRPr="0051795D">
              <w:rPr>
                <w:rFonts w:ascii="Aptos Narrow" w:eastAsia="Times New Roman" w:hAnsi="Aptos Narrow"/>
                <w:b/>
                <w:bCs/>
                <w:color w:val="FFFFFF"/>
                <w:kern w:val="0"/>
                <w:sz w:val="20"/>
                <w:lang w:val="en-IE" w:eastAsia="en-IE"/>
              </w:rPr>
              <w:t>AML.03.02</w:t>
            </w:r>
          </w:p>
        </w:tc>
      </w:tr>
      <w:tr w:rsidR="00476609" w:rsidRPr="0051795D" w14:paraId="269B77FA"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506F5743"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000000"/>
              <w:bottom w:val="single" w:sz="8" w:space="0" w:color="000000"/>
              <w:right w:val="single" w:sz="4" w:space="0" w:color="000000"/>
            </w:tcBorders>
            <w:vAlign w:val="center"/>
            <w:hideMark/>
          </w:tcPr>
          <w:p w14:paraId="5A7376DC" w14:textId="77777777" w:rsidR="0051795D" w:rsidRPr="0051795D" w:rsidRDefault="0051795D" w:rsidP="0051795D">
            <w:pPr>
              <w:spacing w:before="0" w:after="0" w:line="240" w:lineRule="auto"/>
              <w:rPr>
                <w:rFonts w:ascii="Aptos Narrow" w:eastAsia="Times New Roman" w:hAnsi="Aptos Narrow"/>
                <w:b/>
                <w:bCs/>
                <w:color w:val="FFFFFF"/>
                <w:kern w:val="0"/>
                <w:sz w:val="20"/>
                <w:lang w:val="en-IE" w:eastAsia="en-IE"/>
              </w:rPr>
            </w:pPr>
          </w:p>
        </w:tc>
        <w:tc>
          <w:tcPr>
            <w:tcW w:w="2308" w:type="dxa"/>
            <w:tcBorders>
              <w:top w:val="nil"/>
              <w:left w:val="nil"/>
              <w:bottom w:val="nil"/>
              <w:right w:val="single" w:sz="4" w:space="0" w:color="auto"/>
            </w:tcBorders>
            <w:vAlign w:val="center"/>
            <w:hideMark/>
          </w:tcPr>
          <w:p w14:paraId="1AA3C7BE"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Number of re-issued IBANs</w:t>
            </w:r>
          </w:p>
        </w:tc>
        <w:tc>
          <w:tcPr>
            <w:tcW w:w="2694" w:type="dxa"/>
            <w:tcBorders>
              <w:top w:val="single" w:sz="4" w:space="0" w:color="auto"/>
              <w:left w:val="nil"/>
              <w:bottom w:val="single" w:sz="4" w:space="0" w:color="auto"/>
              <w:right w:val="single" w:sz="4" w:space="0" w:color="auto"/>
            </w:tcBorders>
            <w:vAlign w:val="center"/>
            <w:hideMark/>
          </w:tcPr>
          <w:p w14:paraId="18327421"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Re-issued Virtual IBANs</w:t>
            </w:r>
          </w:p>
        </w:tc>
        <w:tc>
          <w:tcPr>
            <w:tcW w:w="850" w:type="dxa"/>
            <w:tcBorders>
              <w:top w:val="single" w:sz="4" w:space="0" w:color="auto"/>
              <w:left w:val="nil"/>
              <w:bottom w:val="single" w:sz="4" w:space="0" w:color="auto"/>
              <w:right w:val="single" w:sz="4" w:space="0" w:color="auto"/>
            </w:tcBorders>
            <w:vAlign w:val="center"/>
            <w:hideMark/>
          </w:tcPr>
          <w:p w14:paraId="629DE0FD"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C0060</w:t>
            </w:r>
          </w:p>
        </w:tc>
        <w:tc>
          <w:tcPr>
            <w:tcW w:w="1276" w:type="dxa"/>
            <w:tcBorders>
              <w:top w:val="single" w:sz="8" w:space="0" w:color="auto"/>
              <w:left w:val="nil"/>
              <w:bottom w:val="single" w:sz="4" w:space="0" w:color="000000"/>
              <w:right w:val="single" w:sz="4" w:space="0" w:color="000000"/>
            </w:tcBorders>
            <w:shd w:val="clear" w:color="000000" w:fill="3D7AF5"/>
            <w:vAlign w:val="center"/>
            <w:hideMark/>
          </w:tcPr>
          <w:p w14:paraId="5DCD434B" w14:textId="77777777" w:rsidR="0051795D" w:rsidRPr="0051795D" w:rsidRDefault="0051795D" w:rsidP="0051795D">
            <w:pPr>
              <w:spacing w:before="0" w:after="0" w:line="240" w:lineRule="auto"/>
              <w:jc w:val="center"/>
              <w:rPr>
                <w:rFonts w:ascii="Aptos Narrow" w:eastAsia="Times New Roman" w:hAnsi="Aptos Narrow"/>
                <w:b/>
                <w:bCs/>
                <w:color w:val="FFFFFF"/>
                <w:kern w:val="0"/>
                <w:sz w:val="20"/>
                <w:lang w:val="en-IE" w:eastAsia="en-IE"/>
              </w:rPr>
            </w:pPr>
            <w:r w:rsidRPr="0051795D">
              <w:rPr>
                <w:rFonts w:ascii="Aptos Narrow" w:eastAsia="Times New Roman" w:hAnsi="Aptos Narrow"/>
                <w:b/>
                <w:bCs/>
                <w:color w:val="FFFFFF"/>
                <w:kern w:val="0"/>
                <w:sz w:val="20"/>
                <w:lang w:val="en-IE" w:eastAsia="en-IE"/>
              </w:rPr>
              <w:t>AML.03.02</w:t>
            </w:r>
          </w:p>
        </w:tc>
      </w:tr>
      <w:tr w:rsidR="00476609" w:rsidRPr="0051795D" w14:paraId="2F0772E6"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35568298"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000000"/>
              <w:bottom w:val="single" w:sz="8" w:space="0" w:color="000000"/>
              <w:right w:val="single" w:sz="4" w:space="0" w:color="000000"/>
            </w:tcBorders>
            <w:vAlign w:val="center"/>
            <w:hideMark/>
          </w:tcPr>
          <w:p w14:paraId="52DCD3B7" w14:textId="77777777" w:rsidR="0051795D" w:rsidRPr="0051795D" w:rsidRDefault="0051795D" w:rsidP="0051795D">
            <w:pPr>
              <w:spacing w:before="0" w:after="0" w:line="240" w:lineRule="auto"/>
              <w:rPr>
                <w:rFonts w:ascii="Aptos Narrow" w:eastAsia="Times New Roman" w:hAnsi="Aptos Narrow"/>
                <w:b/>
                <w:bCs/>
                <w:color w:val="FFFFFF"/>
                <w:kern w:val="0"/>
                <w:sz w:val="20"/>
                <w:lang w:val="en-IE" w:eastAsia="en-IE"/>
              </w:rPr>
            </w:pPr>
          </w:p>
        </w:tc>
        <w:tc>
          <w:tcPr>
            <w:tcW w:w="2308" w:type="dxa"/>
            <w:tcBorders>
              <w:top w:val="single" w:sz="4" w:space="0" w:color="auto"/>
              <w:left w:val="nil"/>
              <w:bottom w:val="single" w:sz="8" w:space="0" w:color="auto"/>
              <w:right w:val="single" w:sz="4" w:space="0" w:color="auto"/>
            </w:tcBorders>
            <w:vAlign w:val="center"/>
            <w:hideMark/>
          </w:tcPr>
          <w:p w14:paraId="7CB2ECCB"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Number of re-issued IBANs where the end-user is not a customer of the obliged entity</w:t>
            </w:r>
          </w:p>
        </w:tc>
        <w:tc>
          <w:tcPr>
            <w:tcW w:w="2694" w:type="dxa"/>
            <w:tcBorders>
              <w:top w:val="nil"/>
              <w:left w:val="nil"/>
              <w:bottom w:val="nil"/>
              <w:right w:val="single" w:sz="4" w:space="0" w:color="auto"/>
            </w:tcBorders>
            <w:noWrap/>
            <w:vAlign w:val="center"/>
            <w:hideMark/>
          </w:tcPr>
          <w:p w14:paraId="7733155D" w14:textId="77777777" w:rsidR="0051795D" w:rsidRPr="0051795D" w:rsidRDefault="0051795D" w:rsidP="0051795D">
            <w:pPr>
              <w:spacing w:before="0" w:after="0" w:line="240" w:lineRule="auto"/>
              <w:jc w:val="both"/>
              <w:rPr>
                <w:rFonts w:ascii="Aptos" w:eastAsia="Times New Roman" w:hAnsi="Aptos"/>
                <w:b/>
                <w:bCs/>
                <w:color w:val="000000"/>
                <w:kern w:val="0"/>
                <w:sz w:val="20"/>
                <w:lang w:val="en-IE" w:eastAsia="en-IE"/>
              </w:rPr>
            </w:pPr>
            <w:r w:rsidRPr="0051795D">
              <w:rPr>
                <w:rFonts w:ascii="Aptos" w:eastAsia="Times New Roman" w:hAnsi="Aptos"/>
                <w:b/>
                <w:bCs/>
                <w:color w:val="000000"/>
                <w:kern w:val="0"/>
                <w:sz w:val="20"/>
                <w:lang w:val="en-IE" w:eastAsia="en-IE"/>
              </w:rPr>
              <w:t>Re-issued Virtual IBANs - Non-customer End-user</w:t>
            </w:r>
          </w:p>
        </w:tc>
        <w:tc>
          <w:tcPr>
            <w:tcW w:w="850" w:type="dxa"/>
            <w:tcBorders>
              <w:top w:val="nil"/>
              <w:left w:val="nil"/>
              <w:bottom w:val="nil"/>
              <w:right w:val="single" w:sz="4" w:space="0" w:color="auto"/>
            </w:tcBorders>
            <w:vAlign w:val="center"/>
            <w:hideMark/>
          </w:tcPr>
          <w:p w14:paraId="7DC78718"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C0070</w:t>
            </w:r>
          </w:p>
        </w:tc>
        <w:tc>
          <w:tcPr>
            <w:tcW w:w="1276" w:type="dxa"/>
            <w:tcBorders>
              <w:top w:val="single" w:sz="8" w:space="0" w:color="auto"/>
              <w:left w:val="nil"/>
              <w:bottom w:val="nil"/>
              <w:right w:val="single" w:sz="4" w:space="0" w:color="000000"/>
            </w:tcBorders>
            <w:shd w:val="clear" w:color="000000" w:fill="3D7AF5"/>
            <w:vAlign w:val="center"/>
            <w:hideMark/>
          </w:tcPr>
          <w:p w14:paraId="6A969CBA" w14:textId="77777777" w:rsidR="0051795D" w:rsidRPr="0051795D" w:rsidRDefault="0051795D" w:rsidP="0051795D">
            <w:pPr>
              <w:spacing w:before="0" w:after="0" w:line="240" w:lineRule="auto"/>
              <w:jc w:val="center"/>
              <w:rPr>
                <w:rFonts w:ascii="Aptos Narrow" w:eastAsia="Times New Roman" w:hAnsi="Aptos Narrow"/>
                <w:b/>
                <w:bCs/>
                <w:color w:val="FFFFFF"/>
                <w:kern w:val="0"/>
                <w:sz w:val="20"/>
                <w:lang w:val="en-IE" w:eastAsia="en-IE"/>
              </w:rPr>
            </w:pPr>
            <w:r w:rsidRPr="0051795D">
              <w:rPr>
                <w:rFonts w:ascii="Aptos Narrow" w:eastAsia="Times New Roman" w:hAnsi="Aptos Narrow"/>
                <w:b/>
                <w:bCs/>
                <w:color w:val="FFFFFF"/>
                <w:kern w:val="0"/>
                <w:sz w:val="20"/>
                <w:lang w:val="en-IE" w:eastAsia="en-IE"/>
              </w:rPr>
              <w:t>AML.03.02</w:t>
            </w:r>
          </w:p>
        </w:tc>
      </w:tr>
      <w:tr w:rsidR="00476609" w:rsidRPr="0051795D" w14:paraId="4A5C7C2D"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4BCFA78A"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val="restart"/>
            <w:tcBorders>
              <w:top w:val="nil"/>
              <w:left w:val="single" w:sz="4" w:space="0" w:color="000000"/>
              <w:bottom w:val="single" w:sz="8" w:space="0" w:color="000000"/>
              <w:right w:val="single" w:sz="4" w:space="0" w:color="000000"/>
            </w:tcBorders>
            <w:shd w:val="clear" w:color="000000" w:fill="3D7AF5"/>
            <w:vAlign w:val="center"/>
            <w:hideMark/>
          </w:tcPr>
          <w:p w14:paraId="785B25A2"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Prepaid Cards</w:t>
            </w:r>
          </w:p>
        </w:tc>
        <w:tc>
          <w:tcPr>
            <w:tcW w:w="2308" w:type="dxa"/>
            <w:tcBorders>
              <w:top w:val="nil"/>
              <w:left w:val="nil"/>
              <w:bottom w:val="nil"/>
              <w:right w:val="single" w:sz="4" w:space="0" w:color="auto"/>
            </w:tcBorders>
            <w:vAlign w:val="center"/>
            <w:hideMark/>
          </w:tcPr>
          <w:p w14:paraId="5BBFA326"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Number of Prepaid Cards issued during the previous year</w:t>
            </w:r>
          </w:p>
        </w:tc>
        <w:tc>
          <w:tcPr>
            <w:tcW w:w="2694" w:type="dxa"/>
            <w:tcBorders>
              <w:top w:val="single" w:sz="4" w:space="0" w:color="auto"/>
              <w:left w:val="nil"/>
              <w:bottom w:val="single" w:sz="4" w:space="0" w:color="auto"/>
              <w:right w:val="single" w:sz="4" w:space="0" w:color="auto"/>
            </w:tcBorders>
            <w:vAlign w:val="center"/>
            <w:hideMark/>
          </w:tcPr>
          <w:p w14:paraId="61E2C6D7"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Prepaid Cards Issued - Number</w:t>
            </w:r>
          </w:p>
        </w:tc>
        <w:tc>
          <w:tcPr>
            <w:tcW w:w="850" w:type="dxa"/>
            <w:tcBorders>
              <w:top w:val="single" w:sz="4" w:space="0" w:color="auto"/>
              <w:left w:val="nil"/>
              <w:bottom w:val="single" w:sz="4" w:space="0" w:color="auto"/>
              <w:right w:val="single" w:sz="4" w:space="0" w:color="auto"/>
            </w:tcBorders>
            <w:vAlign w:val="center"/>
            <w:hideMark/>
          </w:tcPr>
          <w:p w14:paraId="53F2FE5F"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C0010</w:t>
            </w:r>
          </w:p>
        </w:tc>
        <w:tc>
          <w:tcPr>
            <w:tcW w:w="1276" w:type="dxa"/>
            <w:tcBorders>
              <w:top w:val="single" w:sz="4" w:space="0" w:color="auto"/>
              <w:left w:val="nil"/>
              <w:bottom w:val="single" w:sz="4" w:space="0" w:color="auto"/>
              <w:right w:val="single" w:sz="4" w:space="0" w:color="auto"/>
            </w:tcBorders>
            <w:shd w:val="clear" w:color="000000" w:fill="3D7AF5"/>
            <w:vAlign w:val="center"/>
            <w:hideMark/>
          </w:tcPr>
          <w:p w14:paraId="2C155B4E"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AML.03.03</w:t>
            </w:r>
          </w:p>
        </w:tc>
      </w:tr>
      <w:tr w:rsidR="00476609" w:rsidRPr="0051795D" w14:paraId="5B544609"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5914B711"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000000"/>
              <w:bottom w:val="single" w:sz="8" w:space="0" w:color="000000"/>
              <w:right w:val="single" w:sz="4" w:space="0" w:color="000000"/>
            </w:tcBorders>
            <w:vAlign w:val="center"/>
            <w:hideMark/>
          </w:tcPr>
          <w:p w14:paraId="0ABFF686"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single" w:sz="4" w:space="0" w:color="auto"/>
              <w:left w:val="nil"/>
              <w:bottom w:val="nil"/>
              <w:right w:val="single" w:sz="4" w:space="0" w:color="auto"/>
            </w:tcBorders>
            <w:vAlign w:val="center"/>
            <w:hideMark/>
          </w:tcPr>
          <w:p w14:paraId="01612303"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Value (EUR) of the issued prepaid cards during the previous year (turnover)</w:t>
            </w:r>
          </w:p>
        </w:tc>
        <w:tc>
          <w:tcPr>
            <w:tcW w:w="2694" w:type="dxa"/>
            <w:tcBorders>
              <w:top w:val="nil"/>
              <w:left w:val="nil"/>
              <w:bottom w:val="single" w:sz="4" w:space="0" w:color="auto"/>
              <w:right w:val="single" w:sz="4" w:space="0" w:color="auto"/>
            </w:tcBorders>
            <w:vAlign w:val="center"/>
            <w:hideMark/>
          </w:tcPr>
          <w:p w14:paraId="0688E3A3"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Prepaid Cards Issued - Value</w:t>
            </w:r>
          </w:p>
        </w:tc>
        <w:tc>
          <w:tcPr>
            <w:tcW w:w="850" w:type="dxa"/>
            <w:tcBorders>
              <w:top w:val="nil"/>
              <w:left w:val="nil"/>
              <w:bottom w:val="single" w:sz="4" w:space="0" w:color="000000"/>
              <w:right w:val="single" w:sz="4" w:space="0" w:color="000000"/>
            </w:tcBorders>
            <w:vAlign w:val="center"/>
            <w:hideMark/>
          </w:tcPr>
          <w:p w14:paraId="4C91AADF"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C0020</w:t>
            </w:r>
          </w:p>
        </w:tc>
        <w:tc>
          <w:tcPr>
            <w:tcW w:w="1276" w:type="dxa"/>
            <w:tcBorders>
              <w:top w:val="nil"/>
              <w:left w:val="nil"/>
              <w:bottom w:val="single" w:sz="4" w:space="0" w:color="auto"/>
              <w:right w:val="single" w:sz="4" w:space="0" w:color="auto"/>
            </w:tcBorders>
            <w:shd w:val="clear" w:color="000000" w:fill="3D7AF5"/>
            <w:vAlign w:val="center"/>
            <w:hideMark/>
          </w:tcPr>
          <w:p w14:paraId="0B551D5E"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AML.03.03</w:t>
            </w:r>
          </w:p>
        </w:tc>
      </w:tr>
      <w:tr w:rsidR="00476609" w:rsidRPr="0051795D" w14:paraId="79574356"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4B0FAB86"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000000"/>
              <w:bottom w:val="single" w:sz="8" w:space="0" w:color="000000"/>
              <w:right w:val="single" w:sz="4" w:space="0" w:color="000000"/>
            </w:tcBorders>
            <w:vAlign w:val="center"/>
            <w:hideMark/>
          </w:tcPr>
          <w:p w14:paraId="33340EDE"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single" w:sz="4" w:space="0" w:color="auto"/>
              <w:left w:val="nil"/>
              <w:bottom w:val="nil"/>
              <w:right w:val="single" w:sz="4" w:space="0" w:color="auto"/>
            </w:tcBorders>
            <w:vAlign w:val="center"/>
            <w:hideMark/>
          </w:tcPr>
          <w:p w14:paraId="6F2B36A8"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Value (EUR) outstanding on prepaid cards issued during the previous year (turnover)</w:t>
            </w:r>
          </w:p>
        </w:tc>
        <w:tc>
          <w:tcPr>
            <w:tcW w:w="2694" w:type="dxa"/>
            <w:tcBorders>
              <w:top w:val="nil"/>
              <w:left w:val="nil"/>
              <w:bottom w:val="single" w:sz="4" w:space="0" w:color="auto"/>
              <w:right w:val="single" w:sz="4" w:space="0" w:color="auto"/>
            </w:tcBorders>
            <w:vAlign w:val="center"/>
            <w:hideMark/>
          </w:tcPr>
          <w:p w14:paraId="67DCCD54"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Prepaid Cards - Outstanding Value</w:t>
            </w:r>
          </w:p>
        </w:tc>
        <w:tc>
          <w:tcPr>
            <w:tcW w:w="850" w:type="dxa"/>
            <w:tcBorders>
              <w:top w:val="nil"/>
              <w:left w:val="nil"/>
              <w:bottom w:val="single" w:sz="4" w:space="0" w:color="000000"/>
              <w:right w:val="single" w:sz="4" w:space="0" w:color="000000"/>
            </w:tcBorders>
            <w:vAlign w:val="center"/>
            <w:hideMark/>
          </w:tcPr>
          <w:p w14:paraId="1CBE0AED"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C0030</w:t>
            </w:r>
          </w:p>
        </w:tc>
        <w:tc>
          <w:tcPr>
            <w:tcW w:w="1276" w:type="dxa"/>
            <w:tcBorders>
              <w:top w:val="nil"/>
              <w:left w:val="nil"/>
              <w:bottom w:val="single" w:sz="4" w:space="0" w:color="auto"/>
              <w:right w:val="single" w:sz="4" w:space="0" w:color="auto"/>
            </w:tcBorders>
            <w:shd w:val="clear" w:color="000000" w:fill="3D7AF5"/>
            <w:vAlign w:val="center"/>
            <w:hideMark/>
          </w:tcPr>
          <w:p w14:paraId="41B5DFCB"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AML.03.03</w:t>
            </w:r>
          </w:p>
        </w:tc>
      </w:tr>
      <w:tr w:rsidR="00476609" w:rsidRPr="0051795D" w14:paraId="0ED48352"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23BF3D38"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000000"/>
              <w:bottom w:val="single" w:sz="8" w:space="0" w:color="000000"/>
              <w:right w:val="single" w:sz="4" w:space="0" w:color="000000"/>
            </w:tcBorders>
            <w:vAlign w:val="center"/>
            <w:hideMark/>
          </w:tcPr>
          <w:p w14:paraId="7A9C544C"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single" w:sz="4" w:space="0" w:color="auto"/>
              <w:left w:val="nil"/>
              <w:bottom w:val="nil"/>
              <w:right w:val="single" w:sz="4" w:space="0" w:color="auto"/>
            </w:tcBorders>
            <w:vAlign w:val="center"/>
            <w:hideMark/>
          </w:tcPr>
          <w:p w14:paraId="5A5AE856"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number of customers using prepaid cards</w:t>
            </w:r>
          </w:p>
        </w:tc>
        <w:tc>
          <w:tcPr>
            <w:tcW w:w="2694" w:type="dxa"/>
            <w:tcBorders>
              <w:top w:val="nil"/>
              <w:left w:val="nil"/>
              <w:bottom w:val="single" w:sz="4" w:space="0" w:color="auto"/>
              <w:right w:val="single" w:sz="4" w:space="0" w:color="auto"/>
            </w:tcBorders>
            <w:vAlign w:val="center"/>
            <w:hideMark/>
          </w:tcPr>
          <w:p w14:paraId="6C90077A"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Customers Using Prepaid Cards</w:t>
            </w:r>
          </w:p>
        </w:tc>
        <w:tc>
          <w:tcPr>
            <w:tcW w:w="850" w:type="dxa"/>
            <w:tcBorders>
              <w:top w:val="nil"/>
              <w:left w:val="nil"/>
              <w:bottom w:val="nil"/>
              <w:right w:val="single" w:sz="4" w:space="0" w:color="000000"/>
            </w:tcBorders>
            <w:vAlign w:val="center"/>
            <w:hideMark/>
          </w:tcPr>
          <w:p w14:paraId="6C7BC429"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C0040</w:t>
            </w:r>
          </w:p>
        </w:tc>
        <w:tc>
          <w:tcPr>
            <w:tcW w:w="1276" w:type="dxa"/>
            <w:tcBorders>
              <w:top w:val="nil"/>
              <w:left w:val="nil"/>
              <w:bottom w:val="single" w:sz="4" w:space="0" w:color="auto"/>
              <w:right w:val="single" w:sz="4" w:space="0" w:color="auto"/>
            </w:tcBorders>
            <w:shd w:val="clear" w:color="000000" w:fill="3D7AF5"/>
            <w:vAlign w:val="center"/>
            <w:hideMark/>
          </w:tcPr>
          <w:p w14:paraId="63214803"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AML.03.03</w:t>
            </w:r>
          </w:p>
        </w:tc>
      </w:tr>
      <w:tr w:rsidR="00476609" w:rsidRPr="0051795D" w14:paraId="0234E82B"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09BE874E"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000000"/>
              <w:bottom w:val="single" w:sz="8" w:space="0" w:color="000000"/>
              <w:right w:val="single" w:sz="4" w:space="0" w:color="000000"/>
            </w:tcBorders>
            <w:vAlign w:val="center"/>
            <w:hideMark/>
          </w:tcPr>
          <w:p w14:paraId="6D597CBF"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single" w:sz="4" w:space="0" w:color="auto"/>
              <w:left w:val="nil"/>
              <w:bottom w:val="single" w:sz="8" w:space="0" w:color="auto"/>
              <w:right w:val="single" w:sz="4" w:space="0" w:color="auto"/>
            </w:tcBorders>
            <w:vAlign w:val="center"/>
            <w:hideMark/>
          </w:tcPr>
          <w:p w14:paraId="1D139B2F"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number of customers using prepaid cards with more than 3 prepaid cards</w:t>
            </w:r>
          </w:p>
        </w:tc>
        <w:tc>
          <w:tcPr>
            <w:tcW w:w="2694" w:type="dxa"/>
            <w:tcBorders>
              <w:top w:val="nil"/>
              <w:left w:val="nil"/>
              <w:bottom w:val="single" w:sz="4" w:space="0" w:color="auto"/>
              <w:right w:val="single" w:sz="4" w:space="0" w:color="auto"/>
            </w:tcBorders>
            <w:vAlign w:val="center"/>
            <w:hideMark/>
          </w:tcPr>
          <w:p w14:paraId="14350DDA"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Customers with Multiple Prepaid Cards (&gt;3)</w:t>
            </w:r>
          </w:p>
        </w:tc>
        <w:tc>
          <w:tcPr>
            <w:tcW w:w="850" w:type="dxa"/>
            <w:tcBorders>
              <w:top w:val="single" w:sz="4" w:space="0" w:color="auto"/>
              <w:left w:val="nil"/>
              <w:bottom w:val="single" w:sz="4" w:space="0" w:color="auto"/>
              <w:right w:val="single" w:sz="4" w:space="0" w:color="auto"/>
            </w:tcBorders>
            <w:vAlign w:val="center"/>
            <w:hideMark/>
          </w:tcPr>
          <w:p w14:paraId="52612B60"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C0050</w:t>
            </w:r>
          </w:p>
        </w:tc>
        <w:tc>
          <w:tcPr>
            <w:tcW w:w="1276" w:type="dxa"/>
            <w:tcBorders>
              <w:top w:val="nil"/>
              <w:left w:val="nil"/>
              <w:bottom w:val="single" w:sz="4" w:space="0" w:color="auto"/>
              <w:right w:val="single" w:sz="4" w:space="0" w:color="auto"/>
            </w:tcBorders>
            <w:shd w:val="clear" w:color="000000" w:fill="3D7AF5"/>
            <w:vAlign w:val="center"/>
            <w:hideMark/>
          </w:tcPr>
          <w:p w14:paraId="74C9F124"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AML.03.03</w:t>
            </w:r>
          </w:p>
        </w:tc>
      </w:tr>
      <w:tr w:rsidR="00476609" w:rsidRPr="0051795D" w14:paraId="68B01AB7"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42BB774A"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val="restart"/>
            <w:tcBorders>
              <w:top w:val="nil"/>
              <w:left w:val="single" w:sz="4" w:space="0" w:color="auto"/>
              <w:bottom w:val="single" w:sz="8" w:space="0" w:color="000000"/>
              <w:right w:val="single" w:sz="4" w:space="0" w:color="auto"/>
            </w:tcBorders>
            <w:shd w:val="clear" w:color="000000" w:fill="3D7AF5"/>
            <w:vAlign w:val="center"/>
            <w:hideMark/>
          </w:tcPr>
          <w:p w14:paraId="2CDC182B"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Lending</w:t>
            </w:r>
          </w:p>
        </w:tc>
        <w:tc>
          <w:tcPr>
            <w:tcW w:w="2308" w:type="dxa"/>
            <w:tcBorders>
              <w:top w:val="nil"/>
              <w:left w:val="nil"/>
              <w:bottom w:val="nil"/>
              <w:right w:val="single" w:sz="4" w:space="0" w:color="auto"/>
            </w:tcBorders>
            <w:vAlign w:val="center"/>
            <w:hideMark/>
          </w:tcPr>
          <w:p w14:paraId="129802A4"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Number of outstanding loans</w:t>
            </w:r>
          </w:p>
        </w:tc>
        <w:tc>
          <w:tcPr>
            <w:tcW w:w="2694" w:type="dxa"/>
            <w:tcBorders>
              <w:top w:val="nil"/>
              <w:left w:val="nil"/>
              <w:bottom w:val="single" w:sz="4" w:space="0" w:color="auto"/>
              <w:right w:val="single" w:sz="4" w:space="0" w:color="auto"/>
            </w:tcBorders>
            <w:vAlign w:val="center"/>
            <w:hideMark/>
          </w:tcPr>
          <w:p w14:paraId="6CA9F8F6"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Outstanding Loans - Number</w:t>
            </w:r>
          </w:p>
        </w:tc>
        <w:tc>
          <w:tcPr>
            <w:tcW w:w="850" w:type="dxa"/>
            <w:tcBorders>
              <w:top w:val="nil"/>
              <w:left w:val="nil"/>
              <w:bottom w:val="single" w:sz="4" w:space="0" w:color="auto"/>
              <w:right w:val="single" w:sz="4" w:space="0" w:color="auto"/>
            </w:tcBorders>
            <w:vAlign w:val="center"/>
            <w:hideMark/>
          </w:tcPr>
          <w:p w14:paraId="4FC0D5B9"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C0010</w:t>
            </w:r>
          </w:p>
        </w:tc>
        <w:tc>
          <w:tcPr>
            <w:tcW w:w="1276" w:type="dxa"/>
            <w:tcBorders>
              <w:top w:val="nil"/>
              <w:left w:val="nil"/>
              <w:bottom w:val="single" w:sz="4" w:space="0" w:color="auto"/>
              <w:right w:val="single" w:sz="4" w:space="0" w:color="auto"/>
            </w:tcBorders>
            <w:shd w:val="clear" w:color="000000" w:fill="3D7AF5"/>
            <w:vAlign w:val="center"/>
            <w:hideMark/>
          </w:tcPr>
          <w:p w14:paraId="33D40AD3"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AML.03.04</w:t>
            </w:r>
          </w:p>
        </w:tc>
      </w:tr>
      <w:tr w:rsidR="00476609" w:rsidRPr="0051795D" w14:paraId="16BE4284"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46FDC50F"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8" w:space="0" w:color="000000"/>
              <w:right w:val="single" w:sz="4" w:space="0" w:color="auto"/>
            </w:tcBorders>
            <w:vAlign w:val="center"/>
            <w:hideMark/>
          </w:tcPr>
          <w:p w14:paraId="107D9D7B"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single" w:sz="4" w:space="0" w:color="auto"/>
              <w:left w:val="nil"/>
              <w:bottom w:val="nil"/>
              <w:right w:val="single" w:sz="4" w:space="0" w:color="auto"/>
            </w:tcBorders>
            <w:vAlign w:val="center"/>
            <w:hideMark/>
          </w:tcPr>
          <w:p w14:paraId="3E0F20AB"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Value (EUR) of outstanding loans</w:t>
            </w:r>
          </w:p>
        </w:tc>
        <w:tc>
          <w:tcPr>
            <w:tcW w:w="2694" w:type="dxa"/>
            <w:tcBorders>
              <w:top w:val="nil"/>
              <w:left w:val="nil"/>
              <w:bottom w:val="single" w:sz="4" w:space="0" w:color="auto"/>
              <w:right w:val="single" w:sz="4" w:space="0" w:color="auto"/>
            </w:tcBorders>
            <w:vAlign w:val="center"/>
            <w:hideMark/>
          </w:tcPr>
          <w:p w14:paraId="656527AC"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Outstanding Loans - Value</w:t>
            </w:r>
          </w:p>
        </w:tc>
        <w:tc>
          <w:tcPr>
            <w:tcW w:w="850" w:type="dxa"/>
            <w:tcBorders>
              <w:top w:val="nil"/>
              <w:left w:val="nil"/>
              <w:bottom w:val="single" w:sz="4" w:space="0" w:color="000000"/>
              <w:right w:val="single" w:sz="4" w:space="0" w:color="000000"/>
            </w:tcBorders>
            <w:vAlign w:val="center"/>
            <w:hideMark/>
          </w:tcPr>
          <w:p w14:paraId="74AFCC5F"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C0020</w:t>
            </w:r>
          </w:p>
        </w:tc>
        <w:tc>
          <w:tcPr>
            <w:tcW w:w="1276" w:type="dxa"/>
            <w:tcBorders>
              <w:top w:val="nil"/>
              <w:left w:val="nil"/>
              <w:bottom w:val="single" w:sz="4" w:space="0" w:color="auto"/>
              <w:right w:val="single" w:sz="4" w:space="0" w:color="auto"/>
            </w:tcBorders>
            <w:shd w:val="clear" w:color="000000" w:fill="3D7AF5"/>
            <w:vAlign w:val="center"/>
            <w:hideMark/>
          </w:tcPr>
          <w:p w14:paraId="17403F04"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AML.03.04</w:t>
            </w:r>
          </w:p>
        </w:tc>
      </w:tr>
      <w:tr w:rsidR="00476609" w:rsidRPr="0051795D" w14:paraId="348412DC"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1C0A6F10"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8" w:space="0" w:color="000000"/>
              <w:right w:val="single" w:sz="4" w:space="0" w:color="auto"/>
            </w:tcBorders>
            <w:vAlign w:val="center"/>
            <w:hideMark/>
          </w:tcPr>
          <w:p w14:paraId="575379A0"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single" w:sz="4" w:space="0" w:color="auto"/>
              <w:left w:val="nil"/>
              <w:bottom w:val="nil"/>
              <w:right w:val="single" w:sz="4" w:space="0" w:color="auto"/>
            </w:tcBorders>
            <w:vAlign w:val="center"/>
            <w:hideMark/>
          </w:tcPr>
          <w:p w14:paraId="386DCD89"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Number of outstanding real estate loans</w:t>
            </w:r>
          </w:p>
        </w:tc>
        <w:tc>
          <w:tcPr>
            <w:tcW w:w="2694" w:type="dxa"/>
            <w:tcBorders>
              <w:top w:val="nil"/>
              <w:left w:val="nil"/>
              <w:bottom w:val="nil"/>
              <w:right w:val="single" w:sz="4" w:space="0" w:color="auto"/>
            </w:tcBorders>
            <w:vAlign w:val="center"/>
            <w:hideMark/>
          </w:tcPr>
          <w:p w14:paraId="6772D583"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Outstanding Real Estate Loans - Number</w:t>
            </w:r>
          </w:p>
        </w:tc>
        <w:tc>
          <w:tcPr>
            <w:tcW w:w="850" w:type="dxa"/>
            <w:tcBorders>
              <w:top w:val="nil"/>
              <w:left w:val="nil"/>
              <w:bottom w:val="single" w:sz="4" w:space="0" w:color="000000"/>
              <w:right w:val="single" w:sz="4" w:space="0" w:color="000000"/>
            </w:tcBorders>
            <w:vAlign w:val="center"/>
            <w:hideMark/>
          </w:tcPr>
          <w:p w14:paraId="3B75ED23"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C0030</w:t>
            </w:r>
          </w:p>
        </w:tc>
        <w:tc>
          <w:tcPr>
            <w:tcW w:w="1276" w:type="dxa"/>
            <w:tcBorders>
              <w:top w:val="nil"/>
              <w:left w:val="nil"/>
              <w:bottom w:val="single" w:sz="4" w:space="0" w:color="auto"/>
              <w:right w:val="single" w:sz="4" w:space="0" w:color="auto"/>
            </w:tcBorders>
            <w:shd w:val="clear" w:color="000000" w:fill="3D7AF5"/>
            <w:vAlign w:val="center"/>
            <w:hideMark/>
          </w:tcPr>
          <w:p w14:paraId="36173CCB"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AML.03.04</w:t>
            </w:r>
          </w:p>
        </w:tc>
      </w:tr>
      <w:tr w:rsidR="00476609" w:rsidRPr="0051795D" w14:paraId="3A89B49B"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49D456F7"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8" w:space="0" w:color="000000"/>
              <w:right w:val="single" w:sz="4" w:space="0" w:color="auto"/>
            </w:tcBorders>
            <w:vAlign w:val="center"/>
            <w:hideMark/>
          </w:tcPr>
          <w:p w14:paraId="721921C9"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single" w:sz="4" w:space="0" w:color="auto"/>
              <w:left w:val="nil"/>
              <w:bottom w:val="nil"/>
              <w:right w:val="single" w:sz="4" w:space="0" w:color="auto"/>
            </w:tcBorders>
            <w:vAlign w:val="center"/>
            <w:hideMark/>
          </w:tcPr>
          <w:p w14:paraId="493216FA"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Number of outstanding real estate loans with third party payments in the past calendar year</w:t>
            </w:r>
          </w:p>
        </w:tc>
        <w:tc>
          <w:tcPr>
            <w:tcW w:w="2694" w:type="dxa"/>
            <w:tcBorders>
              <w:top w:val="single" w:sz="4" w:space="0" w:color="auto"/>
              <w:left w:val="nil"/>
              <w:bottom w:val="nil"/>
              <w:right w:val="single" w:sz="4" w:space="0" w:color="auto"/>
            </w:tcBorders>
            <w:vAlign w:val="center"/>
            <w:hideMark/>
          </w:tcPr>
          <w:p w14:paraId="21A85182"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Real Estate Loans with Third-party Payments - Number</w:t>
            </w:r>
          </w:p>
        </w:tc>
        <w:tc>
          <w:tcPr>
            <w:tcW w:w="850" w:type="dxa"/>
            <w:tcBorders>
              <w:top w:val="nil"/>
              <w:left w:val="nil"/>
              <w:bottom w:val="single" w:sz="4" w:space="0" w:color="000000"/>
              <w:right w:val="single" w:sz="4" w:space="0" w:color="000000"/>
            </w:tcBorders>
            <w:vAlign w:val="center"/>
            <w:hideMark/>
          </w:tcPr>
          <w:p w14:paraId="514BB627"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C0040</w:t>
            </w:r>
          </w:p>
        </w:tc>
        <w:tc>
          <w:tcPr>
            <w:tcW w:w="1276" w:type="dxa"/>
            <w:tcBorders>
              <w:top w:val="nil"/>
              <w:left w:val="nil"/>
              <w:bottom w:val="single" w:sz="4" w:space="0" w:color="auto"/>
              <w:right w:val="single" w:sz="4" w:space="0" w:color="auto"/>
            </w:tcBorders>
            <w:shd w:val="clear" w:color="000000" w:fill="3D7AF5"/>
            <w:vAlign w:val="center"/>
            <w:hideMark/>
          </w:tcPr>
          <w:p w14:paraId="6097CC69"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AML.03.04</w:t>
            </w:r>
          </w:p>
        </w:tc>
      </w:tr>
      <w:tr w:rsidR="00476609" w:rsidRPr="0051795D" w14:paraId="424D2F63"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4FE27DB1"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8" w:space="0" w:color="000000"/>
              <w:right w:val="single" w:sz="4" w:space="0" w:color="auto"/>
            </w:tcBorders>
            <w:vAlign w:val="center"/>
            <w:hideMark/>
          </w:tcPr>
          <w:p w14:paraId="3EFCD1E8"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single" w:sz="4" w:space="0" w:color="auto"/>
              <w:left w:val="nil"/>
              <w:bottom w:val="nil"/>
              <w:right w:val="single" w:sz="4" w:space="0" w:color="auto"/>
            </w:tcBorders>
            <w:vAlign w:val="center"/>
            <w:hideMark/>
          </w:tcPr>
          <w:p w14:paraId="040D8C9F"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Value (EUR) of loans granted during the previous year</w:t>
            </w:r>
          </w:p>
        </w:tc>
        <w:tc>
          <w:tcPr>
            <w:tcW w:w="2694" w:type="dxa"/>
            <w:tcBorders>
              <w:top w:val="single" w:sz="4" w:space="0" w:color="auto"/>
              <w:left w:val="nil"/>
              <w:bottom w:val="nil"/>
              <w:right w:val="single" w:sz="4" w:space="0" w:color="auto"/>
            </w:tcBorders>
            <w:vAlign w:val="center"/>
            <w:hideMark/>
          </w:tcPr>
          <w:p w14:paraId="16D8735A"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Loans Granted - Value</w:t>
            </w:r>
          </w:p>
        </w:tc>
        <w:tc>
          <w:tcPr>
            <w:tcW w:w="850" w:type="dxa"/>
            <w:tcBorders>
              <w:top w:val="nil"/>
              <w:left w:val="nil"/>
              <w:bottom w:val="nil"/>
              <w:right w:val="single" w:sz="4" w:space="0" w:color="000000"/>
            </w:tcBorders>
            <w:vAlign w:val="center"/>
            <w:hideMark/>
          </w:tcPr>
          <w:p w14:paraId="08CDF108"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C0050</w:t>
            </w:r>
          </w:p>
        </w:tc>
        <w:tc>
          <w:tcPr>
            <w:tcW w:w="1276" w:type="dxa"/>
            <w:tcBorders>
              <w:top w:val="nil"/>
              <w:left w:val="nil"/>
              <w:bottom w:val="single" w:sz="4" w:space="0" w:color="auto"/>
              <w:right w:val="single" w:sz="4" w:space="0" w:color="auto"/>
            </w:tcBorders>
            <w:shd w:val="clear" w:color="000000" w:fill="3D7AF5"/>
            <w:vAlign w:val="center"/>
            <w:hideMark/>
          </w:tcPr>
          <w:p w14:paraId="5FA46F42"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AML.03.04</w:t>
            </w:r>
          </w:p>
        </w:tc>
      </w:tr>
      <w:tr w:rsidR="00476609" w:rsidRPr="0051795D" w14:paraId="14F465EC"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261FBED6"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8" w:space="0" w:color="000000"/>
              <w:right w:val="single" w:sz="4" w:space="0" w:color="auto"/>
            </w:tcBorders>
            <w:vAlign w:val="center"/>
            <w:hideMark/>
          </w:tcPr>
          <w:p w14:paraId="2AE8D15D"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single" w:sz="4" w:space="0" w:color="auto"/>
              <w:left w:val="nil"/>
              <w:bottom w:val="single" w:sz="4" w:space="0" w:color="auto"/>
              <w:right w:val="single" w:sz="4" w:space="0" w:color="auto"/>
            </w:tcBorders>
            <w:vAlign w:val="center"/>
            <w:hideMark/>
          </w:tcPr>
          <w:p w14:paraId="40B4AA69"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Number of outstanding asset backed loans with cash collateral</w:t>
            </w:r>
          </w:p>
        </w:tc>
        <w:tc>
          <w:tcPr>
            <w:tcW w:w="2694" w:type="dxa"/>
            <w:tcBorders>
              <w:top w:val="single" w:sz="4" w:space="0" w:color="auto"/>
              <w:left w:val="nil"/>
              <w:bottom w:val="nil"/>
              <w:right w:val="single" w:sz="4" w:space="0" w:color="auto"/>
            </w:tcBorders>
            <w:vAlign w:val="center"/>
            <w:hideMark/>
          </w:tcPr>
          <w:p w14:paraId="6DFA5EE0"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Asset-backed Loans with Cash Collateral</w:t>
            </w:r>
          </w:p>
        </w:tc>
        <w:tc>
          <w:tcPr>
            <w:tcW w:w="850" w:type="dxa"/>
            <w:tcBorders>
              <w:top w:val="single" w:sz="4" w:space="0" w:color="auto"/>
              <w:left w:val="nil"/>
              <w:bottom w:val="single" w:sz="4" w:space="0" w:color="auto"/>
              <w:right w:val="single" w:sz="4" w:space="0" w:color="auto"/>
            </w:tcBorders>
            <w:vAlign w:val="center"/>
            <w:hideMark/>
          </w:tcPr>
          <w:p w14:paraId="3916A452"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C0060</w:t>
            </w:r>
          </w:p>
        </w:tc>
        <w:tc>
          <w:tcPr>
            <w:tcW w:w="1276" w:type="dxa"/>
            <w:tcBorders>
              <w:top w:val="nil"/>
              <w:left w:val="nil"/>
              <w:bottom w:val="single" w:sz="4" w:space="0" w:color="auto"/>
              <w:right w:val="single" w:sz="4" w:space="0" w:color="auto"/>
            </w:tcBorders>
            <w:shd w:val="clear" w:color="000000" w:fill="3D7AF5"/>
            <w:vAlign w:val="center"/>
            <w:hideMark/>
          </w:tcPr>
          <w:p w14:paraId="34AABBD3"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AML.03.04</w:t>
            </w:r>
          </w:p>
        </w:tc>
      </w:tr>
      <w:tr w:rsidR="00476609" w:rsidRPr="0051795D" w14:paraId="42A35D5B"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7EF6C128"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8" w:space="0" w:color="000000"/>
              <w:right w:val="single" w:sz="4" w:space="0" w:color="auto"/>
            </w:tcBorders>
            <w:vAlign w:val="center"/>
            <w:hideMark/>
          </w:tcPr>
          <w:p w14:paraId="5B5D2519"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nil"/>
              <w:left w:val="nil"/>
              <w:bottom w:val="single" w:sz="4" w:space="0" w:color="auto"/>
              <w:right w:val="single" w:sz="4" w:space="0" w:color="auto"/>
            </w:tcBorders>
            <w:vAlign w:val="center"/>
            <w:hideMark/>
          </w:tcPr>
          <w:p w14:paraId="1F651CCE"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Number of loan repayments during the previous year</w:t>
            </w:r>
          </w:p>
        </w:tc>
        <w:tc>
          <w:tcPr>
            <w:tcW w:w="2694" w:type="dxa"/>
            <w:tcBorders>
              <w:top w:val="single" w:sz="4" w:space="0" w:color="auto"/>
              <w:left w:val="nil"/>
              <w:bottom w:val="nil"/>
              <w:right w:val="single" w:sz="4" w:space="0" w:color="auto"/>
            </w:tcBorders>
            <w:vAlign w:val="center"/>
            <w:hideMark/>
          </w:tcPr>
          <w:p w14:paraId="050ED3D2"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Loan Repayments - Number</w:t>
            </w:r>
          </w:p>
        </w:tc>
        <w:tc>
          <w:tcPr>
            <w:tcW w:w="850" w:type="dxa"/>
            <w:tcBorders>
              <w:top w:val="nil"/>
              <w:left w:val="nil"/>
              <w:bottom w:val="nil"/>
              <w:right w:val="single" w:sz="4" w:space="0" w:color="auto"/>
            </w:tcBorders>
            <w:vAlign w:val="center"/>
            <w:hideMark/>
          </w:tcPr>
          <w:p w14:paraId="24E0CF9F"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C0070</w:t>
            </w:r>
          </w:p>
        </w:tc>
        <w:tc>
          <w:tcPr>
            <w:tcW w:w="1276" w:type="dxa"/>
            <w:tcBorders>
              <w:top w:val="nil"/>
              <w:left w:val="nil"/>
              <w:bottom w:val="single" w:sz="4" w:space="0" w:color="auto"/>
              <w:right w:val="single" w:sz="4" w:space="0" w:color="auto"/>
            </w:tcBorders>
            <w:shd w:val="clear" w:color="000000" w:fill="3D7AF5"/>
            <w:vAlign w:val="center"/>
            <w:hideMark/>
          </w:tcPr>
          <w:p w14:paraId="5F89C04E"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AML.03.04</w:t>
            </w:r>
          </w:p>
        </w:tc>
      </w:tr>
      <w:tr w:rsidR="00476609" w:rsidRPr="0051795D" w14:paraId="106BD228"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104150EA"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8" w:space="0" w:color="000000"/>
              <w:right w:val="single" w:sz="4" w:space="0" w:color="auto"/>
            </w:tcBorders>
            <w:vAlign w:val="center"/>
            <w:hideMark/>
          </w:tcPr>
          <w:p w14:paraId="34C9E737"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nil"/>
              <w:left w:val="nil"/>
              <w:bottom w:val="single" w:sz="4" w:space="0" w:color="auto"/>
              <w:right w:val="single" w:sz="4" w:space="0" w:color="auto"/>
            </w:tcBorders>
            <w:vAlign w:val="center"/>
            <w:hideMark/>
          </w:tcPr>
          <w:p w14:paraId="40B80A63"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Number of prematurely repaid loans during the previous year</w:t>
            </w:r>
          </w:p>
        </w:tc>
        <w:tc>
          <w:tcPr>
            <w:tcW w:w="2694" w:type="dxa"/>
            <w:tcBorders>
              <w:top w:val="single" w:sz="4" w:space="0" w:color="auto"/>
              <w:left w:val="nil"/>
              <w:bottom w:val="nil"/>
              <w:right w:val="single" w:sz="4" w:space="0" w:color="auto"/>
            </w:tcBorders>
            <w:vAlign w:val="center"/>
            <w:hideMark/>
          </w:tcPr>
          <w:p w14:paraId="6F7356E5"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Premature Loan Repayments - Number</w:t>
            </w:r>
          </w:p>
        </w:tc>
        <w:tc>
          <w:tcPr>
            <w:tcW w:w="850" w:type="dxa"/>
            <w:tcBorders>
              <w:top w:val="single" w:sz="4" w:space="0" w:color="auto"/>
              <w:left w:val="nil"/>
              <w:bottom w:val="nil"/>
              <w:right w:val="single" w:sz="4" w:space="0" w:color="auto"/>
            </w:tcBorders>
            <w:vAlign w:val="center"/>
            <w:hideMark/>
          </w:tcPr>
          <w:p w14:paraId="36D994B7"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C0080</w:t>
            </w:r>
          </w:p>
        </w:tc>
        <w:tc>
          <w:tcPr>
            <w:tcW w:w="1276" w:type="dxa"/>
            <w:tcBorders>
              <w:top w:val="nil"/>
              <w:left w:val="nil"/>
              <w:bottom w:val="single" w:sz="4" w:space="0" w:color="auto"/>
              <w:right w:val="single" w:sz="4" w:space="0" w:color="auto"/>
            </w:tcBorders>
            <w:shd w:val="clear" w:color="000000" w:fill="3D7AF5"/>
            <w:vAlign w:val="center"/>
            <w:hideMark/>
          </w:tcPr>
          <w:p w14:paraId="542AFE54"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AML.03.04</w:t>
            </w:r>
          </w:p>
        </w:tc>
      </w:tr>
      <w:tr w:rsidR="00476609" w:rsidRPr="0051795D" w14:paraId="7846B236"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136A02C1"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8" w:space="0" w:color="000000"/>
              <w:right w:val="single" w:sz="4" w:space="0" w:color="auto"/>
            </w:tcBorders>
            <w:vAlign w:val="center"/>
            <w:hideMark/>
          </w:tcPr>
          <w:p w14:paraId="64F85EC2"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nil"/>
              <w:left w:val="nil"/>
              <w:bottom w:val="single" w:sz="4" w:space="0" w:color="auto"/>
              <w:right w:val="single" w:sz="4" w:space="0" w:color="auto"/>
            </w:tcBorders>
            <w:vAlign w:val="center"/>
            <w:hideMark/>
          </w:tcPr>
          <w:p w14:paraId="27581E9B"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Number of loan repayments from non-EEA countries during the previous year</w:t>
            </w:r>
          </w:p>
        </w:tc>
        <w:tc>
          <w:tcPr>
            <w:tcW w:w="2694" w:type="dxa"/>
            <w:tcBorders>
              <w:top w:val="single" w:sz="4" w:space="0" w:color="auto"/>
              <w:left w:val="nil"/>
              <w:bottom w:val="nil"/>
              <w:right w:val="single" w:sz="4" w:space="0" w:color="auto"/>
            </w:tcBorders>
            <w:vAlign w:val="center"/>
            <w:hideMark/>
          </w:tcPr>
          <w:p w14:paraId="7A9AE9E3"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Loan Repayments from Non-EEA Countries</w:t>
            </w:r>
          </w:p>
        </w:tc>
        <w:tc>
          <w:tcPr>
            <w:tcW w:w="850" w:type="dxa"/>
            <w:tcBorders>
              <w:top w:val="single" w:sz="4" w:space="0" w:color="auto"/>
              <w:left w:val="nil"/>
              <w:bottom w:val="nil"/>
              <w:right w:val="single" w:sz="4" w:space="0" w:color="auto"/>
            </w:tcBorders>
            <w:vAlign w:val="center"/>
            <w:hideMark/>
          </w:tcPr>
          <w:p w14:paraId="240B918B"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C0090</w:t>
            </w:r>
          </w:p>
        </w:tc>
        <w:tc>
          <w:tcPr>
            <w:tcW w:w="1276" w:type="dxa"/>
            <w:tcBorders>
              <w:top w:val="nil"/>
              <w:left w:val="nil"/>
              <w:bottom w:val="single" w:sz="4" w:space="0" w:color="auto"/>
              <w:right w:val="single" w:sz="4" w:space="0" w:color="auto"/>
            </w:tcBorders>
            <w:shd w:val="clear" w:color="000000" w:fill="3D7AF5"/>
            <w:vAlign w:val="center"/>
            <w:hideMark/>
          </w:tcPr>
          <w:p w14:paraId="6ADB4082"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AML.03.04</w:t>
            </w:r>
          </w:p>
        </w:tc>
      </w:tr>
      <w:tr w:rsidR="00476609" w:rsidRPr="0051795D" w14:paraId="0D5496F7"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4B2FAC8A"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8" w:space="0" w:color="000000"/>
              <w:right w:val="single" w:sz="4" w:space="0" w:color="auto"/>
            </w:tcBorders>
            <w:vAlign w:val="center"/>
            <w:hideMark/>
          </w:tcPr>
          <w:p w14:paraId="7EFB0BC3"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nil"/>
              <w:left w:val="nil"/>
              <w:bottom w:val="single" w:sz="8" w:space="0" w:color="auto"/>
              <w:right w:val="single" w:sz="4" w:space="0" w:color="auto"/>
            </w:tcBorders>
            <w:vAlign w:val="center"/>
            <w:hideMark/>
          </w:tcPr>
          <w:p w14:paraId="7FFF2BAD"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Number of consumer loans granted during the previous year that are not associated to the acquisition of any product/service</w:t>
            </w:r>
          </w:p>
        </w:tc>
        <w:tc>
          <w:tcPr>
            <w:tcW w:w="2694" w:type="dxa"/>
            <w:tcBorders>
              <w:top w:val="single" w:sz="4" w:space="0" w:color="auto"/>
              <w:left w:val="nil"/>
              <w:bottom w:val="single" w:sz="8" w:space="0" w:color="auto"/>
              <w:right w:val="single" w:sz="4" w:space="0" w:color="auto"/>
            </w:tcBorders>
            <w:vAlign w:val="center"/>
            <w:hideMark/>
          </w:tcPr>
          <w:p w14:paraId="7B3B8527"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Unspecified Consumer Loans - Number</w:t>
            </w:r>
          </w:p>
        </w:tc>
        <w:tc>
          <w:tcPr>
            <w:tcW w:w="850" w:type="dxa"/>
            <w:tcBorders>
              <w:top w:val="single" w:sz="4" w:space="0" w:color="auto"/>
              <w:left w:val="nil"/>
              <w:bottom w:val="single" w:sz="8" w:space="0" w:color="auto"/>
              <w:right w:val="single" w:sz="4" w:space="0" w:color="auto"/>
            </w:tcBorders>
            <w:vAlign w:val="center"/>
            <w:hideMark/>
          </w:tcPr>
          <w:p w14:paraId="35702C5E"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C0100</w:t>
            </w:r>
          </w:p>
        </w:tc>
        <w:tc>
          <w:tcPr>
            <w:tcW w:w="1276" w:type="dxa"/>
            <w:tcBorders>
              <w:top w:val="nil"/>
              <w:left w:val="nil"/>
              <w:bottom w:val="single" w:sz="4" w:space="0" w:color="auto"/>
              <w:right w:val="single" w:sz="4" w:space="0" w:color="auto"/>
            </w:tcBorders>
            <w:shd w:val="clear" w:color="000000" w:fill="3D7AF5"/>
            <w:vAlign w:val="center"/>
            <w:hideMark/>
          </w:tcPr>
          <w:p w14:paraId="2B62EE16"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AML.03.04</w:t>
            </w:r>
          </w:p>
        </w:tc>
      </w:tr>
      <w:tr w:rsidR="00476609" w:rsidRPr="0051795D" w14:paraId="099BAB22"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01303476"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val="restart"/>
            <w:tcBorders>
              <w:top w:val="nil"/>
              <w:left w:val="single" w:sz="4" w:space="0" w:color="auto"/>
              <w:bottom w:val="single" w:sz="8" w:space="0" w:color="000000"/>
              <w:right w:val="single" w:sz="4" w:space="0" w:color="auto"/>
            </w:tcBorders>
            <w:shd w:val="clear" w:color="000000" w:fill="3D7AF5"/>
            <w:vAlign w:val="center"/>
            <w:hideMark/>
          </w:tcPr>
          <w:p w14:paraId="31594538"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 xml:space="preserve">Factoring </w:t>
            </w:r>
          </w:p>
        </w:tc>
        <w:tc>
          <w:tcPr>
            <w:tcW w:w="2308" w:type="dxa"/>
            <w:tcBorders>
              <w:top w:val="nil"/>
              <w:left w:val="nil"/>
              <w:bottom w:val="single" w:sz="4" w:space="0" w:color="auto"/>
              <w:right w:val="single" w:sz="4" w:space="0" w:color="auto"/>
            </w:tcBorders>
            <w:vAlign w:val="center"/>
            <w:hideMark/>
          </w:tcPr>
          <w:p w14:paraId="48C15195"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Number of factoring contracts granted in the previous year</w:t>
            </w:r>
          </w:p>
        </w:tc>
        <w:tc>
          <w:tcPr>
            <w:tcW w:w="2694" w:type="dxa"/>
            <w:tcBorders>
              <w:top w:val="nil"/>
              <w:left w:val="nil"/>
              <w:bottom w:val="nil"/>
              <w:right w:val="single" w:sz="4" w:space="0" w:color="auto"/>
            </w:tcBorders>
            <w:vAlign w:val="center"/>
            <w:hideMark/>
          </w:tcPr>
          <w:p w14:paraId="3B63971C"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Factoring Contracts Granted - Number</w:t>
            </w:r>
          </w:p>
        </w:tc>
        <w:tc>
          <w:tcPr>
            <w:tcW w:w="850" w:type="dxa"/>
            <w:tcBorders>
              <w:top w:val="nil"/>
              <w:left w:val="nil"/>
              <w:bottom w:val="nil"/>
              <w:right w:val="single" w:sz="4" w:space="0" w:color="auto"/>
            </w:tcBorders>
            <w:vAlign w:val="center"/>
            <w:hideMark/>
          </w:tcPr>
          <w:p w14:paraId="76A8E463"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C0110</w:t>
            </w:r>
          </w:p>
        </w:tc>
        <w:tc>
          <w:tcPr>
            <w:tcW w:w="1276" w:type="dxa"/>
            <w:tcBorders>
              <w:top w:val="nil"/>
              <w:left w:val="nil"/>
              <w:bottom w:val="single" w:sz="4" w:space="0" w:color="auto"/>
              <w:right w:val="single" w:sz="4" w:space="0" w:color="auto"/>
            </w:tcBorders>
            <w:shd w:val="clear" w:color="000000" w:fill="3D7AF5"/>
            <w:vAlign w:val="center"/>
            <w:hideMark/>
          </w:tcPr>
          <w:p w14:paraId="484E944A"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AML.03.04</w:t>
            </w:r>
          </w:p>
        </w:tc>
      </w:tr>
      <w:tr w:rsidR="00476609" w:rsidRPr="0051795D" w14:paraId="2624A16D"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3400FF6F"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8" w:space="0" w:color="000000"/>
              <w:right w:val="single" w:sz="4" w:space="0" w:color="auto"/>
            </w:tcBorders>
            <w:vAlign w:val="center"/>
            <w:hideMark/>
          </w:tcPr>
          <w:p w14:paraId="25541520"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nil"/>
              <w:left w:val="nil"/>
              <w:bottom w:val="single" w:sz="4" w:space="0" w:color="auto"/>
              <w:right w:val="single" w:sz="4" w:space="0" w:color="auto"/>
            </w:tcBorders>
            <w:vAlign w:val="center"/>
            <w:hideMark/>
          </w:tcPr>
          <w:p w14:paraId="25BB3143"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Value (EUR) of factoring contracts granted during the previous year</w:t>
            </w:r>
          </w:p>
        </w:tc>
        <w:tc>
          <w:tcPr>
            <w:tcW w:w="2694" w:type="dxa"/>
            <w:tcBorders>
              <w:top w:val="single" w:sz="4" w:space="0" w:color="auto"/>
              <w:left w:val="nil"/>
              <w:bottom w:val="nil"/>
              <w:right w:val="single" w:sz="4" w:space="0" w:color="auto"/>
            </w:tcBorders>
            <w:vAlign w:val="center"/>
            <w:hideMark/>
          </w:tcPr>
          <w:p w14:paraId="195D9981"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Factoring Contracts Granted - Value</w:t>
            </w:r>
          </w:p>
        </w:tc>
        <w:tc>
          <w:tcPr>
            <w:tcW w:w="850" w:type="dxa"/>
            <w:tcBorders>
              <w:top w:val="single" w:sz="4" w:space="0" w:color="auto"/>
              <w:left w:val="nil"/>
              <w:bottom w:val="nil"/>
              <w:right w:val="single" w:sz="4" w:space="0" w:color="auto"/>
            </w:tcBorders>
            <w:vAlign w:val="center"/>
            <w:hideMark/>
          </w:tcPr>
          <w:p w14:paraId="36D6AC40"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C0120</w:t>
            </w:r>
          </w:p>
        </w:tc>
        <w:tc>
          <w:tcPr>
            <w:tcW w:w="1276" w:type="dxa"/>
            <w:tcBorders>
              <w:top w:val="nil"/>
              <w:left w:val="nil"/>
              <w:bottom w:val="single" w:sz="4" w:space="0" w:color="auto"/>
              <w:right w:val="single" w:sz="4" w:space="0" w:color="auto"/>
            </w:tcBorders>
            <w:shd w:val="clear" w:color="000000" w:fill="3D7AF5"/>
            <w:vAlign w:val="center"/>
            <w:hideMark/>
          </w:tcPr>
          <w:p w14:paraId="649AEA8A"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AML.03.04</w:t>
            </w:r>
          </w:p>
        </w:tc>
      </w:tr>
      <w:tr w:rsidR="00476609" w:rsidRPr="0051795D" w14:paraId="652DC2C3"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66519EA6"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8" w:space="0" w:color="000000"/>
              <w:right w:val="single" w:sz="4" w:space="0" w:color="auto"/>
            </w:tcBorders>
            <w:vAlign w:val="center"/>
            <w:hideMark/>
          </w:tcPr>
          <w:p w14:paraId="64402E27"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nil"/>
              <w:left w:val="nil"/>
              <w:bottom w:val="single" w:sz="8" w:space="0" w:color="auto"/>
              <w:right w:val="single" w:sz="4" w:space="0" w:color="auto"/>
            </w:tcBorders>
            <w:vAlign w:val="center"/>
            <w:hideMark/>
          </w:tcPr>
          <w:p w14:paraId="0D3784EF"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Value (EUR) of factoring contracts granted to obligors established in non-EEA countries during the previous year</w:t>
            </w:r>
          </w:p>
        </w:tc>
        <w:tc>
          <w:tcPr>
            <w:tcW w:w="2694" w:type="dxa"/>
            <w:tcBorders>
              <w:top w:val="single" w:sz="4" w:space="0" w:color="auto"/>
              <w:left w:val="nil"/>
              <w:bottom w:val="single" w:sz="8" w:space="0" w:color="auto"/>
              <w:right w:val="single" w:sz="4" w:space="0" w:color="auto"/>
            </w:tcBorders>
            <w:vAlign w:val="center"/>
            <w:hideMark/>
          </w:tcPr>
          <w:p w14:paraId="25F3747B"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Factoring Contracts to Non-EEA Obligors - Value</w:t>
            </w:r>
          </w:p>
        </w:tc>
        <w:tc>
          <w:tcPr>
            <w:tcW w:w="850" w:type="dxa"/>
            <w:tcBorders>
              <w:top w:val="single" w:sz="4" w:space="0" w:color="auto"/>
              <w:left w:val="nil"/>
              <w:bottom w:val="single" w:sz="8" w:space="0" w:color="auto"/>
              <w:right w:val="single" w:sz="4" w:space="0" w:color="auto"/>
            </w:tcBorders>
            <w:vAlign w:val="center"/>
            <w:hideMark/>
          </w:tcPr>
          <w:p w14:paraId="07C85A3E"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C0130</w:t>
            </w:r>
          </w:p>
        </w:tc>
        <w:tc>
          <w:tcPr>
            <w:tcW w:w="1276" w:type="dxa"/>
            <w:tcBorders>
              <w:top w:val="nil"/>
              <w:left w:val="nil"/>
              <w:bottom w:val="single" w:sz="4" w:space="0" w:color="auto"/>
              <w:right w:val="single" w:sz="4" w:space="0" w:color="auto"/>
            </w:tcBorders>
            <w:shd w:val="clear" w:color="000000" w:fill="3D7AF5"/>
            <w:vAlign w:val="center"/>
            <w:hideMark/>
          </w:tcPr>
          <w:p w14:paraId="2C3AC1E9"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AML.03.04</w:t>
            </w:r>
          </w:p>
        </w:tc>
      </w:tr>
      <w:tr w:rsidR="00476609" w:rsidRPr="0051795D" w14:paraId="322DFE1B"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279598BE"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val="restart"/>
            <w:tcBorders>
              <w:top w:val="nil"/>
              <w:left w:val="single" w:sz="4" w:space="0" w:color="auto"/>
              <w:bottom w:val="single" w:sz="8" w:space="0" w:color="000000"/>
              <w:right w:val="single" w:sz="4" w:space="0" w:color="auto"/>
            </w:tcBorders>
            <w:shd w:val="clear" w:color="000000" w:fill="3D7AF5"/>
            <w:vAlign w:val="center"/>
            <w:hideMark/>
          </w:tcPr>
          <w:p w14:paraId="31118C10"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Life insurance contracts</w:t>
            </w:r>
          </w:p>
        </w:tc>
        <w:tc>
          <w:tcPr>
            <w:tcW w:w="2308" w:type="dxa"/>
            <w:tcBorders>
              <w:top w:val="nil"/>
              <w:left w:val="nil"/>
              <w:bottom w:val="single" w:sz="4" w:space="0" w:color="auto"/>
              <w:right w:val="single" w:sz="4" w:space="0" w:color="auto"/>
            </w:tcBorders>
            <w:vAlign w:val="center"/>
            <w:hideMark/>
          </w:tcPr>
          <w:p w14:paraId="09370FE4"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amount (EUR) of gross written premiums in the previous year (incoming)</w:t>
            </w:r>
          </w:p>
        </w:tc>
        <w:tc>
          <w:tcPr>
            <w:tcW w:w="2694" w:type="dxa"/>
            <w:tcBorders>
              <w:top w:val="nil"/>
              <w:left w:val="nil"/>
              <w:bottom w:val="nil"/>
              <w:right w:val="single" w:sz="4" w:space="0" w:color="auto"/>
            </w:tcBorders>
            <w:vAlign w:val="center"/>
            <w:hideMark/>
          </w:tcPr>
          <w:p w14:paraId="20695BA5"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Gross Written Premiums - Value</w:t>
            </w:r>
          </w:p>
        </w:tc>
        <w:tc>
          <w:tcPr>
            <w:tcW w:w="850" w:type="dxa"/>
            <w:tcBorders>
              <w:top w:val="single" w:sz="4" w:space="0" w:color="auto"/>
              <w:left w:val="nil"/>
              <w:bottom w:val="single" w:sz="4" w:space="0" w:color="auto"/>
              <w:right w:val="single" w:sz="4" w:space="0" w:color="auto"/>
            </w:tcBorders>
            <w:vAlign w:val="center"/>
            <w:hideMark/>
          </w:tcPr>
          <w:p w14:paraId="04ED9D2A"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C0010</w:t>
            </w:r>
          </w:p>
        </w:tc>
        <w:tc>
          <w:tcPr>
            <w:tcW w:w="1276" w:type="dxa"/>
            <w:tcBorders>
              <w:top w:val="single" w:sz="8" w:space="0" w:color="auto"/>
              <w:left w:val="nil"/>
              <w:bottom w:val="nil"/>
              <w:right w:val="single" w:sz="4" w:space="0" w:color="auto"/>
            </w:tcBorders>
            <w:shd w:val="clear" w:color="000000" w:fill="3D7AF5"/>
            <w:vAlign w:val="center"/>
            <w:hideMark/>
          </w:tcPr>
          <w:p w14:paraId="2AB30E07"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AML.03.05</w:t>
            </w:r>
          </w:p>
        </w:tc>
      </w:tr>
      <w:tr w:rsidR="00476609" w:rsidRPr="0051795D" w14:paraId="4A00A8AD"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297A2A4D"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8" w:space="0" w:color="000000"/>
              <w:right w:val="single" w:sz="4" w:space="0" w:color="auto"/>
            </w:tcBorders>
            <w:vAlign w:val="center"/>
            <w:hideMark/>
          </w:tcPr>
          <w:p w14:paraId="4EB5934E"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nil"/>
              <w:left w:val="nil"/>
              <w:bottom w:val="single" w:sz="4" w:space="0" w:color="auto"/>
              <w:right w:val="single" w:sz="4" w:space="0" w:color="auto"/>
            </w:tcBorders>
            <w:vAlign w:val="center"/>
            <w:hideMark/>
          </w:tcPr>
          <w:p w14:paraId="26E0EE2E"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of amount (EUR) of surrender value of the insurance contracts at the end of the previous year</w:t>
            </w:r>
          </w:p>
        </w:tc>
        <w:tc>
          <w:tcPr>
            <w:tcW w:w="2694" w:type="dxa"/>
            <w:tcBorders>
              <w:top w:val="single" w:sz="4" w:space="0" w:color="auto"/>
              <w:left w:val="nil"/>
              <w:bottom w:val="nil"/>
              <w:right w:val="single" w:sz="4" w:space="0" w:color="auto"/>
            </w:tcBorders>
            <w:vAlign w:val="center"/>
            <w:hideMark/>
          </w:tcPr>
          <w:p w14:paraId="1E1E2232"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Surrender Value of Insurance Contracts</w:t>
            </w:r>
          </w:p>
        </w:tc>
        <w:tc>
          <w:tcPr>
            <w:tcW w:w="850" w:type="dxa"/>
            <w:tcBorders>
              <w:top w:val="nil"/>
              <w:left w:val="nil"/>
              <w:bottom w:val="single" w:sz="4" w:space="0" w:color="000000"/>
              <w:right w:val="single" w:sz="4" w:space="0" w:color="000000"/>
            </w:tcBorders>
            <w:vAlign w:val="center"/>
            <w:hideMark/>
          </w:tcPr>
          <w:p w14:paraId="05129695"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C0020</w:t>
            </w:r>
          </w:p>
        </w:tc>
        <w:tc>
          <w:tcPr>
            <w:tcW w:w="1276" w:type="dxa"/>
            <w:tcBorders>
              <w:top w:val="single" w:sz="8" w:space="0" w:color="auto"/>
              <w:left w:val="nil"/>
              <w:bottom w:val="nil"/>
              <w:right w:val="single" w:sz="4" w:space="0" w:color="auto"/>
            </w:tcBorders>
            <w:shd w:val="clear" w:color="000000" w:fill="3D7AF5"/>
            <w:vAlign w:val="center"/>
            <w:hideMark/>
          </w:tcPr>
          <w:p w14:paraId="3527915F"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AML.03.05</w:t>
            </w:r>
          </w:p>
        </w:tc>
      </w:tr>
      <w:tr w:rsidR="00476609" w:rsidRPr="0051795D" w14:paraId="5D7C812A"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1653D369"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8" w:space="0" w:color="000000"/>
              <w:right w:val="single" w:sz="4" w:space="0" w:color="auto"/>
            </w:tcBorders>
            <w:vAlign w:val="center"/>
            <w:hideMark/>
          </w:tcPr>
          <w:p w14:paraId="28E21F77"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nil"/>
              <w:left w:val="nil"/>
              <w:bottom w:val="single" w:sz="4" w:space="0" w:color="auto"/>
              <w:right w:val="single" w:sz="4" w:space="0" w:color="auto"/>
            </w:tcBorders>
            <w:vAlign w:val="center"/>
            <w:hideMark/>
          </w:tcPr>
          <w:p w14:paraId="05DDD42D"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 of all gross written premium (amount in EUR) paid directly to the life insurance broker in the previous year</w:t>
            </w:r>
          </w:p>
        </w:tc>
        <w:tc>
          <w:tcPr>
            <w:tcW w:w="2694" w:type="dxa"/>
            <w:tcBorders>
              <w:top w:val="single" w:sz="4" w:space="0" w:color="auto"/>
              <w:left w:val="nil"/>
              <w:bottom w:val="nil"/>
              <w:right w:val="single" w:sz="4" w:space="0" w:color="auto"/>
            </w:tcBorders>
            <w:vAlign w:val="center"/>
            <w:hideMark/>
          </w:tcPr>
          <w:p w14:paraId="2A2181D0"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Premiums Paid to Broker (%)</w:t>
            </w:r>
          </w:p>
        </w:tc>
        <w:tc>
          <w:tcPr>
            <w:tcW w:w="850" w:type="dxa"/>
            <w:tcBorders>
              <w:top w:val="nil"/>
              <w:left w:val="nil"/>
              <w:bottom w:val="single" w:sz="4" w:space="0" w:color="000000"/>
              <w:right w:val="single" w:sz="4" w:space="0" w:color="000000"/>
            </w:tcBorders>
            <w:vAlign w:val="center"/>
            <w:hideMark/>
          </w:tcPr>
          <w:p w14:paraId="627DDCA1"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C0030</w:t>
            </w:r>
          </w:p>
        </w:tc>
        <w:tc>
          <w:tcPr>
            <w:tcW w:w="1276" w:type="dxa"/>
            <w:tcBorders>
              <w:top w:val="single" w:sz="8" w:space="0" w:color="auto"/>
              <w:left w:val="nil"/>
              <w:bottom w:val="nil"/>
              <w:right w:val="single" w:sz="4" w:space="0" w:color="auto"/>
            </w:tcBorders>
            <w:shd w:val="clear" w:color="000000" w:fill="3D7AF5"/>
            <w:vAlign w:val="center"/>
            <w:hideMark/>
          </w:tcPr>
          <w:p w14:paraId="1186050D"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AML.03.05</w:t>
            </w:r>
          </w:p>
        </w:tc>
      </w:tr>
      <w:tr w:rsidR="00476609" w:rsidRPr="0051795D" w14:paraId="3193885D"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0C740001"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8" w:space="0" w:color="000000"/>
              <w:right w:val="single" w:sz="4" w:space="0" w:color="auto"/>
            </w:tcBorders>
            <w:vAlign w:val="center"/>
            <w:hideMark/>
          </w:tcPr>
          <w:p w14:paraId="5930CE60"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nil"/>
              <w:left w:val="nil"/>
              <w:bottom w:val="single" w:sz="8" w:space="0" w:color="auto"/>
              <w:right w:val="single" w:sz="4" w:space="0" w:color="auto"/>
            </w:tcBorders>
            <w:vAlign w:val="center"/>
            <w:hideMark/>
          </w:tcPr>
          <w:p w14:paraId="406A1291"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Number of insurance contracts that are not used for low risk contracts</w:t>
            </w:r>
          </w:p>
        </w:tc>
        <w:tc>
          <w:tcPr>
            <w:tcW w:w="2694" w:type="dxa"/>
            <w:tcBorders>
              <w:top w:val="single" w:sz="4" w:space="0" w:color="auto"/>
              <w:left w:val="nil"/>
              <w:bottom w:val="nil"/>
              <w:right w:val="single" w:sz="4" w:space="0" w:color="auto"/>
            </w:tcBorders>
            <w:vAlign w:val="center"/>
            <w:hideMark/>
          </w:tcPr>
          <w:p w14:paraId="40570869"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Non-low Risk Insurance Contracts - Number</w:t>
            </w:r>
          </w:p>
        </w:tc>
        <w:tc>
          <w:tcPr>
            <w:tcW w:w="850" w:type="dxa"/>
            <w:tcBorders>
              <w:top w:val="nil"/>
              <w:left w:val="nil"/>
              <w:bottom w:val="nil"/>
              <w:right w:val="single" w:sz="4" w:space="0" w:color="000000"/>
            </w:tcBorders>
            <w:vAlign w:val="center"/>
            <w:hideMark/>
          </w:tcPr>
          <w:p w14:paraId="65EA85C6"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C0040</w:t>
            </w:r>
          </w:p>
        </w:tc>
        <w:tc>
          <w:tcPr>
            <w:tcW w:w="1276" w:type="dxa"/>
            <w:tcBorders>
              <w:top w:val="single" w:sz="8" w:space="0" w:color="auto"/>
              <w:left w:val="nil"/>
              <w:bottom w:val="nil"/>
              <w:right w:val="single" w:sz="4" w:space="0" w:color="auto"/>
            </w:tcBorders>
            <w:shd w:val="clear" w:color="000000" w:fill="3D7AF5"/>
            <w:vAlign w:val="center"/>
            <w:hideMark/>
          </w:tcPr>
          <w:p w14:paraId="711AF0C4"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AML.03.05</w:t>
            </w:r>
          </w:p>
        </w:tc>
      </w:tr>
      <w:tr w:rsidR="00476609" w:rsidRPr="0051795D" w14:paraId="3BA22A44"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03E326B0"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val="restart"/>
            <w:tcBorders>
              <w:top w:val="nil"/>
              <w:left w:val="single" w:sz="4" w:space="0" w:color="000000"/>
              <w:bottom w:val="single" w:sz="8" w:space="0" w:color="000000"/>
              <w:right w:val="single" w:sz="4" w:space="0" w:color="000000"/>
            </w:tcBorders>
            <w:shd w:val="clear" w:color="000000" w:fill="3D7AF5"/>
            <w:vAlign w:val="center"/>
            <w:hideMark/>
          </w:tcPr>
          <w:p w14:paraId="3C4FEBAE"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Currency Exchange (involving cash)</w:t>
            </w:r>
          </w:p>
        </w:tc>
        <w:tc>
          <w:tcPr>
            <w:tcW w:w="2308" w:type="dxa"/>
            <w:tcBorders>
              <w:top w:val="nil"/>
              <w:left w:val="nil"/>
              <w:bottom w:val="single" w:sz="4" w:space="0" w:color="auto"/>
              <w:right w:val="single" w:sz="4" w:space="0" w:color="auto"/>
            </w:tcBorders>
            <w:vAlign w:val="center"/>
            <w:hideMark/>
          </w:tcPr>
          <w:p w14:paraId="61113F76"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Number of currency exchange transactions carried out during the previous year (sell)</w:t>
            </w:r>
          </w:p>
        </w:tc>
        <w:tc>
          <w:tcPr>
            <w:tcW w:w="2694" w:type="dxa"/>
            <w:tcBorders>
              <w:top w:val="single" w:sz="4" w:space="0" w:color="auto"/>
              <w:left w:val="nil"/>
              <w:bottom w:val="single" w:sz="4" w:space="0" w:color="auto"/>
              <w:right w:val="single" w:sz="4" w:space="0" w:color="auto"/>
            </w:tcBorders>
            <w:vAlign w:val="center"/>
            <w:hideMark/>
          </w:tcPr>
          <w:p w14:paraId="6DBC761E"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Currency Exchange - Sell (Number)</w:t>
            </w:r>
          </w:p>
        </w:tc>
        <w:tc>
          <w:tcPr>
            <w:tcW w:w="850" w:type="dxa"/>
            <w:tcBorders>
              <w:top w:val="single" w:sz="4" w:space="0" w:color="auto"/>
              <w:left w:val="nil"/>
              <w:bottom w:val="single" w:sz="4" w:space="0" w:color="auto"/>
              <w:right w:val="single" w:sz="4" w:space="0" w:color="auto"/>
            </w:tcBorders>
            <w:vAlign w:val="center"/>
            <w:hideMark/>
          </w:tcPr>
          <w:p w14:paraId="720C5E72"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C0010</w:t>
            </w:r>
          </w:p>
        </w:tc>
        <w:tc>
          <w:tcPr>
            <w:tcW w:w="1276" w:type="dxa"/>
            <w:tcBorders>
              <w:top w:val="single" w:sz="4" w:space="0" w:color="auto"/>
              <w:left w:val="nil"/>
              <w:bottom w:val="single" w:sz="4" w:space="0" w:color="auto"/>
              <w:right w:val="single" w:sz="4" w:space="0" w:color="auto"/>
            </w:tcBorders>
            <w:shd w:val="clear" w:color="000000" w:fill="3D7AF5"/>
            <w:vAlign w:val="center"/>
            <w:hideMark/>
          </w:tcPr>
          <w:p w14:paraId="5F903DDD"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AML.03.06</w:t>
            </w:r>
          </w:p>
        </w:tc>
      </w:tr>
      <w:tr w:rsidR="00476609" w:rsidRPr="0051795D" w14:paraId="3BEE2DA6"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573C4A85"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000000"/>
              <w:bottom w:val="single" w:sz="8" w:space="0" w:color="000000"/>
              <w:right w:val="single" w:sz="4" w:space="0" w:color="000000"/>
            </w:tcBorders>
            <w:vAlign w:val="center"/>
            <w:hideMark/>
          </w:tcPr>
          <w:p w14:paraId="3F03A5A9"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nil"/>
              <w:left w:val="nil"/>
              <w:bottom w:val="nil"/>
              <w:right w:val="single" w:sz="4" w:space="0" w:color="auto"/>
            </w:tcBorders>
            <w:vAlign w:val="center"/>
            <w:hideMark/>
          </w:tcPr>
          <w:p w14:paraId="09F719F7"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Number of currency exchange transactions carried out during the previous year (buy)</w:t>
            </w:r>
          </w:p>
        </w:tc>
        <w:tc>
          <w:tcPr>
            <w:tcW w:w="2694" w:type="dxa"/>
            <w:tcBorders>
              <w:top w:val="nil"/>
              <w:left w:val="nil"/>
              <w:bottom w:val="single" w:sz="4" w:space="0" w:color="auto"/>
              <w:right w:val="single" w:sz="4" w:space="0" w:color="auto"/>
            </w:tcBorders>
            <w:vAlign w:val="center"/>
            <w:hideMark/>
          </w:tcPr>
          <w:p w14:paraId="67ABDCD7"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Currency Exchange - Buy (Number)</w:t>
            </w:r>
          </w:p>
        </w:tc>
        <w:tc>
          <w:tcPr>
            <w:tcW w:w="850" w:type="dxa"/>
            <w:tcBorders>
              <w:top w:val="nil"/>
              <w:left w:val="nil"/>
              <w:bottom w:val="single" w:sz="4" w:space="0" w:color="000000"/>
              <w:right w:val="single" w:sz="4" w:space="0" w:color="000000"/>
            </w:tcBorders>
            <w:vAlign w:val="center"/>
            <w:hideMark/>
          </w:tcPr>
          <w:p w14:paraId="47440237"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C0020</w:t>
            </w:r>
          </w:p>
        </w:tc>
        <w:tc>
          <w:tcPr>
            <w:tcW w:w="1276" w:type="dxa"/>
            <w:tcBorders>
              <w:top w:val="nil"/>
              <w:left w:val="nil"/>
              <w:bottom w:val="single" w:sz="4" w:space="0" w:color="auto"/>
              <w:right w:val="single" w:sz="4" w:space="0" w:color="auto"/>
            </w:tcBorders>
            <w:shd w:val="clear" w:color="000000" w:fill="3D7AF5"/>
            <w:vAlign w:val="center"/>
            <w:hideMark/>
          </w:tcPr>
          <w:p w14:paraId="1715D738"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AML.03.06</w:t>
            </w:r>
          </w:p>
        </w:tc>
      </w:tr>
      <w:tr w:rsidR="00476609" w:rsidRPr="0051795D" w14:paraId="727C5EB8"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3B5A1CE3"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000000"/>
              <w:bottom w:val="single" w:sz="8" w:space="0" w:color="000000"/>
              <w:right w:val="single" w:sz="4" w:space="0" w:color="000000"/>
            </w:tcBorders>
            <w:vAlign w:val="center"/>
            <w:hideMark/>
          </w:tcPr>
          <w:p w14:paraId="0B12F34E"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single" w:sz="4" w:space="0" w:color="auto"/>
              <w:left w:val="nil"/>
              <w:bottom w:val="nil"/>
              <w:right w:val="single" w:sz="4" w:space="0" w:color="auto"/>
            </w:tcBorders>
            <w:vAlign w:val="center"/>
            <w:hideMark/>
          </w:tcPr>
          <w:p w14:paraId="710CABB5" w14:textId="0D2A3E8D"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Number of currency exchange transactions carried out during the previous year, where the transaction is above 1000 euros (sell)</w:t>
            </w:r>
          </w:p>
        </w:tc>
        <w:tc>
          <w:tcPr>
            <w:tcW w:w="2694" w:type="dxa"/>
            <w:tcBorders>
              <w:top w:val="nil"/>
              <w:left w:val="nil"/>
              <w:bottom w:val="single" w:sz="4" w:space="0" w:color="auto"/>
              <w:right w:val="single" w:sz="4" w:space="0" w:color="auto"/>
            </w:tcBorders>
            <w:vAlign w:val="center"/>
            <w:hideMark/>
          </w:tcPr>
          <w:p w14:paraId="0E243DB0"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Currency Exchange - Sell &gt; EUR 1000 (Number)</w:t>
            </w:r>
          </w:p>
        </w:tc>
        <w:tc>
          <w:tcPr>
            <w:tcW w:w="850" w:type="dxa"/>
            <w:tcBorders>
              <w:top w:val="nil"/>
              <w:left w:val="nil"/>
              <w:bottom w:val="single" w:sz="4" w:space="0" w:color="000000"/>
              <w:right w:val="single" w:sz="4" w:space="0" w:color="000000"/>
            </w:tcBorders>
            <w:vAlign w:val="center"/>
            <w:hideMark/>
          </w:tcPr>
          <w:p w14:paraId="1F5F3107"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C0030</w:t>
            </w:r>
          </w:p>
        </w:tc>
        <w:tc>
          <w:tcPr>
            <w:tcW w:w="1276" w:type="dxa"/>
            <w:tcBorders>
              <w:top w:val="nil"/>
              <w:left w:val="nil"/>
              <w:bottom w:val="single" w:sz="4" w:space="0" w:color="auto"/>
              <w:right w:val="single" w:sz="4" w:space="0" w:color="auto"/>
            </w:tcBorders>
            <w:shd w:val="clear" w:color="000000" w:fill="3D7AF5"/>
            <w:vAlign w:val="center"/>
            <w:hideMark/>
          </w:tcPr>
          <w:p w14:paraId="21E893D7"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AML.03.06</w:t>
            </w:r>
          </w:p>
        </w:tc>
      </w:tr>
      <w:tr w:rsidR="00476609" w:rsidRPr="0051795D" w14:paraId="430A5C3F"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284A9ADA"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000000"/>
              <w:bottom w:val="single" w:sz="8" w:space="0" w:color="000000"/>
              <w:right w:val="single" w:sz="4" w:space="0" w:color="000000"/>
            </w:tcBorders>
            <w:vAlign w:val="center"/>
            <w:hideMark/>
          </w:tcPr>
          <w:p w14:paraId="51236726"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single" w:sz="4" w:space="0" w:color="auto"/>
              <w:left w:val="nil"/>
              <w:bottom w:val="nil"/>
              <w:right w:val="single" w:sz="4" w:space="0" w:color="auto"/>
            </w:tcBorders>
            <w:vAlign w:val="center"/>
            <w:hideMark/>
          </w:tcPr>
          <w:p w14:paraId="5639015C" w14:textId="438CBA31"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Number of currency exchange transactions carried out during the previous year, where the transaction is above 1000 euros (buy)</w:t>
            </w:r>
          </w:p>
        </w:tc>
        <w:tc>
          <w:tcPr>
            <w:tcW w:w="2694" w:type="dxa"/>
            <w:tcBorders>
              <w:top w:val="nil"/>
              <w:left w:val="nil"/>
              <w:bottom w:val="single" w:sz="4" w:space="0" w:color="auto"/>
              <w:right w:val="single" w:sz="4" w:space="0" w:color="auto"/>
            </w:tcBorders>
            <w:vAlign w:val="center"/>
            <w:hideMark/>
          </w:tcPr>
          <w:p w14:paraId="63F5F71E"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Currency Exchange - Buy &gt; EUR 1000 (Number)</w:t>
            </w:r>
          </w:p>
        </w:tc>
        <w:tc>
          <w:tcPr>
            <w:tcW w:w="850" w:type="dxa"/>
            <w:tcBorders>
              <w:top w:val="nil"/>
              <w:left w:val="nil"/>
              <w:bottom w:val="single" w:sz="4" w:space="0" w:color="000000"/>
              <w:right w:val="single" w:sz="4" w:space="0" w:color="000000"/>
            </w:tcBorders>
            <w:vAlign w:val="center"/>
            <w:hideMark/>
          </w:tcPr>
          <w:p w14:paraId="6E162BC9"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C0040</w:t>
            </w:r>
          </w:p>
        </w:tc>
        <w:tc>
          <w:tcPr>
            <w:tcW w:w="1276" w:type="dxa"/>
            <w:tcBorders>
              <w:top w:val="nil"/>
              <w:left w:val="nil"/>
              <w:bottom w:val="single" w:sz="4" w:space="0" w:color="auto"/>
              <w:right w:val="single" w:sz="4" w:space="0" w:color="auto"/>
            </w:tcBorders>
            <w:shd w:val="clear" w:color="000000" w:fill="3D7AF5"/>
            <w:vAlign w:val="center"/>
            <w:hideMark/>
          </w:tcPr>
          <w:p w14:paraId="639AC1D1"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AML.03.06</w:t>
            </w:r>
          </w:p>
        </w:tc>
      </w:tr>
      <w:tr w:rsidR="00476609" w:rsidRPr="0051795D" w14:paraId="0EC918DD"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7F81B73F"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000000"/>
              <w:bottom w:val="single" w:sz="8" w:space="0" w:color="000000"/>
              <w:right w:val="single" w:sz="4" w:space="0" w:color="000000"/>
            </w:tcBorders>
            <w:vAlign w:val="center"/>
            <w:hideMark/>
          </w:tcPr>
          <w:p w14:paraId="2E5FEE57"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single" w:sz="4" w:space="0" w:color="auto"/>
              <w:left w:val="nil"/>
              <w:bottom w:val="nil"/>
              <w:right w:val="single" w:sz="4" w:space="0" w:color="auto"/>
            </w:tcBorders>
            <w:vAlign w:val="center"/>
            <w:hideMark/>
          </w:tcPr>
          <w:p w14:paraId="31473C39"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Value (EUR) of currency exchange transactions carried out during the previous year (sell)</w:t>
            </w:r>
          </w:p>
        </w:tc>
        <w:tc>
          <w:tcPr>
            <w:tcW w:w="2694" w:type="dxa"/>
            <w:tcBorders>
              <w:top w:val="nil"/>
              <w:left w:val="nil"/>
              <w:bottom w:val="single" w:sz="4" w:space="0" w:color="auto"/>
              <w:right w:val="single" w:sz="4" w:space="0" w:color="auto"/>
            </w:tcBorders>
            <w:vAlign w:val="center"/>
            <w:hideMark/>
          </w:tcPr>
          <w:p w14:paraId="14DE2E87"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Currency Exchange - Sell (Value)</w:t>
            </w:r>
          </w:p>
        </w:tc>
        <w:tc>
          <w:tcPr>
            <w:tcW w:w="850" w:type="dxa"/>
            <w:tcBorders>
              <w:top w:val="nil"/>
              <w:left w:val="nil"/>
              <w:bottom w:val="nil"/>
              <w:right w:val="single" w:sz="4" w:space="0" w:color="000000"/>
            </w:tcBorders>
            <w:vAlign w:val="center"/>
            <w:hideMark/>
          </w:tcPr>
          <w:p w14:paraId="2AABA006"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C0050</w:t>
            </w:r>
          </w:p>
        </w:tc>
        <w:tc>
          <w:tcPr>
            <w:tcW w:w="1276" w:type="dxa"/>
            <w:tcBorders>
              <w:top w:val="nil"/>
              <w:left w:val="nil"/>
              <w:bottom w:val="single" w:sz="4" w:space="0" w:color="auto"/>
              <w:right w:val="single" w:sz="4" w:space="0" w:color="auto"/>
            </w:tcBorders>
            <w:shd w:val="clear" w:color="000000" w:fill="3D7AF5"/>
            <w:vAlign w:val="center"/>
            <w:hideMark/>
          </w:tcPr>
          <w:p w14:paraId="1526DBC0"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AML.03.06</w:t>
            </w:r>
          </w:p>
        </w:tc>
      </w:tr>
      <w:tr w:rsidR="00476609" w:rsidRPr="0051795D" w14:paraId="188FB518"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53CB8E08"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000000"/>
              <w:bottom w:val="single" w:sz="8" w:space="0" w:color="000000"/>
              <w:right w:val="single" w:sz="4" w:space="0" w:color="000000"/>
            </w:tcBorders>
            <w:vAlign w:val="center"/>
            <w:hideMark/>
          </w:tcPr>
          <w:p w14:paraId="4314A824"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single" w:sz="4" w:space="0" w:color="auto"/>
              <w:left w:val="nil"/>
              <w:bottom w:val="single" w:sz="4" w:space="0" w:color="000000"/>
              <w:right w:val="single" w:sz="4" w:space="0" w:color="auto"/>
            </w:tcBorders>
            <w:vAlign w:val="center"/>
            <w:hideMark/>
          </w:tcPr>
          <w:p w14:paraId="0A8341C0"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Value (EUR) of currency exchange transactions carried out during the previous year (buy)</w:t>
            </w:r>
          </w:p>
        </w:tc>
        <w:tc>
          <w:tcPr>
            <w:tcW w:w="2694" w:type="dxa"/>
            <w:tcBorders>
              <w:top w:val="nil"/>
              <w:left w:val="nil"/>
              <w:bottom w:val="single" w:sz="4" w:space="0" w:color="auto"/>
              <w:right w:val="single" w:sz="4" w:space="0" w:color="auto"/>
            </w:tcBorders>
            <w:vAlign w:val="center"/>
            <w:hideMark/>
          </w:tcPr>
          <w:p w14:paraId="687E1FF7"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Currency Exchange - Buy (Value)</w:t>
            </w:r>
          </w:p>
        </w:tc>
        <w:tc>
          <w:tcPr>
            <w:tcW w:w="850" w:type="dxa"/>
            <w:tcBorders>
              <w:top w:val="single" w:sz="4" w:space="0" w:color="auto"/>
              <w:left w:val="nil"/>
              <w:bottom w:val="single" w:sz="4" w:space="0" w:color="auto"/>
              <w:right w:val="single" w:sz="4" w:space="0" w:color="auto"/>
            </w:tcBorders>
            <w:vAlign w:val="center"/>
            <w:hideMark/>
          </w:tcPr>
          <w:p w14:paraId="499D2FEE"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C0060</w:t>
            </w:r>
          </w:p>
        </w:tc>
        <w:tc>
          <w:tcPr>
            <w:tcW w:w="1276" w:type="dxa"/>
            <w:tcBorders>
              <w:top w:val="nil"/>
              <w:left w:val="nil"/>
              <w:bottom w:val="single" w:sz="4" w:space="0" w:color="auto"/>
              <w:right w:val="single" w:sz="4" w:space="0" w:color="auto"/>
            </w:tcBorders>
            <w:shd w:val="clear" w:color="000000" w:fill="3D7AF5"/>
            <w:vAlign w:val="center"/>
            <w:hideMark/>
          </w:tcPr>
          <w:p w14:paraId="2E449833"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AML.03.06</w:t>
            </w:r>
          </w:p>
        </w:tc>
      </w:tr>
      <w:tr w:rsidR="00476609" w:rsidRPr="0051795D" w14:paraId="77F6A96C"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5C232804"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000000"/>
              <w:bottom w:val="single" w:sz="8" w:space="0" w:color="000000"/>
              <w:right w:val="single" w:sz="4" w:space="0" w:color="000000"/>
            </w:tcBorders>
            <w:vAlign w:val="center"/>
            <w:hideMark/>
          </w:tcPr>
          <w:p w14:paraId="4BC31A89"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nil"/>
              <w:left w:val="nil"/>
              <w:bottom w:val="single" w:sz="8" w:space="0" w:color="auto"/>
              <w:right w:val="single" w:sz="4" w:space="0" w:color="auto"/>
            </w:tcBorders>
            <w:vAlign w:val="center"/>
            <w:hideMark/>
          </w:tcPr>
          <w:p w14:paraId="16DDE7FE"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Value (EUR) of currency exchange transactions cash-to-cash carried out during the previous year</w:t>
            </w:r>
          </w:p>
        </w:tc>
        <w:tc>
          <w:tcPr>
            <w:tcW w:w="2694" w:type="dxa"/>
            <w:tcBorders>
              <w:top w:val="nil"/>
              <w:left w:val="nil"/>
              <w:bottom w:val="single" w:sz="4" w:space="0" w:color="auto"/>
              <w:right w:val="single" w:sz="4" w:space="0" w:color="auto"/>
            </w:tcBorders>
            <w:vAlign w:val="center"/>
            <w:hideMark/>
          </w:tcPr>
          <w:p w14:paraId="5A19B62A"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Currency Exchange - Cash-to-Cash (Value)</w:t>
            </w:r>
          </w:p>
        </w:tc>
        <w:tc>
          <w:tcPr>
            <w:tcW w:w="850" w:type="dxa"/>
            <w:tcBorders>
              <w:top w:val="nil"/>
              <w:left w:val="nil"/>
              <w:bottom w:val="single" w:sz="4" w:space="0" w:color="auto"/>
              <w:right w:val="single" w:sz="4" w:space="0" w:color="auto"/>
            </w:tcBorders>
            <w:vAlign w:val="center"/>
            <w:hideMark/>
          </w:tcPr>
          <w:p w14:paraId="276E609F"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C0070</w:t>
            </w:r>
          </w:p>
        </w:tc>
        <w:tc>
          <w:tcPr>
            <w:tcW w:w="1276" w:type="dxa"/>
            <w:tcBorders>
              <w:top w:val="nil"/>
              <w:left w:val="nil"/>
              <w:bottom w:val="single" w:sz="4" w:space="0" w:color="auto"/>
              <w:right w:val="single" w:sz="4" w:space="0" w:color="auto"/>
            </w:tcBorders>
            <w:shd w:val="clear" w:color="000000" w:fill="3D7AF5"/>
            <w:vAlign w:val="center"/>
            <w:hideMark/>
          </w:tcPr>
          <w:p w14:paraId="507D74CC"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AML.03.06</w:t>
            </w:r>
          </w:p>
        </w:tc>
      </w:tr>
      <w:tr w:rsidR="00476609" w:rsidRPr="0051795D" w14:paraId="6DB42901"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4CCE82FA"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val="restart"/>
            <w:tcBorders>
              <w:top w:val="nil"/>
              <w:left w:val="single" w:sz="4" w:space="0" w:color="auto"/>
              <w:bottom w:val="single" w:sz="8" w:space="0" w:color="000000"/>
              <w:right w:val="single" w:sz="4" w:space="0" w:color="auto"/>
            </w:tcBorders>
            <w:shd w:val="clear" w:color="000000" w:fill="3D7AF5"/>
            <w:vAlign w:val="center"/>
            <w:hideMark/>
          </w:tcPr>
          <w:p w14:paraId="29839CA5"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Custody of crypto assets</w:t>
            </w:r>
          </w:p>
        </w:tc>
        <w:tc>
          <w:tcPr>
            <w:tcW w:w="2308" w:type="dxa"/>
            <w:tcBorders>
              <w:top w:val="nil"/>
              <w:left w:val="nil"/>
              <w:bottom w:val="single" w:sz="4" w:space="0" w:color="auto"/>
              <w:right w:val="single" w:sz="4" w:space="0" w:color="auto"/>
            </w:tcBorders>
            <w:vAlign w:val="center"/>
            <w:hideMark/>
          </w:tcPr>
          <w:p w14:paraId="391D2807"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Number of customers owning crypto-assets</w:t>
            </w:r>
          </w:p>
        </w:tc>
        <w:tc>
          <w:tcPr>
            <w:tcW w:w="2694" w:type="dxa"/>
            <w:tcBorders>
              <w:top w:val="nil"/>
              <w:left w:val="nil"/>
              <w:bottom w:val="single" w:sz="4" w:space="0" w:color="auto"/>
              <w:right w:val="single" w:sz="4" w:space="0" w:color="auto"/>
            </w:tcBorders>
            <w:vAlign w:val="center"/>
            <w:hideMark/>
          </w:tcPr>
          <w:p w14:paraId="2E957653"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Customers holding Crypto-assets - Number</w:t>
            </w:r>
          </w:p>
        </w:tc>
        <w:tc>
          <w:tcPr>
            <w:tcW w:w="850" w:type="dxa"/>
            <w:tcBorders>
              <w:top w:val="nil"/>
              <w:left w:val="nil"/>
              <w:bottom w:val="single" w:sz="4" w:space="0" w:color="auto"/>
              <w:right w:val="single" w:sz="4" w:space="0" w:color="auto"/>
            </w:tcBorders>
            <w:vAlign w:val="center"/>
            <w:hideMark/>
          </w:tcPr>
          <w:p w14:paraId="36E92991"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C0010</w:t>
            </w:r>
          </w:p>
        </w:tc>
        <w:tc>
          <w:tcPr>
            <w:tcW w:w="1276" w:type="dxa"/>
            <w:tcBorders>
              <w:top w:val="single" w:sz="8" w:space="0" w:color="auto"/>
              <w:left w:val="nil"/>
              <w:bottom w:val="nil"/>
              <w:right w:val="single" w:sz="4" w:space="0" w:color="auto"/>
            </w:tcBorders>
            <w:shd w:val="clear" w:color="000000" w:fill="3D7AF5"/>
            <w:vAlign w:val="center"/>
            <w:hideMark/>
          </w:tcPr>
          <w:p w14:paraId="29EC6A3B"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 xml:space="preserve">AML.04.09 </w:t>
            </w:r>
          </w:p>
        </w:tc>
      </w:tr>
      <w:tr w:rsidR="00476609" w:rsidRPr="0051795D" w14:paraId="6B8DB496"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339607D2"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8" w:space="0" w:color="000000"/>
              <w:right w:val="single" w:sz="4" w:space="0" w:color="auto"/>
            </w:tcBorders>
            <w:vAlign w:val="center"/>
            <w:hideMark/>
          </w:tcPr>
          <w:p w14:paraId="1DB6D1E4"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nil"/>
              <w:left w:val="nil"/>
              <w:bottom w:val="single" w:sz="8" w:space="0" w:color="auto"/>
              <w:right w:val="single" w:sz="4" w:space="0" w:color="auto"/>
            </w:tcBorders>
            <w:vAlign w:val="center"/>
            <w:hideMark/>
          </w:tcPr>
          <w:p w14:paraId="099EE010"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value (EUR) of crypto assets held on customer custody wallets in the previous year</w:t>
            </w:r>
          </w:p>
        </w:tc>
        <w:tc>
          <w:tcPr>
            <w:tcW w:w="2694" w:type="dxa"/>
            <w:tcBorders>
              <w:top w:val="nil"/>
              <w:left w:val="nil"/>
              <w:bottom w:val="single" w:sz="4" w:space="0" w:color="auto"/>
              <w:right w:val="single" w:sz="4" w:space="0" w:color="auto"/>
            </w:tcBorders>
            <w:vAlign w:val="center"/>
            <w:hideMark/>
          </w:tcPr>
          <w:p w14:paraId="2F067D30"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Crypto Assets in Custody - Value</w:t>
            </w:r>
          </w:p>
        </w:tc>
        <w:tc>
          <w:tcPr>
            <w:tcW w:w="850" w:type="dxa"/>
            <w:tcBorders>
              <w:top w:val="nil"/>
              <w:left w:val="nil"/>
              <w:bottom w:val="single" w:sz="4" w:space="0" w:color="000000"/>
              <w:right w:val="single" w:sz="4" w:space="0" w:color="000000"/>
            </w:tcBorders>
            <w:vAlign w:val="center"/>
            <w:hideMark/>
          </w:tcPr>
          <w:p w14:paraId="26FD56D5"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C0020</w:t>
            </w:r>
          </w:p>
        </w:tc>
        <w:tc>
          <w:tcPr>
            <w:tcW w:w="1276" w:type="dxa"/>
            <w:tcBorders>
              <w:top w:val="single" w:sz="4" w:space="0" w:color="auto"/>
              <w:left w:val="nil"/>
              <w:bottom w:val="single" w:sz="8" w:space="0" w:color="auto"/>
              <w:right w:val="single" w:sz="4" w:space="0" w:color="auto"/>
            </w:tcBorders>
            <w:shd w:val="clear" w:color="000000" w:fill="3D7AF5"/>
            <w:vAlign w:val="center"/>
            <w:hideMark/>
          </w:tcPr>
          <w:p w14:paraId="5FF8EC4A"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 xml:space="preserve">AML.04.09 </w:t>
            </w:r>
          </w:p>
        </w:tc>
      </w:tr>
      <w:tr w:rsidR="00476609" w:rsidRPr="0051795D" w14:paraId="77A317B5" w14:textId="77777777" w:rsidTr="00513763">
        <w:trPr>
          <w:trHeight w:val="720"/>
        </w:trPr>
        <w:tc>
          <w:tcPr>
            <w:tcW w:w="1290" w:type="dxa"/>
            <w:vMerge w:val="restart"/>
            <w:tcBorders>
              <w:top w:val="single" w:sz="8" w:space="0" w:color="auto"/>
              <w:left w:val="nil"/>
              <w:bottom w:val="nil"/>
              <w:right w:val="single" w:sz="4" w:space="0" w:color="auto"/>
            </w:tcBorders>
            <w:shd w:val="clear" w:color="000000" w:fill="0728CB"/>
            <w:vAlign w:val="center"/>
            <w:hideMark/>
          </w:tcPr>
          <w:p w14:paraId="3655D94D"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Services</w:t>
            </w:r>
          </w:p>
        </w:tc>
        <w:tc>
          <w:tcPr>
            <w:tcW w:w="1500" w:type="dxa"/>
            <w:vMerge w:val="restart"/>
            <w:tcBorders>
              <w:top w:val="nil"/>
              <w:left w:val="single" w:sz="4" w:space="0" w:color="auto"/>
              <w:bottom w:val="single" w:sz="8" w:space="0" w:color="000000"/>
              <w:right w:val="single" w:sz="4" w:space="0" w:color="auto"/>
            </w:tcBorders>
            <w:shd w:val="clear" w:color="000000" w:fill="3D7AF5"/>
            <w:vAlign w:val="center"/>
            <w:hideMark/>
          </w:tcPr>
          <w:p w14:paraId="167E2DBA"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Invest. Services and Activities -reception and transmission of orders</w:t>
            </w:r>
          </w:p>
        </w:tc>
        <w:tc>
          <w:tcPr>
            <w:tcW w:w="2308" w:type="dxa"/>
            <w:tcBorders>
              <w:top w:val="nil"/>
              <w:left w:val="nil"/>
              <w:bottom w:val="single" w:sz="4" w:space="0" w:color="auto"/>
              <w:right w:val="single" w:sz="4" w:space="0" w:color="auto"/>
            </w:tcBorders>
            <w:vAlign w:val="center"/>
            <w:hideMark/>
          </w:tcPr>
          <w:p w14:paraId="01ACE861"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number of retail clients</w:t>
            </w:r>
          </w:p>
        </w:tc>
        <w:tc>
          <w:tcPr>
            <w:tcW w:w="2694" w:type="dxa"/>
            <w:tcBorders>
              <w:top w:val="nil"/>
              <w:left w:val="nil"/>
              <w:bottom w:val="single" w:sz="4" w:space="0" w:color="auto"/>
              <w:right w:val="single" w:sz="4" w:space="0" w:color="auto"/>
            </w:tcBorders>
            <w:vAlign w:val="center"/>
            <w:hideMark/>
          </w:tcPr>
          <w:p w14:paraId="615B805E"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Retail Clients (MiFID)</w:t>
            </w:r>
          </w:p>
        </w:tc>
        <w:tc>
          <w:tcPr>
            <w:tcW w:w="850" w:type="dxa"/>
            <w:tcBorders>
              <w:top w:val="nil"/>
              <w:left w:val="nil"/>
              <w:bottom w:val="single" w:sz="4" w:space="0" w:color="auto"/>
              <w:right w:val="single" w:sz="4" w:space="0" w:color="auto"/>
            </w:tcBorders>
            <w:vAlign w:val="center"/>
            <w:hideMark/>
          </w:tcPr>
          <w:p w14:paraId="0E5879A9"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C0010</w:t>
            </w:r>
          </w:p>
        </w:tc>
        <w:tc>
          <w:tcPr>
            <w:tcW w:w="1276" w:type="dxa"/>
            <w:tcBorders>
              <w:top w:val="nil"/>
              <w:left w:val="nil"/>
              <w:bottom w:val="nil"/>
              <w:right w:val="single" w:sz="4" w:space="0" w:color="auto"/>
            </w:tcBorders>
            <w:shd w:val="clear" w:color="000000" w:fill="3D7AF5"/>
            <w:vAlign w:val="center"/>
            <w:hideMark/>
          </w:tcPr>
          <w:p w14:paraId="733FF4E6"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AML.04.01</w:t>
            </w:r>
          </w:p>
        </w:tc>
      </w:tr>
      <w:tr w:rsidR="00476609" w:rsidRPr="0051795D" w14:paraId="610EE6FF"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46D17A35"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8" w:space="0" w:color="000000"/>
              <w:right w:val="single" w:sz="4" w:space="0" w:color="auto"/>
            </w:tcBorders>
            <w:vAlign w:val="center"/>
            <w:hideMark/>
          </w:tcPr>
          <w:p w14:paraId="6D4A1C0B"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nil"/>
              <w:left w:val="nil"/>
              <w:bottom w:val="nil"/>
              <w:right w:val="single" w:sz="4" w:space="0" w:color="auto"/>
            </w:tcBorders>
            <w:vAlign w:val="center"/>
            <w:hideMark/>
          </w:tcPr>
          <w:p w14:paraId="4F22B533"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number of professional clients</w:t>
            </w:r>
          </w:p>
        </w:tc>
        <w:tc>
          <w:tcPr>
            <w:tcW w:w="2694" w:type="dxa"/>
            <w:tcBorders>
              <w:top w:val="nil"/>
              <w:left w:val="nil"/>
              <w:bottom w:val="single" w:sz="4" w:space="0" w:color="auto"/>
              <w:right w:val="single" w:sz="4" w:space="0" w:color="auto"/>
            </w:tcBorders>
            <w:vAlign w:val="center"/>
            <w:hideMark/>
          </w:tcPr>
          <w:p w14:paraId="018E5241"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Professional Clients (MiFID)</w:t>
            </w:r>
          </w:p>
        </w:tc>
        <w:tc>
          <w:tcPr>
            <w:tcW w:w="850" w:type="dxa"/>
            <w:tcBorders>
              <w:top w:val="nil"/>
              <w:left w:val="nil"/>
              <w:bottom w:val="single" w:sz="4" w:space="0" w:color="000000"/>
              <w:right w:val="single" w:sz="4" w:space="0" w:color="000000"/>
            </w:tcBorders>
            <w:vAlign w:val="center"/>
            <w:hideMark/>
          </w:tcPr>
          <w:p w14:paraId="4BF62A3B"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C0020</w:t>
            </w:r>
          </w:p>
        </w:tc>
        <w:tc>
          <w:tcPr>
            <w:tcW w:w="1276" w:type="dxa"/>
            <w:tcBorders>
              <w:top w:val="single" w:sz="8" w:space="0" w:color="auto"/>
              <w:left w:val="nil"/>
              <w:bottom w:val="nil"/>
              <w:right w:val="single" w:sz="4" w:space="0" w:color="auto"/>
            </w:tcBorders>
            <w:shd w:val="clear" w:color="000000" w:fill="3D7AF5"/>
            <w:vAlign w:val="center"/>
            <w:hideMark/>
          </w:tcPr>
          <w:p w14:paraId="3DBEF021"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AML.04.01</w:t>
            </w:r>
          </w:p>
        </w:tc>
      </w:tr>
      <w:tr w:rsidR="00476609" w:rsidRPr="0051795D" w14:paraId="4ADB792C"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13C0A9A5"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8" w:space="0" w:color="000000"/>
              <w:right w:val="single" w:sz="4" w:space="0" w:color="auto"/>
            </w:tcBorders>
            <w:vAlign w:val="center"/>
            <w:hideMark/>
          </w:tcPr>
          <w:p w14:paraId="6138CCB9"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nil"/>
              <w:left w:val="nil"/>
              <w:bottom w:val="single" w:sz="8" w:space="0" w:color="auto"/>
              <w:right w:val="single" w:sz="4" w:space="0" w:color="auto"/>
            </w:tcBorders>
            <w:vAlign w:val="center"/>
            <w:hideMark/>
          </w:tcPr>
          <w:p w14:paraId="5B12AE5F"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 xml:space="preserve">Number of AML/CFT regulated customers outside the EEA </w:t>
            </w:r>
          </w:p>
        </w:tc>
        <w:tc>
          <w:tcPr>
            <w:tcW w:w="2694" w:type="dxa"/>
            <w:tcBorders>
              <w:top w:val="nil"/>
              <w:left w:val="nil"/>
              <w:bottom w:val="single" w:sz="4" w:space="0" w:color="auto"/>
              <w:right w:val="single" w:sz="4" w:space="0" w:color="auto"/>
            </w:tcBorders>
            <w:vAlign w:val="center"/>
            <w:hideMark/>
          </w:tcPr>
          <w:p w14:paraId="76B85231"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Non-EEA AML/CFT Regulated Customers</w:t>
            </w:r>
          </w:p>
        </w:tc>
        <w:tc>
          <w:tcPr>
            <w:tcW w:w="850" w:type="dxa"/>
            <w:tcBorders>
              <w:top w:val="nil"/>
              <w:left w:val="nil"/>
              <w:bottom w:val="single" w:sz="4" w:space="0" w:color="000000"/>
              <w:right w:val="single" w:sz="4" w:space="0" w:color="000000"/>
            </w:tcBorders>
            <w:vAlign w:val="center"/>
            <w:hideMark/>
          </w:tcPr>
          <w:p w14:paraId="18362048"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C0030</w:t>
            </w:r>
          </w:p>
        </w:tc>
        <w:tc>
          <w:tcPr>
            <w:tcW w:w="1276" w:type="dxa"/>
            <w:tcBorders>
              <w:top w:val="single" w:sz="8" w:space="0" w:color="auto"/>
              <w:left w:val="nil"/>
              <w:bottom w:val="nil"/>
              <w:right w:val="single" w:sz="4" w:space="0" w:color="auto"/>
            </w:tcBorders>
            <w:shd w:val="clear" w:color="000000" w:fill="3D7AF5"/>
            <w:vAlign w:val="center"/>
            <w:hideMark/>
          </w:tcPr>
          <w:p w14:paraId="6F813502"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AML.04.01</w:t>
            </w:r>
          </w:p>
        </w:tc>
      </w:tr>
      <w:tr w:rsidR="00476609" w:rsidRPr="0051795D" w14:paraId="153EF8BF"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60C4791B"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val="restart"/>
            <w:tcBorders>
              <w:top w:val="nil"/>
              <w:left w:val="single" w:sz="4" w:space="0" w:color="auto"/>
              <w:bottom w:val="single" w:sz="8" w:space="0" w:color="000000"/>
              <w:right w:val="single" w:sz="4" w:space="0" w:color="auto"/>
            </w:tcBorders>
            <w:shd w:val="clear" w:color="000000" w:fill="3D7AF5"/>
            <w:vAlign w:val="center"/>
            <w:hideMark/>
          </w:tcPr>
          <w:p w14:paraId="6C66DEC4"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Invest. Services and Activities - custody account keeping</w:t>
            </w:r>
          </w:p>
        </w:tc>
        <w:tc>
          <w:tcPr>
            <w:tcW w:w="2308" w:type="dxa"/>
            <w:tcBorders>
              <w:top w:val="nil"/>
              <w:left w:val="nil"/>
              <w:bottom w:val="single" w:sz="4" w:space="0" w:color="auto"/>
              <w:right w:val="single" w:sz="4" w:space="0" w:color="auto"/>
            </w:tcBorders>
            <w:vAlign w:val="center"/>
            <w:hideMark/>
          </w:tcPr>
          <w:p w14:paraId="417CFCDD"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number of retail clients</w:t>
            </w:r>
          </w:p>
        </w:tc>
        <w:tc>
          <w:tcPr>
            <w:tcW w:w="2694" w:type="dxa"/>
            <w:tcBorders>
              <w:top w:val="nil"/>
              <w:left w:val="nil"/>
              <w:bottom w:val="nil"/>
              <w:right w:val="single" w:sz="4" w:space="0" w:color="auto"/>
            </w:tcBorders>
            <w:vAlign w:val="center"/>
            <w:hideMark/>
          </w:tcPr>
          <w:p w14:paraId="72FD8745"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Retail Clients (MiFID)</w:t>
            </w:r>
          </w:p>
        </w:tc>
        <w:tc>
          <w:tcPr>
            <w:tcW w:w="850" w:type="dxa"/>
            <w:tcBorders>
              <w:top w:val="nil"/>
              <w:left w:val="nil"/>
              <w:bottom w:val="single" w:sz="4" w:space="0" w:color="000000"/>
              <w:right w:val="single" w:sz="4" w:space="0" w:color="000000"/>
            </w:tcBorders>
            <w:vAlign w:val="center"/>
            <w:hideMark/>
          </w:tcPr>
          <w:p w14:paraId="033B4BDF"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C0040</w:t>
            </w:r>
          </w:p>
        </w:tc>
        <w:tc>
          <w:tcPr>
            <w:tcW w:w="1276" w:type="dxa"/>
            <w:tcBorders>
              <w:top w:val="single" w:sz="8" w:space="0" w:color="auto"/>
              <w:left w:val="nil"/>
              <w:bottom w:val="nil"/>
              <w:right w:val="single" w:sz="4" w:space="0" w:color="auto"/>
            </w:tcBorders>
            <w:shd w:val="clear" w:color="000000" w:fill="3D7AF5"/>
            <w:vAlign w:val="center"/>
            <w:hideMark/>
          </w:tcPr>
          <w:p w14:paraId="14DA4969"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AML.04.01</w:t>
            </w:r>
          </w:p>
        </w:tc>
      </w:tr>
      <w:tr w:rsidR="00476609" w:rsidRPr="0051795D" w14:paraId="74A12F65"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2BD97953"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8" w:space="0" w:color="000000"/>
              <w:right w:val="single" w:sz="4" w:space="0" w:color="auto"/>
            </w:tcBorders>
            <w:vAlign w:val="center"/>
            <w:hideMark/>
          </w:tcPr>
          <w:p w14:paraId="511038FF"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nil"/>
              <w:left w:val="nil"/>
              <w:bottom w:val="nil"/>
              <w:right w:val="single" w:sz="4" w:space="0" w:color="auto"/>
            </w:tcBorders>
            <w:vAlign w:val="center"/>
            <w:hideMark/>
          </w:tcPr>
          <w:p w14:paraId="7667724A"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number of professional clients</w:t>
            </w:r>
          </w:p>
        </w:tc>
        <w:tc>
          <w:tcPr>
            <w:tcW w:w="2694" w:type="dxa"/>
            <w:tcBorders>
              <w:top w:val="nil"/>
              <w:left w:val="nil"/>
              <w:bottom w:val="nil"/>
              <w:right w:val="single" w:sz="4" w:space="0" w:color="auto"/>
            </w:tcBorders>
            <w:vAlign w:val="center"/>
            <w:hideMark/>
          </w:tcPr>
          <w:p w14:paraId="7998710C"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Professional Clients (MiFID)</w:t>
            </w:r>
          </w:p>
        </w:tc>
        <w:tc>
          <w:tcPr>
            <w:tcW w:w="850" w:type="dxa"/>
            <w:tcBorders>
              <w:top w:val="nil"/>
              <w:left w:val="nil"/>
              <w:bottom w:val="nil"/>
              <w:right w:val="single" w:sz="4" w:space="0" w:color="000000"/>
            </w:tcBorders>
            <w:vAlign w:val="center"/>
            <w:hideMark/>
          </w:tcPr>
          <w:p w14:paraId="6835D66A"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C0050</w:t>
            </w:r>
          </w:p>
        </w:tc>
        <w:tc>
          <w:tcPr>
            <w:tcW w:w="1276" w:type="dxa"/>
            <w:tcBorders>
              <w:top w:val="single" w:sz="8" w:space="0" w:color="auto"/>
              <w:left w:val="nil"/>
              <w:bottom w:val="nil"/>
              <w:right w:val="single" w:sz="4" w:space="0" w:color="auto"/>
            </w:tcBorders>
            <w:shd w:val="clear" w:color="000000" w:fill="3D7AF5"/>
            <w:vAlign w:val="center"/>
            <w:hideMark/>
          </w:tcPr>
          <w:p w14:paraId="746F807D"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AML.04.01</w:t>
            </w:r>
          </w:p>
        </w:tc>
      </w:tr>
      <w:tr w:rsidR="00476609" w:rsidRPr="0051795D" w14:paraId="0BC1169F"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66A43CC9"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8" w:space="0" w:color="000000"/>
              <w:right w:val="single" w:sz="4" w:space="0" w:color="auto"/>
            </w:tcBorders>
            <w:vAlign w:val="center"/>
            <w:hideMark/>
          </w:tcPr>
          <w:p w14:paraId="45BCD80A"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single" w:sz="4" w:space="0" w:color="auto"/>
              <w:left w:val="nil"/>
              <w:bottom w:val="single" w:sz="4" w:space="0" w:color="auto"/>
              <w:right w:val="single" w:sz="4" w:space="0" w:color="auto"/>
            </w:tcBorders>
            <w:vAlign w:val="center"/>
            <w:hideMark/>
          </w:tcPr>
          <w:p w14:paraId="78B8DC7C"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 of assets under custody for which the obliged entity does not have a direct business relationship with the final investor</w:t>
            </w:r>
          </w:p>
        </w:tc>
        <w:tc>
          <w:tcPr>
            <w:tcW w:w="2694" w:type="dxa"/>
            <w:tcBorders>
              <w:top w:val="single" w:sz="4" w:space="0" w:color="auto"/>
              <w:left w:val="nil"/>
              <w:bottom w:val="nil"/>
              <w:right w:val="single" w:sz="4" w:space="0" w:color="auto"/>
            </w:tcBorders>
            <w:vAlign w:val="center"/>
            <w:hideMark/>
          </w:tcPr>
          <w:p w14:paraId="66EF6D9E"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Indirect Custody Assets (%)</w:t>
            </w:r>
          </w:p>
        </w:tc>
        <w:tc>
          <w:tcPr>
            <w:tcW w:w="850" w:type="dxa"/>
            <w:tcBorders>
              <w:top w:val="single" w:sz="4" w:space="0" w:color="auto"/>
              <w:left w:val="nil"/>
              <w:bottom w:val="single" w:sz="4" w:space="0" w:color="auto"/>
              <w:right w:val="single" w:sz="4" w:space="0" w:color="auto"/>
            </w:tcBorders>
            <w:vAlign w:val="center"/>
            <w:hideMark/>
          </w:tcPr>
          <w:p w14:paraId="0A4D27E2"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C0060</w:t>
            </w:r>
          </w:p>
        </w:tc>
        <w:tc>
          <w:tcPr>
            <w:tcW w:w="1276" w:type="dxa"/>
            <w:tcBorders>
              <w:top w:val="single" w:sz="8" w:space="0" w:color="auto"/>
              <w:left w:val="nil"/>
              <w:bottom w:val="nil"/>
              <w:right w:val="single" w:sz="4" w:space="0" w:color="auto"/>
            </w:tcBorders>
            <w:shd w:val="clear" w:color="000000" w:fill="3D7AF5"/>
            <w:vAlign w:val="center"/>
            <w:hideMark/>
          </w:tcPr>
          <w:p w14:paraId="4CFFC8A4"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AML.04.01</w:t>
            </w:r>
          </w:p>
        </w:tc>
      </w:tr>
      <w:tr w:rsidR="00476609" w:rsidRPr="0051795D" w14:paraId="6FDDC2F3"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098D797A"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8" w:space="0" w:color="000000"/>
              <w:right w:val="single" w:sz="4" w:space="0" w:color="auto"/>
            </w:tcBorders>
            <w:vAlign w:val="center"/>
            <w:hideMark/>
          </w:tcPr>
          <w:p w14:paraId="1379FB24"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nil"/>
              <w:left w:val="nil"/>
              <w:bottom w:val="single" w:sz="8" w:space="0" w:color="auto"/>
              <w:right w:val="single" w:sz="4" w:space="0" w:color="auto"/>
            </w:tcBorders>
            <w:vAlign w:val="center"/>
            <w:hideMark/>
          </w:tcPr>
          <w:p w14:paraId="49A441EF"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 xml:space="preserve">Number of AML/CFT regulated customers outside the EEA </w:t>
            </w:r>
          </w:p>
        </w:tc>
        <w:tc>
          <w:tcPr>
            <w:tcW w:w="2694" w:type="dxa"/>
            <w:tcBorders>
              <w:top w:val="single" w:sz="4" w:space="0" w:color="auto"/>
              <w:left w:val="nil"/>
              <w:bottom w:val="nil"/>
              <w:right w:val="single" w:sz="4" w:space="0" w:color="auto"/>
            </w:tcBorders>
            <w:vAlign w:val="center"/>
            <w:hideMark/>
          </w:tcPr>
          <w:p w14:paraId="3D824DF5"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Non-EEA AML/CFT Regulated Customers</w:t>
            </w:r>
          </w:p>
        </w:tc>
        <w:tc>
          <w:tcPr>
            <w:tcW w:w="850" w:type="dxa"/>
            <w:tcBorders>
              <w:top w:val="nil"/>
              <w:left w:val="nil"/>
              <w:bottom w:val="nil"/>
              <w:right w:val="single" w:sz="4" w:space="0" w:color="auto"/>
            </w:tcBorders>
            <w:vAlign w:val="center"/>
            <w:hideMark/>
          </w:tcPr>
          <w:p w14:paraId="4AF58B91"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C0070</w:t>
            </w:r>
          </w:p>
        </w:tc>
        <w:tc>
          <w:tcPr>
            <w:tcW w:w="1276" w:type="dxa"/>
            <w:tcBorders>
              <w:top w:val="single" w:sz="8" w:space="0" w:color="auto"/>
              <w:left w:val="nil"/>
              <w:bottom w:val="nil"/>
              <w:right w:val="single" w:sz="4" w:space="0" w:color="auto"/>
            </w:tcBorders>
            <w:shd w:val="clear" w:color="000000" w:fill="3D7AF5"/>
            <w:vAlign w:val="center"/>
            <w:hideMark/>
          </w:tcPr>
          <w:p w14:paraId="48F8122A"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AML.04.01</w:t>
            </w:r>
          </w:p>
        </w:tc>
      </w:tr>
      <w:tr w:rsidR="00476609" w:rsidRPr="0051795D" w14:paraId="794884FB"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298CE17C"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val="restart"/>
            <w:tcBorders>
              <w:top w:val="nil"/>
              <w:left w:val="single" w:sz="4" w:space="0" w:color="auto"/>
              <w:bottom w:val="single" w:sz="8" w:space="0" w:color="000000"/>
              <w:right w:val="single" w:sz="4" w:space="0" w:color="auto"/>
            </w:tcBorders>
            <w:shd w:val="clear" w:color="000000" w:fill="3D7AF5"/>
            <w:vAlign w:val="center"/>
            <w:hideMark/>
          </w:tcPr>
          <w:p w14:paraId="1CB3199B"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Invest. Services and Activities - Portfolio manangement</w:t>
            </w:r>
          </w:p>
        </w:tc>
        <w:tc>
          <w:tcPr>
            <w:tcW w:w="2308" w:type="dxa"/>
            <w:tcBorders>
              <w:top w:val="nil"/>
              <w:left w:val="nil"/>
              <w:bottom w:val="single" w:sz="4" w:space="0" w:color="auto"/>
              <w:right w:val="single" w:sz="4" w:space="0" w:color="auto"/>
            </w:tcBorders>
            <w:vAlign w:val="center"/>
            <w:hideMark/>
          </w:tcPr>
          <w:p w14:paraId="1DEA14B2"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number of retail clients</w:t>
            </w:r>
          </w:p>
        </w:tc>
        <w:tc>
          <w:tcPr>
            <w:tcW w:w="2694" w:type="dxa"/>
            <w:tcBorders>
              <w:top w:val="single" w:sz="4" w:space="0" w:color="auto"/>
              <w:left w:val="nil"/>
              <w:bottom w:val="single" w:sz="4" w:space="0" w:color="auto"/>
              <w:right w:val="single" w:sz="4" w:space="0" w:color="auto"/>
            </w:tcBorders>
            <w:vAlign w:val="center"/>
            <w:hideMark/>
          </w:tcPr>
          <w:p w14:paraId="3828ABC9"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Retail Clients (MiFID)</w:t>
            </w:r>
          </w:p>
        </w:tc>
        <w:tc>
          <w:tcPr>
            <w:tcW w:w="850" w:type="dxa"/>
            <w:tcBorders>
              <w:top w:val="single" w:sz="4" w:space="0" w:color="auto"/>
              <w:left w:val="nil"/>
              <w:bottom w:val="single" w:sz="4" w:space="0" w:color="auto"/>
              <w:right w:val="single" w:sz="4" w:space="0" w:color="auto"/>
            </w:tcBorders>
            <w:vAlign w:val="center"/>
            <w:hideMark/>
          </w:tcPr>
          <w:p w14:paraId="0B52FD90"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C0080</w:t>
            </w:r>
          </w:p>
        </w:tc>
        <w:tc>
          <w:tcPr>
            <w:tcW w:w="1276" w:type="dxa"/>
            <w:tcBorders>
              <w:top w:val="single" w:sz="8" w:space="0" w:color="auto"/>
              <w:left w:val="nil"/>
              <w:bottom w:val="nil"/>
              <w:right w:val="single" w:sz="4" w:space="0" w:color="auto"/>
            </w:tcBorders>
            <w:shd w:val="clear" w:color="000000" w:fill="3D7AF5"/>
            <w:vAlign w:val="center"/>
            <w:hideMark/>
          </w:tcPr>
          <w:p w14:paraId="09D631FE"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AML.04.01</w:t>
            </w:r>
          </w:p>
        </w:tc>
      </w:tr>
      <w:tr w:rsidR="00476609" w:rsidRPr="0051795D" w14:paraId="17F95A82"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6E229BB9"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8" w:space="0" w:color="000000"/>
              <w:right w:val="single" w:sz="4" w:space="0" w:color="auto"/>
            </w:tcBorders>
            <w:vAlign w:val="center"/>
            <w:hideMark/>
          </w:tcPr>
          <w:p w14:paraId="40BD02DD"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nil"/>
              <w:left w:val="nil"/>
              <w:bottom w:val="nil"/>
              <w:right w:val="single" w:sz="4" w:space="0" w:color="auto"/>
            </w:tcBorders>
            <w:vAlign w:val="center"/>
            <w:hideMark/>
          </w:tcPr>
          <w:p w14:paraId="2E23BF76"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number of professional clients</w:t>
            </w:r>
          </w:p>
        </w:tc>
        <w:tc>
          <w:tcPr>
            <w:tcW w:w="2694" w:type="dxa"/>
            <w:tcBorders>
              <w:top w:val="nil"/>
              <w:left w:val="nil"/>
              <w:bottom w:val="single" w:sz="4" w:space="0" w:color="auto"/>
              <w:right w:val="single" w:sz="4" w:space="0" w:color="auto"/>
            </w:tcBorders>
            <w:vAlign w:val="center"/>
            <w:hideMark/>
          </w:tcPr>
          <w:p w14:paraId="2C74F047"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Professional Clients (MiFID)</w:t>
            </w:r>
          </w:p>
        </w:tc>
        <w:tc>
          <w:tcPr>
            <w:tcW w:w="850" w:type="dxa"/>
            <w:tcBorders>
              <w:top w:val="nil"/>
              <w:left w:val="nil"/>
              <w:bottom w:val="single" w:sz="4" w:space="0" w:color="auto"/>
              <w:right w:val="single" w:sz="4" w:space="0" w:color="auto"/>
            </w:tcBorders>
            <w:vAlign w:val="center"/>
            <w:hideMark/>
          </w:tcPr>
          <w:p w14:paraId="1D32A88A"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C0090</w:t>
            </w:r>
          </w:p>
        </w:tc>
        <w:tc>
          <w:tcPr>
            <w:tcW w:w="1276" w:type="dxa"/>
            <w:tcBorders>
              <w:top w:val="single" w:sz="8" w:space="0" w:color="auto"/>
              <w:left w:val="nil"/>
              <w:bottom w:val="nil"/>
              <w:right w:val="single" w:sz="4" w:space="0" w:color="auto"/>
            </w:tcBorders>
            <w:shd w:val="clear" w:color="000000" w:fill="3D7AF5"/>
            <w:vAlign w:val="center"/>
            <w:hideMark/>
          </w:tcPr>
          <w:p w14:paraId="3B787A51"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AML.04.01</w:t>
            </w:r>
          </w:p>
        </w:tc>
      </w:tr>
      <w:tr w:rsidR="00476609" w:rsidRPr="0051795D" w14:paraId="4208FC73"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5411E1FA"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8" w:space="0" w:color="000000"/>
              <w:right w:val="single" w:sz="4" w:space="0" w:color="auto"/>
            </w:tcBorders>
            <w:vAlign w:val="center"/>
            <w:hideMark/>
          </w:tcPr>
          <w:p w14:paraId="4D1708DD"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single" w:sz="4" w:space="0" w:color="auto"/>
              <w:left w:val="nil"/>
              <w:bottom w:val="single" w:sz="4" w:space="0" w:color="auto"/>
              <w:right w:val="single" w:sz="4" w:space="0" w:color="auto"/>
            </w:tcBorders>
            <w:vAlign w:val="center"/>
            <w:hideMark/>
          </w:tcPr>
          <w:p w14:paraId="07BBE659"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assets under management</w:t>
            </w:r>
          </w:p>
        </w:tc>
        <w:tc>
          <w:tcPr>
            <w:tcW w:w="2694" w:type="dxa"/>
            <w:tcBorders>
              <w:top w:val="nil"/>
              <w:left w:val="nil"/>
              <w:bottom w:val="nil"/>
              <w:right w:val="single" w:sz="4" w:space="0" w:color="auto"/>
            </w:tcBorders>
            <w:vAlign w:val="center"/>
            <w:hideMark/>
          </w:tcPr>
          <w:p w14:paraId="4E809290"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assets under management</w:t>
            </w:r>
          </w:p>
        </w:tc>
        <w:tc>
          <w:tcPr>
            <w:tcW w:w="850" w:type="dxa"/>
            <w:tcBorders>
              <w:top w:val="nil"/>
              <w:left w:val="nil"/>
              <w:bottom w:val="nil"/>
              <w:right w:val="single" w:sz="4" w:space="0" w:color="auto"/>
            </w:tcBorders>
            <w:vAlign w:val="center"/>
            <w:hideMark/>
          </w:tcPr>
          <w:p w14:paraId="35837AED"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C0100</w:t>
            </w:r>
          </w:p>
        </w:tc>
        <w:tc>
          <w:tcPr>
            <w:tcW w:w="1276" w:type="dxa"/>
            <w:tcBorders>
              <w:top w:val="single" w:sz="8" w:space="0" w:color="auto"/>
              <w:left w:val="nil"/>
              <w:bottom w:val="nil"/>
              <w:right w:val="single" w:sz="4" w:space="0" w:color="auto"/>
            </w:tcBorders>
            <w:shd w:val="clear" w:color="000000" w:fill="3D7AF5"/>
            <w:vAlign w:val="center"/>
            <w:hideMark/>
          </w:tcPr>
          <w:p w14:paraId="100F9D0F"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AML.04.01</w:t>
            </w:r>
          </w:p>
        </w:tc>
      </w:tr>
      <w:tr w:rsidR="00476609" w:rsidRPr="0051795D" w14:paraId="74EB7AF0"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6DC9A3DD"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8" w:space="0" w:color="000000"/>
              <w:right w:val="single" w:sz="4" w:space="0" w:color="auto"/>
            </w:tcBorders>
            <w:vAlign w:val="center"/>
            <w:hideMark/>
          </w:tcPr>
          <w:p w14:paraId="6BA03830"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nil"/>
              <w:left w:val="nil"/>
              <w:bottom w:val="single" w:sz="8" w:space="0" w:color="auto"/>
              <w:right w:val="single" w:sz="4" w:space="0" w:color="auto"/>
            </w:tcBorders>
            <w:vAlign w:val="center"/>
            <w:hideMark/>
          </w:tcPr>
          <w:p w14:paraId="7C9880A5"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Number of customers for which customer holding total assets with a value of at least EUR 5 000 000</w:t>
            </w:r>
          </w:p>
        </w:tc>
        <w:tc>
          <w:tcPr>
            <w:tcW w:w="2694" w:type="dxa"/>
            <w:tcBorders>
              <w:top w:val="single" w:sz="4" w:space="0" w:color="auto"/>
              <w:left w:val="nil"/>
              <w:bottom w:val="single" w:sz="8" w:space="0" w:color="auto"/>
              <w:right w:val="single" w:sz="4" w:space="0" w:color="auto"/>
            </w:tcBorders>
            <w:vAlign w:val="center"/>
            <w:hideMark/>
          </w:tcPr>
          <w:p w14:paraId="018C39D9"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Customers with Assets &gt;= EUR 5M</w:t>
            </w:r>
          </w:p>
        </w:tc>
        <w:tc>
          <w:tcPr>
            <w:tcW w:w="850" w:type="dxa"/>
            <w:tcBorders>
              <w:top w:val="single" w:sz="4" w:space="0" w:color="auto"/>
              <w:left w:val="nil"/>
              <w:bottom w:val="single" w:sz="8" w:space="0" w:color="auto"/>
              <w:right w:val="single" w:sz="4" w:space="0" w:color="auto"/>
            </w:tcBorders>
            <w:vAlign w:val="center"/>
            <w:hideMark/>
          </w:tcPr>
          <w:p w14:paraId="7B93EFB4"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C0110</w:t>
            </w:r>
          </w:p>
        </w:tc>
        <w:tc>
          <w:tcPr>
            <w:tcW w:w="1276" w:type="dxa"/>
            <w:tcBorders>
              <w:top w:val="single" w:sz="8" w:space="0" w:color="auto"/>
              <w:left w:val="nil"/>
              <w:bottom w:val="nil"/>
              <w:right w:val="single" w:sz="4" w:space="0" w:color="auto"/>
            </w:tcBorders>
            <w:shd w:val="clear" w:color="000000" w:fill="3D7AF5"/>
            <w:vAlign w:val="center"/>
            <w:hideMark/>
          </w:tcPr>
          <w:p w14:paraId="755FBD3B"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AML.04.01</w:t>
            </w:r>
          </w:p>
        </w:tc>
      </w:tr>
      <w:tr w:rsidR="00476609" w:rsidRPr="0051795D" w14:paraId="0BE614E8"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08D848CB"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val="restart"/>
            <w:tcBorders>
              <w:top w:val="nil"/>
              <w:left w:val="single" w:sz="4" w:space="0" w:color="auto"/>
              <w:bottom w:val="single" w:sz="8" w:space="0" w:color="000000"/>
              <w:right w:val="single" w:sz="4" w:space="0" w:color="auto"/>
            </w:tcBorders>
            <w:shd w:val="clear" w:color="000000" w:fill="3D7AF5"/>
            <w:vAlign w:val="center"/>
            <w:hideMark/>
          </w:tcPr>
          <w:p w14:paraId="6C6D541B"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Money Remittance</w:t>
            </w:r>
          </w:p>
        </w:tc>
        <w:tc>
          <w:tcPr>
            <w:tcW w:w="2308" w:type="dxa"/>
            <w:tcBorders>
              <w:top w:val="nil"/>
              <w:left w:val="nil"/>
              <w:bottom w:val="single" w:sz="4" w:space="0" w:color="auto"/>
              <w:right w:val="single" w:sz="4" w:space="0" w:color="auto"/>
            </w:tcBorders>
            <w:vAlign w:val="center"/>
            <w:hideMark/>
          </w:tcPr>
          <w:p w14:paraId="39409123"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Number of money remittance payments in the previous year (incoming)</w:t>
            </w:r>
          </w:p>
        </w:tc>
        <w:tc>
          <w:tcPr>
            <w:tcW w:w="2694" w:type="dxa"/>
            <w:tcBorders>
              <w:top w:val="nil"/>
              <w:left w:val="nil"/>
              <w:bottom w:val="nil"/>
              <w:right w:val="single" w:sz="4" w:space="0" w:color="auto"/>
            </w:tcBorders>
            <w:vAlign w:val="center"/>
            <w:hideMark/>
          </w:tcPr>
          <w:p w14:paraId="7D0CB2F8"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 xml:space="preserve">Money Remittance (Incoming) – Number </w:t>
            </w:r>
          </w:p>
        </w:tc>
        <w:tc>
          <w:tcPr>
            <w:tcW w:w="850" w:type="dxa"/>
            <w:tcBorders>
              <w:top w:val="single" w:sz="4" w:space="0" w:color="auto"/>
              <w:left w:val="nil"/>
              <w:bottom w:val="single" w:sz="4" w:space="0" w:color="auto"/>
              <w:right w:val="single" w:sz="4" w:space="0" w:color="auto"/>
            </w:tcBorders>
            <w:vAlign w:val="center"/>
            <w:hideMark/>
          </w:tcPr>
          <w:p w14:paraId="6B3ACA54"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C0010</w:t>
            </w:r>
          </w:p>
        </w:tc>
        <w:tc>
          <w:tcPr>
            <w:tcW w:w="1276" w:type="dxa"/>
            <w:tcBorders>
              <w:top w:val="single" w:sz="8" w:space="0" w:color="auto"/>
              <w:left w:val="nil"/>
              <w:bottom w:val="nil"/>
              <w:right w:val="single" w:sz="4" w:space="0" w:color="auto"/>
            </w:tcBorders>
            <w:shd w:val="clear" w:color="000000" w:fill="3D7AF5"/>
            <w:vAlign w:val="center"/>
            <w:hideMark/>
          </w:tcPr>
          <w:p w14:paraId="4970EAA2"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 xml:space="preserve">AML.04.02 </w:t>
            </w:r>
          </w:p>
        </w:tc>
      </w:tr>
      <w:tr w:rsidR="00476609" w:rsidRPr="0051795D" w14:paraId="16C71AD2"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14BCC9C6"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8" w:space="0" w:color="000000"/>
              <w:right w:val="single" w:sz="4" w:space="0" w:color="auto"/>
            </w:tcBorders>
            <w:vAlign w:val="center"/>
            <w:hideMark/>
          </w:tcPr>
          <w:p w14:paraId="29955AF7"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nil"/>
              <w:left w:val="nil"/>
              <w:bottom w:val="single" w:sz="4" w:space="0" w:color="auto"/>
              <w:right w:val="single" w:sz="4" w:space="0" w:color="auto"/>
            </w:tcBorders>
            <w:vAlign w:val="center"/>
            <w:hideMark/>
          </w:tcPr>
          <w:p w14:paraId="61CF8BBF"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Number of money remittance payments in the previous year (outgoing)</w:t>
            </w:r>
          </w:p>
        </w:tc>
        <w:tc>
          <w:tcPr>
            <w:tcW w:w="2694" w:type="dxa"/>
            <w:tcBorders>
              <w:top w:val="single" w:sz="4" w:space="0" w:color="auto"/>
              <w:left w:val="nil"/>
              <w:bottom w:val="nil"/>
              <w:right w:val="single" w:sz="4" w:space="0" w:color="auto"/>
            </w:tcBorders>
            <w:vAlign w:val="center"/>
            <w:hideMark/>
          </w:tcPr>
          <w:p w14:paraId="72310C4E"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 xml:space="preserve">Money Remittance (Outgoing) – Number </w:t>
            </w:r>
          </w:p>
        </w:tc>
        <w:tc>
          <w:tcPr>
            <w:tcW w:w="850" w:type="dxa"/>
            <w:tcBorders>
              <w:top w:val="nil"/>
              <w:left w:val="nil"/>
              <w:bottom w:val="single" w:sz="4" w:space="0" w:color="000000"/>
              <w:right w:val="single" w:sz="4" w:space="0" w:color="000000"/>
            </w:tcBorders>
            <w:vAlign w:val="center"/>
            <w:hideMark/>
          </w:tcPr>
          <w:p w14:paraId="5EB1F815"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C0020</w:t>
            </w:r>
          </w:p>
        </w:tc>
        <w:tc>
          <w:tcPr>
            <w:tcW w:w="1276" w:type="dxa"/>
            <w:tcBorders>
              <w:top w:val="single" w:sz="8" w:space="0" w:color="auto"/>
              <w:left w:val="nil"/>
              <w:bottom w:val="nil"/>
              <w:right w:val="single" w:sz="4" w:space="0" w:color="auto"/>
            </w:tcBorders>
            <w:shd w:val="clear" w:color="000000" w:fill="3D7AF5"/>
            <w:vAlign w:val="center"/>
            <w:hideMark/>
          </w:tcPr>
          <w:p w14:paraId="6C871F42"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 xml:space="preserve">AML.04.02 </w:t>
            </w:r>
          </w:p>
        </w:tc>
      </w:tr>
      <w:tr w:rsidR="00476609" w:rsidRPr="0051795D" w14:paraId="44AE50EA"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6F5C96DE"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8" w:space="0" w:color="000000"/>
              <w:right w:val="single" w:sz="4" w:space="0" w:color="auto"/>
            </w:tcBorders>
            <w:vAlign w:val="center"/>
            <w:hideMark/>
          </w:tcPr>
          <w:p w14:paraId="4E14C5C6"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nil"/>
              <w:left w:val="nil"/>
              <w:bottom w:val="single" w:sz="4" w:space="0" w:color="auto"/>
              <w:right w:val="single" w:sz="4" w:space="0" w:color="auto"/>
            </w:tcBorders>
            <w:vAlign w:val="center"/>
            <w:hideMark/>
          </w:tcPr>
          <w:p w14:paraId="0DF411FA"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Value (EUR) of remittance payments in the previous year (incoming)</w:t>
            </w:r>
          </w:p>
        </w:tc>
        <w:tc>
          <w:tcPr>
            <w:tcW w:w="2694" w:type="dxa"/>
            <w:tcBorders>
              <w:top w:val="single" w:sz="4" w:space="0" w:color="auto"/>
              <w:left w:val="nil"/>
              <w:bottom w:val="nil"/>
              <w:right w:val="single" w:sz="4" w:space="0" w:color="auto"/>
            </w:tcBorders>
            <w:vAlign w:val="center"/>
            <w:hideMark/>
          </w:tcPr>
          <w:p w14:paraId="67625D83"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Money Remittance (Incoming) - Value</w:t>
            </w:r>
          </w:p>
        </w:tc>
        <w:tc>
          <w:tcPr>
            <w:tcW w:w="850" w:type="dxa"/>
            <w:tcBorders>
              <w:top w:val="nil"/>
              <w:left w:val="nil"/>
              <w:bottom w:val="single" w:sz="4" w:space="0" w:color="000000"/>
              <w:right w:val="single" w:sz="4" w:space="0" w:color="000000"/>
            </w:tcBorders>
            <w:vAlign w:val="center"/>
            <w:hideMark/>
          </w:tcPr>
          <w:p w14:paraId="43AA658C"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C0030</w:t>
            </w:r>
          </w:p>
        </w:tc>
        <w:tc>
          <w:tcPr>
            <w:tcW w:w="1276" w:type="dxa"/>
            <w:tcBorders>
              <w:top w:val="single" w:sz="8" w:space="0" w:color="auto"/>
              <w:left w:val="nil"/>
              <w:bottom w:val="nil"/>
              <w:right w:val="single" w:sz="4" w:space="0" w:color="auto"/>
            </w:tcBorders>
            <w:shd w:val="clear" w:color="000000" w:fill="3D7AF5"/>
            <w:vAlign w:val="center"/>
            <w:hideMark/>
          </w:tcPr>
          <w:p w14:paraId="7B068878"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 xml:space="preserve">AML.04.02 </w:t>
            </w:r>
          </w:p>
        </w:tc>
      </w:tr>
      <w:tr w:rsidR="00476609" w:rsidRPr="0051795D" w14:paraId="607F5B31"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6E62FB72"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8" w:space="0" w:color="000000"/>
              <w:right w:val="single" w:sz="4" w:space="0" w:color="auto"/>
            </w:tcBorders>
            <w:vAlign w:val="center"/>
            <w:hideMark/>
          </w:tcPr>
          <w:p w14:paraId="66552778"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nil"/>
              <w:left w:val="nil"/>
              <w:bottom w:val="single" w:sz="4" w:space="0" w:color="auto"/>
              <w:right w:val="single" w:sz="4" w:space="0" w:color="auto"/>
            </w:tcBorders>
            <w:vAlign w:val="center"/>
            <w:hideMark/>
          </w:tcPr>
          <w:p w14:paraId="6BD80587" w14:textId="24ED63A0"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Value (EUR) of remittance payments in the previous year (outgoing)</w:t>
            </w:r>
          </w:p>
        </w:tc>
        <w:tc>
          <w:tcPr>
            <w:tcW w:w="2694" w:type="dxa"/>
            <w:tcBorders>
              <w:top w:val="single" w:sz="4" w:space="0" w:color="auto"/>
              <w:left w:val="nil"/>
              <w:bottom w:val="nil"/>
              <w:right w:val="single" w:sz="4" w:space="0" w:color="auto"/>
            </w:tcBorders>
            <w:vAlign w:val="center"/>
            <w:hideMark/>
          </w:tcPr>
          <w:p w14:paraId="5958EB33"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Money Remittance (Outgoing) - Value</w:t>
            </w:r>
          </w:p>
        </w:tc>
        <w:tc>
          <w:tcPr>
            <w:tcW w:w="850" w:type="dxa"/>
            <w:tcBorders>
              <w:top w:val="nil"/>
              <w:left w:val="nil"/>
              <w:bottom w:val="single" w:sz="4" w:space="0" w:color="000000"/>
              <w:right w:val="single" w:sz="4" w:space="0" w:color="000000"/>
            </w:tcBorders>
            <w:vAlign w:val="center"/>
            <w:hideMark/>
          </w:tcPr>
          <w:p w14:paraId="4343F7BE"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C0040</w:t>
            </w:r>
          </w:p>
        </w:tc>
        <w:tc>
          <w:tcPr>
            <w:tcW w:w="1276" w:type="dxa"/>
            <w:tcBorders>
              <w:top w:val="single" w:sz="8" w:space="0" w:color="auto"/>
              <w:left w:val="nil"/>
              <w:bottom w:val="nil"/>
              <w:right w:val="single" w:sz="4" w:space="0" w:color="auto"/>
            </w:tcBorders>
            <w:shd w:val="clear" w:color="000000" w:fill="3D7AF5"/>
            <w:vAlign w:val="center"/>
            <w:hideMark/>
          </w:tcPr>
          <w:p w14:paraId="2184034D"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 xml:space="preserve">AML.04.02 </w:t>
            </w:r>
          </w:p>
        </w:tc>
      </w:tr>
      <w:tr w:rsidR="00476609" w:rsidRPr="0051795D" w14:paraId="177462EC"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10DA45D0"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8" w:space="0" w:color="000000"/>
              <w:right w:val="single" w:sz="4" w:space="0" w:color="auto"/>
            </w:tcBorders>
            <w:vAlign w:val="center"/>
            <w:hideMark/>
          </w:tcPr>
          <w:p w14:paraId="20B4FC54"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nil"/>
              <w:left w:val="nil"/>
              <w:bottom w:val="single" w:sz="4" w:space="0" w:color="auto"/>
              <w:right w:val="single" w:sz="4" w:space="0" w:color="auto"/>
            </w:tcBorders>
            <w:vAlign w:val="center"/>
            <w:hideMark/>
          </w:tcPr>
          <w:p w14:paraId="5A40EC18"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Number of money remittance transactions above 1000 euro in the previous year (incoming)</w:t>
            </w:r>
          </w:p>
        </w:tc>
        <w:tc>
          <w:tcPr>
            <w:tcW w:w="2694" w:type="dxa"/>
            <w:tcBorders>
              <w:top w:val="single" w:sz="4" w:space="0" w:color="auto"/>
              <w:left w:val="nil"/>
              <w:bottom w:val="nil"/>
              <w:right w:val="single" w:sz="4" w:space="0" w:color="auto"/>
            </w:tcBorders>
            <w:vAlign w:val="center"/>
            <w:hideMark/>
          </w:tcPr>
          <w:p w14:paraId="07AE3CCC"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Money Remittance (Incoming) &gt; EUR 1000 - Number</w:t>
            </w:r>
          </w:p>
        </w:tc>
        <w:tc>
          <w:tcPr>
            <w:tcW w:w="850" w:type="dxa"/>
            <w:tcBorders>
              <w:top w:val="nil"/>
              <w:left w:val="nil"/>
              <w:bottom w:val="nil"/>
              <w:right w:val="single" w:sz="4" w:space="0" w:color="000000"/>
            </w:tcBorders>
            <w:vAlign w:val="center"/>
            <w:hideMark/>
          </w:tcPr>
          <w:p w14:paraId="425F1D0D"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C0050</w:t>
            </w:r>
          </w:p>
        </w:tc>
        <w:tc>
          <w:tcPr>
            <w:tcW w:w="1276" w:type="dxa"/>
            <w:tcBorders>
              <w:top w:val="single" w:sz="8" w:space="0" w:color="auto"/>
              <w:left w:val="nil"/>
              <w:bottom w:val="nil"/>
              <w:right w:val="single" w:sz="4" w:space="0" w:color="auto"/>
            </w:tcBorders>
            <w:shd w:val="clear" w:color="000000" w:fill="3D7AF5"/>
            <w:vAlign w:val="center"/>
            <w:hideMark/>
          </w:tcPr>
          <w:p w14:paraId="55EA4560"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 xml:space="preserve">AML.04.02 </w:t>
            </w:r>
          </w:p>
        </w:tc>
      </w:tr>
      <w:tr w:rsidR="00476609" w:rsidRPr="0051795D" w14:paraId="2BD70370"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6703B28D"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8" w:space="0" w:color="000000"/>
              <w:right w:val="single" w:sz="4" w:space="0" w:color="auto"/>
            </w:tcBorders>
            <w:vAlign w:val="center"/>
            <w:hideMark/>
          </w:tcPr>
          <w:p w14:paraId="13E5BB9E"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nil"/>
              <w:left w:val="nil"/>
              <w:bottom w:val="single" w:sz="8" w:space="0" w:color="auto"/>
              <w:right w:val="single" w:sz="4" w:space="0" w:color="auto"/>
            </w:tcBorders>
            <w:vAlign w:val="center"/>
            <w:hideMark/>
          </w:tcPr>
          <w:p w14:paraId="6F5B618E"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Number of money remittance transactions above 1000 euro in the previous year (outgoing)</w:t>
            </w:r>
          </w:p>
        </w:tc>
        <w:tc>
          <w:tcPr>
            <w:tcW w:w="2694" w:type="dxa"/>
            <w:tcBorders>
              <w:top w:val="single" w:sz="4" w:space="0" w:color="auto"/>
              <w:left w:val="nil"/>
              <w:bottom w:val="single" w:sz="8" w:space="0" w:color="auto"/>
              <w:right w:val="single" w:sz="4" w:space="0" w:color="auto"/>
            </w:tcBorders>
            <w:vAlign w:val="center"/>
            <w:hideMark/>
          </w:tcPr>
          <w:p w14:paraId="1FBA7787"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Money Remittance (Outgoing) &gt; EUR 1000 - Volume</w:t>
            </w:r>
          </w:p>
        </w:tc>
        <w:tc>
          <w:tcPr>
            <w:tcW w:w="850" w:type="dxa"/>
            <w:tcBorders>
              <w:top w:val="single" w:sz="4" w:space="0" w:color="auto"/>
              <w:left w:val="nil"/>
              <w:bottom w:val="single" w:sz="4" w:space="0" w:color="auto"/>
              <w:right w:val="single" w:sz="4" w:space="0" w:color="auto"/>
            </w:tcBorders>
            <w:vAlign w:val="center"/>
            <w:hideMark/>
          </w:tcPr>
          <w:p w14:paraId="4F884218"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C0060</w:t>
            </w:r>
          </w:p>
        </w:tc>
        <w:tc>
          <w:tcPr>
            <w:tcW w:w="1276" w:type="dxa"/>
            <w:tcBorders>
              <w:top w:val="single" w:sz="8" w:space="0" w:color="auto"/>
              <w:left w:val="nil"/>
              <w:bottom w:val="nil"/>
              <w:right w:val="single" w:sz="4" w:space="0" w:color="auto"/>
            </w:tcBorders>
            <w:shd w:val="clear" w:color="000000" w:fill="3D7AF5"/>
            <w:vAlign w:val="center"/>
            <w:hideMark/>
          </w:tcPr>
          <w:p w14:paraId="395C7A92"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 xml:space="preserve">AML.04.02 </w:t>
            </w:r>
          </w:p>
        </w:tc>
      </w:tr>
      <w:tr w:rsidR="00476609" w:rsidRPr="0051795D" w14:paraId="5DF765EB"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72ABB5B4"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val="restart"/>
            <w:tcBorders>
              <w:top w:val="nil"/>
              <w:left w:val="single" w:sz="4" w:space="0" w:color="auto"/>
              <w:bottom w:val="single" w:sz="8" w:space="0" w:color="000000"/>
              <w:right w:val="single" w:sz="4" w:space="0" w:color="auto"/>
            </w:tcBorders>
            <w:shd w:val="clear" w:color="000000" w:fill="3D7AF5"/>
            <w:vAlign w:val="center"/>
            <w:hideMark/>
          </w:tcPr>
          <w:p w14:paraId="4066A850"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Wealth Management</w:t>
            </w:r>
          </w:p>
        </w:tc>
        <w:tc>
          <w:tcPr>
            <w:tcW w:w="2308" w:type="dxa"/>
            <w:tcBorders>
              <w:top w:val="nil"/>
              <w:left w:val="nil"/>
              <w:bottom w:val="single" w:sz="4" w:space="0" w:color="auto"/>
              <w:right w:val="single" w:sz="4" w:space="0" w:color="auto"/>
            </w:tcBorders>
            <w:vAlign w:val="center"/>
            <w:hideMark/>
          </w:tcPr>
          <w:p w14:paraId="3D53CA86"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Number of customers (NP) with total assets under management over a value of at least EUR 5,000,000 AND with total assets over a value of at least EUR 50,000,000</w:t>
            </w:r>
          </w:p>
        </w:tc>
        <w:tc>
          <w:tcPr>
            <w:tcW w:w="2694" w:type="dxa"/>
            <w:tcBorders>
              <w:top w:val="nil"/>
              <w:left w:val="nil"/>
              <w:bottom w:val="nil"/>
              <w:right w:val="single" w:sz="4" w:space="0" w:color="auto"/>
            </w:tcBorders>
            <w:vAlign w:val="center"/>
            <w:hideMark/>
          </w:tcPr>
          <w:p w14:paraId="528D38C4"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Customers with AUM &gt;= EUR 5M and total assets &gt;= EUR 50M</w:t>
            </w:r>
          </w:p>
        </w:tc>
        <w:tc>
          <w:tcPr>
            <w:tcW w:w="850" w:type="dxa"/>
            <w:tcBorders>
              <w:top w:val="nil"/>
              <w:left w:val="nil"/>
              <w:bottom w:val="single" w:sz="4" w:space="0" w:color="auto"/>
              <w:right w:val="single" w:sz="4" w:space="0" w:color="auto"/>
            </w:tcBorders>
            <w:vAlign w:val="center"/>
            <w:hideMark/>
          </w:tcPr>
          <w:p w14:paraId="0EC798FD"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C0010</w:t>
            </w:r>
          </w:p>
        </w:tc>
        <w:tc>
          <w:tcPr>
            <w:tcW w:w="1276" w:type="dxa"/>
            <w:tcBorders>
              <w:top w:val="single" w:sz="8" w:space="0" w:color="auto"/>
              <w:left w:val="nil"/>
              <w:bottom w:val="nil"/>
              <w:right w:val="single" w:sz="4" w:space="0" w:color="auto"/>
            </w:tcBorders>
            <w:shd w:val="clear" w:color="000000" w:fill="3D7AF5"/>
            <w:vAlign w:val="center"/>
            <w:hideMark/>
          </w:tcPr>
          <w:p w14:paraId="1A44D6F6"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 xml:space="preserve">AML.04.03 </w:t>
            </w:r>
          </w:p>
        </w:tc>
      </w:tr>
      <w:tr w:rsidR="00476609" w:rsidRPr="0051795D" w14:paraId="3A0B30F6"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770DDE4E"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8" w:space="0" w:color="000000"/>
              <w:right w:val="single" w:sz="4" w:space="0" w:color="auto"/>
            </w:tcBorders>
            <w:vAlign w:val="center"/>
            <w:hideMark/>
          </w:tcPr>
          <w:p w14:paraId="6A1652CA"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nil"/>
              <w:left w:val="nil"/>
              <w:bottom w:val="single" w:sz="8" w:space="0" w:color="auto"/>
              <w:right w:val="single" w:sz="4" w:space="0" w:color="auto"/>
            </w:tcBorders>
            <w:vAlign w:val="center"/>
            <w:hideMark/>
          </w:tcPr>
          <w:p w14:paraId="75730458"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Number of customers (NP) that fall under the definition of private banking (EBA Risk Factor Guidelines)</w:t>
            </w:r>
          </w:p>
        </w:tc>
        <w:tc>
          <w:tcPr>
            <w:tcW w:w="2694" w:type="dxa"/>
            <w:tcBorders>
              <w:top w:val="single" w:sz="4" w:space="0" w:color="auto"/>
              <w:left w:val="nil"/>
              <w:bottom w:val="single" w:sz="8" w:space="0" w:color="auto"/>
              <w:right w:val="single" w:sz="4" w:space="0" w:color="auto"/>
            </w:tcBorders>
            <w:vAlign w:val="center"/>
            <w:hideMark/>
          </w:tcPr>
          <w:p w14:paraId="587A9290"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Private Banking Customers (EBA)</w:t>
            </w:r>
          </w:p>
        </w:tc>
        <w:tc>
          <w:tcPr>
            <w:tcW w:w="850" w:type="dxa"/>
            <w:tcBorders>
              <w:top w:val="nil"/>
              <w:left w:val="nil"/>
              <w:bottom w:val="single" w:sz="4" w:space="0" w:color="000000"/>
              <w:right w:val="single" w:sz="4" w:space="0" w:color="000000"/>
            </w:tcBorders>
            <w:vAlign w:val="center"/>
            <w:hideMark/>
          </w:tcPr>
          <w:p w14:paraId="71557C0C"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C0020</w:t>
            </w:r>
          </w:p>
        </w:tc>
        <w:tc>
          <w:tcPr>
            <w:tcW w:w="1276" w:type="dxa"/>
            <w:tcBorders>
              <w:top w:val="single" w:sz="8" w:space="0" w:color="auto"/>
              <w:left w:val="nil"/>
              <w:bottom w:val="nil"/>
              <w:right w:val="single" w:sz="4" w:space="0" w:color="auto"/>
            </w:tcBorders>
            <w:shd w:val="clear" w:color="000000" w:fill="3D7AF5"/>
            <w:vAlign w:val="center"/>
            <w:hideMark/>
          </w:tcPr>
          <w:p w14:paraId="7784BB1D"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 xml:space="preserve">AML.04.03 </w:t>
            </w:r>
          </w:p>
        </w:tc>
      </w:tr>
      <w:tr w:rsidR="00476609" w:rsidRPr="0051795D" w14:paraId="7A07128A"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5A6216B8"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val="restart"/>
            <w:tcBorders>
              <w:top w:val="nil"/>
              <w:left w:val="single" w:sz="4" w:space="0" w:color="auto"/>
              <w:bottom w:val="single" w:sz="8" w:space="0" w:color="000000"/>
              <w:right w:val="single" w:sz="4" w:space="0" w:color="auto"/>
            </w:tcBorders>
            <w:shd w:val="clear" w:color="000000" w:fill="3D7AF5"/>
            <w:vAlign w:val="center"/>
            <w:hideMark/>
          </w:tcPr>
          <w:p w14:paraId="000E8A62"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 xml:space="preserve">Correspondent services </w:t>
            </w:r>
          </w:p>
        </w:tc>
        <w:tc>
          <w:tcPr>
            <w:tcW w:w="2308" w:type="dxa"/>
            <w:tcBorders>
              <w:top w:val="nil"/>
              <w:left w:val="nil"/>
              <w:bottom w:val="single" w:sz="4" w:space="0" w:color="auto"/>
              <w:right w:val="single" w:sz="4" w:space="0" w:color="auto"/>
            </w:tcBorders>
            <w:vAlign w:val="center"/>
            <w:hideMark/>
          </w:tcPr>
          <w:p w14:paraId="48DF768A"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Value (EUR) of transactions executed on behalf of the respondent client in the previous year (incoming)</w:t>
            </w:r>
          </w:p>
        </w:tc>
        <w:tc>
          <w:tcPr>
            <w:tcW w:w="2694" w:type="dxa"/>
            <w:tcBorders>
              <w:top w:val="nil"/>
              <w:left w:val="nil"/>
              <w:bottom w:val="single" w:sz="4" w:space="0" w:color="auto"/>
              <w:right w:val="single" w:sz="4" w:space="0" w:color="auto"/>
            </w:tcBorders>
            <w:vAlign w:val="center"/>
            <w:hideMark/>
          </w:tcPr>
          <w:p w14:paraId="3FD37B07"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Respondent Client Transactions (Incoming) - Value</w:t>
            </w:r>
          </w:p>
        </w:tc>
        <w:tc>
          <w:tcPr>
            <w:tcW w:w="850" w:type="dxa"/>
            <w:tcBorders>
              <w:top w:val="nil"/>
              <w:left w:val="nil"/>
              <w:bottom w:val="single" w:sz="4" w:space="0" w:color="auto"/>
              <w:right w:val="single" w:sz="4" w:space="0" w:color="auto"/>
            </w:tcBorders>
            <w:vAlign w:val="center"/>
            <w:hideMark/>
          </w:tcPr>
          <w:p w14:paraId="2F239C6D"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C0010</w:t>
            </w:r>
          </w:p>
        </w:tc>
        <w:tc>
          <w:tcPr>
            <w:tcW w:w="1276" w:type="dxa"/>
            <w:tcBorders>
              <w:top w:val="single" w:sz="8" w:space="0" w:color="auto"/>
              <w:left w:val="nil"/>
              <w:bottom w:val="single" w:sz="4" w:space="0" w:color="auto"/>
              <w:right w:val="single" w:sz="4" w:space="0" w:color="auto"/>
            </w:tcBorders>
            <w:shd w:val="clear" w:color="000000" w:fill="3D7AF5"/>
            <w:vAlign w:val="center"/>
            <w:hideMark/>
          </w:tcPr>
          <w:p w14:paraId="0434D61F"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 xml:space="preserve">AML.04.04 </w:t>
            </w:r>
          </w:p>
        </w:tc>
      </w:tr>
      <w:tr w:rsidR="00476609" w:rsidRPr="0051795D" w14:paraId="5C0BC744"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7C5F2992"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8" w:space="0" w:color="000000"/>
              <w:right w:val="single" w:sz="4" w:space="0" w:color="auto"/>
            </w:tcBorders>
            <w:vAlign w:val="center"/>
            <w:hideMark/>
          </w:tcPr>
          <w:p w14:paraId="69CAC68A"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nil"/>
              <w:left w:val="nil"/>
              <w:bottom w:val="single" w:sz="4" w:space="0" w:color="auto"/>
              <w:right w:val="single" w:sz="4" w:space="0" w:color="auto"/>
            </w:tcBorders>
            <w:vAlign w:val="center"/>
            <w:hideMark/>
          </w:tcPr>
          <w:p w14:paraId="232F89C1"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Value (EUR) of transactions executed on behalf of the respondent client in the previous year (outgoing)</w:t>
            </w:r>
          </w:p>
        </w:tc>
        <w:tc>
          <w:tcPr>
            <w:tcW w:w="2694" w:type="dxa"/>
            <w:tcBorders>
              <w:top w:val="nil"/>
              <w:left w:val="nil"/>
              <w:bottom w:val="single" w:sz="4" w:space="0" w:color="auto"/>
              <w:right w:val="single" w:sz="4" w:space="0" w:color="auto"/>
            </w:tcBorders>
            <w:vAlign w:val="center"/>
            <w:hideMark/>
          </w:tcPr>
          <w:p w14:paraId="71C480FC"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Respondent Client Transactions (Outgoing) - Value</w:t>
            </w:r>
          </w:p>
        </w:tc>
        <w:tc>
          <w:tcPr>
            <w:tcW w:w="850" w:type="dxa"/>
            <w:tcBorders>
              <w:top w:val="nil"/>
              <w:left w:val="nil"/>
              <w:bottom w:val="single" w:sz="4" w:space="0" w:color="000000"/>
              <w:right w:val="single" w:sz="4" w:space="0" w:color="000000"/>
            </w:tcBorders>
            <w:vAlign w:val="center"/>
            <w:hideMark/>
          </w:tcPr>
          <w:p w14:paraId="1A953584"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C0020</w:t>
            </w:r>
          </w:p>
        </w:tc>
        <w:tc>
          <w:tcPr>
            <w:tcW w:w="1276" w:type="dxa"/>
            <w:tcBorders>
              <w:top w:val="single" w:sz="8" w:space="0" w:color="auto"/>
              <w:left w:val="nil"/>
              <w:bottom w:val="single" w:sz="4" w:space="0" w:color="auto"/>
              <w:right w:val="single" w:sz="4" w:space="0" w:color="auto"/>
            </w:tcBorders>
            <w:shd w:val="clear" w:color="000000" w:fill="3D7AF5"/>
            <w:vAlign w:val="center"/>
            <w:hideMark/>
          </w:tcPr>
          <w:p w14:paraId="6932C711"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 xml:space="preserve">AML.04.04 </w:t>
            </w:r>
          </w:p>
        </w:tc>
      </w:tr>
      <w:tr w:rsidR="00476609" w:rsidRPr="0051795D" w14:paraId="3DB58D0C"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4AE871B7"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8" w:space="0" w:color="000000"/>
              <w:right w:val="single" w:sz="4" w:space="0" w:color="auto"/>
            </w:tcBorders>
            <w:vAlign w:val="center"/>
            <w:hideMark/>
          </w:tcPr>
          <w:p w14:paraId="525F568A"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nil"/>
              <w:left w:val="nil"/>
              <w:bottom w:val="single" w:sz="4" w:space="0" w:color="auto"/>
              <w:right w:val="single" w:sz="4" w:space="0" w:color="auto"/>
            </w:tcBorders>
            <w:vAlign w:val="center"/>
            <w:hideMark/>
          </w:tcPr>
          <w:p w14:paraId="2E87DCE7"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Value (EUR) of transactions going through payable through accounts in the previous year (incoming)</w:t>
            </w:r>
          </w:p>
        </w:tc>
        <w:tc>
          <w:tcPr>
            <w:tcW w:w="2694" w:type="dxa"/>
            <w:tcBorders>
              <w:top w:val="nil"/>
              <w:left w:val="nil"/>
              <w:bottom w:val="single" w:sz="4" w:space="0" w:color="auto"/>
              <w:right w:val="single" w:sz="4" w:space="0" w:color="auto"/>
            </w:tcBorders>
            <w:vAlign w:val="center"/>
            <w:hideMark/>
          </w:tcPr>
          <w:p w14:paraId="2D324B8E"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Payable Through Accounts (Incoming) - Value</w:t>
            </w:r>
          </w:p>
        </w:tc>
        <w:tc>
          <w:tcPr>
            <w:tcW w:w="850" w:type="dxa"/>
            <w:tcBorders>
              <w:top w:val="nil"/>
              <w:left w:val="nil"/>
              <w:bottom w:val="single" w:sz="4" w:space="0" w:color="000000"/>
              <w:right w:val="single" w:sz="4" w:space="0" w:color="000000"/>
            </w:tcBorders>
            <w:vAlign w:val="center"/>
            <w:hideMark/>
          </w:tcPr>
          <w:p w14:paraId="7D8964EB"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C0030</w:t>
            </w:r>
          </w:p>
        </w:tc>
        <w:tc>
          <w:tcPr>
            <w:tcW w:w="1276" w:type="dxa"/>
            <w:tcBorders>
              <w:top w:val="single" w:sz="8" w:space="0" w:color="auto"/>
              <w:left w:val="nil"/>
              <w:bottom w:val="single" w:sz="4" w:space="0" w:color="auto"/>
              <w:right w:val="single" w:sz="4" w:space="0" w:color="auto"/>
            </w:tcBorders>
            <w:shd w:val="clear" w:color="000000" w:fill="3D7AF5"/>
            <w:vAlign w:val="center"/>
            <w:hideMark/>
          </w:tcPr>
          <w:p w14:paraId="1AF17F83"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 xml:space="preserve">AML.04.04 </w:t>
            </w:r>
          </w:p>
        </w:tc>
      </w:tr>
      <w:tr w:rsidR="00476609" w:rsidRPr="0051795D" w14:paraId="4B263FA3"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78F0D1A2"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8" w:space="0" w:color="000000"/>
              <w:right w:val="single" w:sz="4" w:space="0" w:color="auto"/>
            </w:tcBorders>
            <w:vAlign w:val="center"/>
            <w:hideMark/>
          </w:tcPr>
          <w:p w14:paraId="49A7309B"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nil"/>
              <w:left w:val="nil"/>
              <w:bottom w:val="single" w:sz="4" w:space="0" w:color="auto"/>
              <w:right w:val="single" w:sz="4" w:space="0" w:color="auto"/>
            </w:tcBorders>
            <w:vAlign w:val="center"/>
            <w:hideMark/>
          </w:tcPr>
          <w:p w14:paraId="2E0094C8"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Value (EUR) of transactions going through payable through accounts in the previous year (outgoing)</w:t>
            </w:r>
          </w:p>
        </w:tc>
        <w:tc>
          <w:tcPr>
            <w:tcW w:w="2694" w:type="dxa"/>
            <w:tcBorders>
              <w:top w:val="nil"/>
              <w:left w:val="nil"/>
              <w:bottom w:val="single" w:sz="4" w:space="0" w:color="auto"/>
              <w:right w:val="single" w:sz="4" w:space="0" w:color="auto"/>
            </w:tcBorders>
            <w:vAlign w:val="center"/>
            <w:hideMark/>
          </w:tcPr>
          <w:p w14:paraId="67589AC4"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Payable Through Accounts (Outgoing) - Value</w:t>
            </w:r>
          </w:p>
        </w:tc>
        <w:tc>
          <w:tcPr>
            <w:tcW w:w="850" w:type="dxa"/>
            <w:tcBorders>
              <w:top w:val="nil"/>
              <w:left w:val="nil"/>
              <w:bottom w:val="single" w:sz="4" w:space="0" w:color="000000"/>
              <w:right w:val="single" w:sz="4" w:space="0" w:color="000000"/>
            </w:tcBorders>
            <w:vAlign w:val="center"/>
            <w:hideMark/>
          </w:tcPr>
          <w:p w14:paraId="4D363070"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C0040</w:t>
            </w:r>
          </w:p>
        </w:tc>
        <w:tc>
          <w:tcPr>
            <w:tcW w:w="1276" w:type="dxa"/>
            <w:tcBorders>
              <w:top w:val="single" w:sz="8" w:space="0" w:color="auto"/>
              <w:left w:val="nil"/>
              <w:bottom w:val="single" w:sz="4" w:space="0" w:color="auto"/>
              <w:right w:val="single" w:sz="4" w:space="0" w:color="auto"/>
            </w:tcBorders>
            <w:shd w:val="clear" w:color="000000" w:fill="3D7AF5"/>
            <w:vAlign w:val="center"/>
            <w:hideMark/>
          </w:tcPr>
          <w:p w14:paraId="32ED0D5C"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 xml:space="preserve">AML.04.04 </w:t>
            </w:r>
          </w:p>
        </w:tc>
      </w:tr>
      <w:tr w:rsidR="00476609" w:rsidRPr="0051795D" w14:paraId="35AA6347"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1564396B"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8" w:space="0" w:color="000000"/>
              <w:right w:val="single" w:sz="4" w:space="0" w:color="auto"/>
            </w:tcBorders>
            <w:vAlign w:val="center"/>
            <w:hideMark/>
          </w:tcPr>
          <w:p w14:paraId="40FB723F"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nil"/>
              <w:left w:val="nil"/>
              <w:bottom w:val="single" w:sz="4" w:space="0" w:color="auto"/>
              <w:right w:val="single" w:sz="4" w:space="0" w:color="auto"/>
            </w:tcBorders>
            <w:vAlign w:val="center"/>
            <w:hideMark/>
          </w:tcPr>
          <w:p w14:paraId="095AB375"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Value (EUR) of transactions going trough nested accounts in the previous year (incoming)</w:t>
            </w:r>
          </w:p>
        </w:tc>
        <w:tc>
          <w:tcPr>
            <w:tcW w:w="2694" w:type="dxa"/>
            <w:tcBorders>
              <w:top w:val="nil"/>
              <w:left w:val="nil"/>
              <w:bottom w:val="single" w:sz="4" w:space="0" w:color="auto"/>
              <w:right w:val="single" w:sz="4" w:space="0" w:color="auto"/>
            </w:tcBorders>
            <w:vAlign w:val="center"/>
            <w:hideMark/>
          </w:tcPr>
          <w:p w14:paraId="77A33770"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Nested Accounts (Incoming) - Value</w:t>
            </w:r>
          </w:p>
        </w:tc>
        <w:tc>
          <w:tcPr>
            <w:tcW w:w="850" w:type="dxa"/>
            <w:tcBorders>
              <w:top w:val="nil"/>
              <w:left w:val="nil"/>
              <w:bottom w:val="nil"/>
              <w:right w:val="single" w:sz="4" w:space="0" w:color="000000"/>
            </w:tcBorders>
            <w:vAlign w:val="center"/>
            <w:hideMark/>
          </w:tcPr>
          <w:p w14:paraId="4B92BCC5"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C0050</w:t>
            </w:r>
          </w:p>
        </w:tc>
        <w:tc>
          <w:tcPr>
            <w:tcW w:w="1276" w:type="dxa"/>
            <w:tcBorders>
              <w:top w:val="single" w:sz="8" w:space="0" w:color="auto"/>
              <w:left w:val="nil"/>
              <w:bottom w:val="single" w:sz="4" w:space="0" w:color="auto"/>
              <w:right w:val="single" w:sz="4" w:space="0" w:color="auto"/>
            </w:tcBorders>
            <w:shd w:val="clear" w:color="000000" w:fill="3D7AF5"/>
            <w:vAlign w:val="center"/>
            <w:hideMark/>
          </w:tcPr>
          <w:p w14:paraId="5760BFC9"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 xml:space="preserve">AML.04.04 </w:t>
            </w:r>
          </w:p>
        </w:tc>
      </w:tr>
      <w:tr w:rsidR="00476609" w:rsidRPr="0051795D" w14:paraId="045279D8"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64AF6BCA"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8" w:space="0" w:color="000000"/>
              <w:right w:val="single" w:sz="4" w:space="0" w:color="auto"/>
            </w:tcBorders>
            <w:vAlign w:val="center"/>
            <w:hideMark/>
          </w:tcPr>
          <w:p w14:paraId="38C70BC9"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nil"/>
              <w:left w:val="nil"/>
              <w:bottom w:val="single" w:sz="8" w:space="0" w:color="auto"/>
              <w:right w:val="single" w:sz="4" w:space="0" w:color="auto"/>
            </w:tcBorders>
            <w:vAlign w:val="center"/>
            <w:hideMark/>
          </w:tcPr>
          <w:p w14:paraId="471BEAF9"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Value (EUR) of transactions going trough nested accounts in the previous year (outgoing)</w:t>
            </w:r>
          </w:p>
        </w:tc>
        <w:tc>
          <w:tcPr>
            <w:tcW w:w="2694" w:type="dxa"/>
            <w:tcBorders>
              <w:top w:val="nil"/>
              <w:left w:val="nil"/>
              <w:bottom w:val="single" w:sz="8" w:space="0" w:color="auto"/>
              <w:right w:val="single" w:sz="4" w:space="0" w:color="auto"/>
            </w:tcBorders>
            <w:vAlign w:val="center"/>
            <w:hideMark/>
          </w:tcPr>
          <w:p w14:paraId="15121AD7"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Nested Accounts (Outgoing) - Value</w:t>
            </w:r>
          </w:p>
        </w:tc>
        <w:tc>
          <w:tcPr>
            <w:tcW w:w="850" w:type="dxa"/>
            <w:tcBorders>
              <w:top w:val="single" w:sz="4" w:space="0" w:color="auto"/>
              <w:left w:val="nil"/>
              <w:bottom w:val="single" w:sz="4" w:space="0" w:color="auto"/>
              <w:right w:val="single" w:sz="4" w:space="0" w:color="auto"/>
            </w:tcBorders>
            <w:vAlign w:val="center"/>
            <w:hideMark/>
          </w:tcPr>
          <w:p w14:paraId="729C6F69"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C0060</w:t>
            </w:r>
          </w:p>
        </w:tc>
        <w:tc>
          <w:tcPr>
            <w:tcW w:w="1276" w:type="dxa"/>
            <w:tcBorders>
              <w:top w:val="single" w:sz="8" w:space="0" w:color="auto"/>
              <w:left w:val="nil"/>
              <w:bottom w:val="single" w:sz="4" w:space="0" w:color="auto"/>
              <w:right w:val="single" w:sz="4" w:space="0" w:color="auto"/>
            </w:tcBorders>
            <w:shd w:val="clear" w:color="000000" w:fill="3D7AF5"/>
            <w:vAlign w:val="center"/>
            <w:hideMark/>
          </w:tcPr>
          <w:p w14:paraId="766B1005"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 xml:space="preserve">AML.04.04 </w:t>
            </w:r>
          </w:p>
        </w:tc>
      </w:tr>
      <w:tr w:rsidR="00476609" w:rsidRPr="0051795D" w14:paraId="196ADA41"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6B1907D7"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val="restart"/>
            <w:tcBorders>
              <w:top w:val="nil"/>
              <w:left w:val="single" w:sz="4" w:space="0" w:color="auto"/>
              <w:bottom w:val="single" w:sz="8" w:space="0" w:color="000000"/>
              <w:right w:val="single" w:sz="4" w:space="0" w:color="auto"/>
            </w:tcBorders>
            <w:shd w:val="clear" w:color="000000" w:fill="3D7AF5"/>
            <w:vAlign w:val="center"/>
            <w:hideMark/>
          </w:tcPr>
          <w:p w14:paraId="3A4EC209"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 xml:space="preserve">Trade finance </w:t>
            </w:r>
          </w:p>
        </w:tc>
        <w:tc>
          <w:tcPr>
            <w:tcW w:w="2308" w:type="dxa"/>
            <w:tcBorders>
              <w:top w:val="nil"/>
              <w:left w:val="nil"/>
              <w:bottom w:val="single" w:sz="4" w:space="0" w:color="auto"/>
              <w:right w:val="single" w:sz="4" w:space="0" w:color="auto"/>
            </w:tcBorders>
            <w:vAlign w:val="center"/>
            <w:hideMark/>
          </w:tcPr>
          <w:p w14:paraId="7A76A1B7"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Number of trade finance customers</w:t>
            </w:r>
          </w:p>
        </w:tc>
        <w:tc>
          <w:tcPr>
            <w:tcW w:w="2694" w:type="dxa"/>
            <w:tcBorders>
              <w:top w:val="nil"/>
              <w:left w:val="nil"/>
              <w:bottom w:val="single" w:sz="4" w:space="0" w:color="auto"/>
              <w:right w:val="single" w:sz="4" w:space="0" w:color="auto"/>
            </w:tcBorders>
            <w:vAlign w:val="center"/>
            <w:hideMark/>
          </w:tcPr>
          <w:p w14:paraId="3426F081"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Trade Finance Customers</w:t>
            </w:r>
          </w:p>
        </w:tc>
        <w:tc>
          <w:tcPr>
            <w:tcW w:w="850" w:type="dxa"/>
            <w:tcBorders>
              <w:top w:val="nil"/>
              <w:left w:val="nil"/>
              <w:bottom w:val="single" w:sz="4" w:space="0" w:color="auto"/>
              <w:right w:val="single" w:sz="4" w:space="0" w:color="auto"/>
            </w:tcBorders>
            <w:vAlign w:val="center"/>
            <w:hideMark/>
          </w:tcPr>
          <w:p w14:paraId="54E544A0"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C0010</w:t>
            </w:r>
          </w:p>
        </w:tc>
        <w:tc>
          <w:tcPr>
            <w:tcW w:w="1276" w:type="dxa"/>
            <w:tcBorders>
              <w:top w:val="single" w:sz="8" w:space="0" w:color="auto"/>
              <w:left w:val="nil"/>
              <w:bottom w:val="single" w:sz="4" w:space="0" w:color="auto"/>
              <w:right w:val="single" w:sz="4" w:space="0" w:color="auto"/>
            </w:tcBorders>
            <w:shd w:val="clear" w:color="000000" w:fill="3D7AF5"/>
            <w:vAlign w:val="center"/>
            <w:hideMark/>
          </w:tcPr>
          <w:p w14:paraId="7A869E11"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 xml:space="preserve">AML.04.05 </w:t>
            </w:r>
          </w:p>
        </w:tc>
      </w:tr>
      <w:tr w:rsidR="00476609" w:rsidRPr="0051795D" w14:paraId="17EC1110"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3343AEA1"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8" w:space="0" w:color="000000"/>
              <w:right w:val="single" w:sz="4" w:space="0" w:color="auto"/>
            </w:tcBorders>
            <w:vAlign w:val="center"/>
            <w:hideMark/>
          </w:tcPr>
          <w:p w14:paraId="468F271C"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nil"/>
              <w:left w:val="nil"/>
              <w:bottom w:val="single" w:sz="4" w:space="0" w:color="auto"/>
              <w:right w:val="single" w:sz="4" w:space="0" w:color="auto"/>
            </w:tcBorders>
            <w:vAlign w:val="center"/>
            <w:hideMark/>
          </w:tcPr>
          <w:p w14:paraId="7CDC4817"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Number of trade finance transactions in the previous year (incoming)</w:t>
            </w:r>
          </w:p>
        </w:tc>
        <w:tc>
          <w:tcPr>
            <w:tcW w:w="2694" w:type="dxa"/>
            <w:tcBorders>
              <w:top w:val="nil"/>
              <w:left w:val="nil"/>
              <w:bottom w:val="single" w:sz="4" w:space="0" w:color="auto"/>
              <w:right w:val="single" w:sz="4" w:space="0" w:color="auto"/>
            </w:tcBorders>
            <w:vAlign w:val="center"/>
            <w:hideMark/>
          </w:tcPr>
          <w:p w14:paraId="29C6A247"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Trade Finance Transactions (Incoming) - Number</w:t>
            </w:r>
          </w:p>
        </w:tc>
        <w:tc>
          <w:tcPr>
            <w:tcW w:w="850" w:type="dxa"/>
            <w:tcBorders>
              <w:top w:val="nil"/>
              <w:left w:val="nil"/>
              <w:bottom w:val="single" w:sz="4" w:space="0" w:color="000000"/>
              <w:right w:val="single" w:sz="4" w:space="0" w:color="000000"/>
            </w:tcBorders>
            <w:vAlign w:val="center"/>
            <w:hideMark/>
          </w:tcPr>
          <w:p w14:paraId="444C4473"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C0020</w:t>
            </w:r>
          </w:p>
        </w:tc>
        <w:tc>
          <w:tcPr>
            <w:tcW w:w="1276" w:type="dxa"/>
            <w:tcBorders>
              <w:top w:val="single" w:sz="8" w:space="0" w:color="auto"/>
              <w:left w:val="nil"/>
              <w:bottom w:val="single" w:sz="4" w:space="0" w:color="auto"/>
              <w:right w:val="single" w:sz="4" w:space="0" w:color="auto"/>
            </w:tcBorders>
            <w:shd w:val="clear" w:color="000000" w:fill="3D7AF5"/>
            <w:vAlign w:val="center"/>
            <w:hideMark/>
          </w:tcPr>
          <w:p w14:paraId="3CEAD4A2"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 xml:space="preserve">AML.04.05 </w:t>
            </w:r>
          </w:p>
        </w:tc>
      </w:tr>
      <w:tr w:rsidR="00476609" w:rsidRPr="0051795D" w14:paraId="03F5DF5F"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56574DDB"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8" w:space="0" w:color="000000"/>
              <w:right w:val="single" w:sz="4" w:space="0" w:color="auto"/>
            </w:tcBorders>
            <w:vAlign w:val="center"/>
            <w:hideMark/>
          </w:tcPr>
          <w:p w14:paraId="6E52A97E"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nil"/>
              <w:left w:val="nil"/>
              <w:bottom w:val="single" w:sz="4" w:space="0" w:color="auto"/>
              <w:right w:val="single" w:sz="4" w:space="0" w:color="auto"/>
            </w:tcBorders>
            <w:vAlign w:val="center"/>
            <w:hideMark/>
          </w:tcPr>
          <w:p w14:paraId="743D25EE"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Number of trade finance transactions in the previous year (outgoing)</w:t>
            </w:r>
          </w:p>
        </w:tc>
        <w:tc>
          <w:tcPr>
            <w:tcW w:w="2694" w:type="dxa"/>
            <w:tcBorders>
              <w:top w:val="nil"/>
              <w:left w:val="nil"/>
              <w:bottom w:val="single" w:sz="4" w:space="0" w:color="auto"/>
              <w:right w:val="single" w:sz="4" w:space="0" w:color="auto"/>
            </w:tcBorders>
            <w:vAlign w:val="center"/>
            <w:hideMark/>
          </w:tcPr>
          <w:p w14:paraId="68E50FAC"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Trade Finance Transactions (Outgoing) - Number</w:t>
            </w:r>
          </w:p>
        </w:tc>
        <w:tc>
          <w:tcPr>
            <w:tcW w:w="850" w:type="dxa"/>
            <w:tcBorders>
              <w:top w:val="nil"/>
              <w:left w:val="nil"/>
              <w:bottom w:val="single" w:sz="4" w:space="0" w:color="000000"/>
              <w:right w:val="single" w:sz="4" w:space="0" w:color="000000"/>
            </w:tcBorders>
            <w:vAlign w:val="center"/>
            <w:hideMark/>
          </w:tcPr>
          <w:p w14:paraId="36972F33"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C0030</w:t>
            </w:r>
          </w:p>
        </w:tc>
        <w:tc>
          <w:tcPr>
            <w:tcW w:w="1276" w:type="dxa"/>
            <w:tcBorders>
              <w:top w:val="single" w:sz="8" w:space="0" w:color="auto"/>
              <w:left w:val="nil"/>
              <w:bottom w:val="single" w:sz="4" w:space="0" w:color="auto"/>
              <w:right w:val="single" w:sz="4" w:space="0" w:color="auto"/>
            </w:tcBorders>
            <w:shd w:val="clear" w:color="000000" w:fill="3D7AF5"/>
            <w:vAlign w:val="center"/>
            <w:hideMark/>
          </w:tcPr>
          <w:p w14:paraId="60FA78B7"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 xml:space="preserve">AML.04.05 </w:t>
            </w:r>
          </w:p>
        </w:tc>
      </w:tr>
      <w:tr w:rsidR="00476609" w:rsidRPr="0051795D" w14:paraId="792ACD88"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0A86FFA7"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8" w:space="0" w:color="000000"/>
              <w:right w:val="single" w:sz="4" w:space="0" w:color="auto"/>
            </w:tcBorders>
            <w:vAlign w:val="center"/>
            <w:hideMark/>
          </w:tcPr>
          <w:p w14:paraId="780A6FB9"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nil"/>
              <w:left w:val="nil"/>
              <w:bottom w:val="single" w:sz="4" w:space="0" w:color="auto"/>
              <w:right w:val="single" w:sz="4" w:space="0" w:color="auto"/>
            </w:tcBorders>
            <w:vAlign w:val="center"/>
            <w:hideMark/>
          </w:tcPr>
          <w:p w14:paraId="436D060A"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Value (EUR) of trade finance transactions in the previous year (incoming)</w:t>
            </w:r>
          </w:p>
        </w:tc>
        <w:tc>
          <w:tcPr>
            <w:tcW w:w="2694" w:type="dxa"/>
            <w:tcBorders>
              <w:top w:val="nil"/>
              <w:left w:val="nil"/>
              <w:bottom w:val="single" w:sz="4" w:space="0" w:color="auto"/>
              <w:right w:val="single" w:sz="4" w:space="0" w:color="auto"/>
            </w:tcBorders>
            <w:vAlign w:val="center"/>
            <w:hideMark/>
          </w:tcPr>
          <w:p w14:paraId="488D94F5"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Trade Finance Transactions (Incoming) - Value</w:t>
            </w:r>
          </w:p>
        </w:tc>
        <w:tc>
          <w:tcPr>
            <w:tcW w:w="850" w:type="dxa"/>
            <w:tcBorders>
              <w:top w:val="nil"/>
              <w:left w:val="nil"/>
              <w:bottom w:val="single" w:sz="4" w:space="0" w:color="000000"/>
              <w:right w:val="single" w:sz="4" w:space="0" w:color="000000"/>
            </w:tcBorders>
            <w:vAlign w:val="center"/>
            <w:hideMark/>
          </w:tcPr>
          <w:p w14:paraId="7A986759"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C0040</w:t>
            </w:r>
          </w:p>
        </w:tc>
        <w:tc>
          <w:tcPr>
            <w:tcW w:w="1276" w:type="dxa"/>
            <w:tcBorders>
              <w:top w:val="single" w:sz="8" w:space="0" w:color="auto"/>
              <w:left w:val="nil"/>
              <w:bottom w:val="single" w:sz="4" w:space="0" w:color="auto"/>
              <w:right w:val="single" w:sz="4" w:space="0" w:color="auto"/>
            </w:tcBorders>
            <w:shd w:val="clear" w:color="000000" w:fill="3D7AF5"/>
            <w:vAlign w:val="center"/>
            <w:hideMark/>
          </w:tcPr>
          <w:p w14:paraId="43C1B432"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 xml:space="preserve">AML.04.05 </w:t>
            </w:r>
          </w:p>
        </w:tc>
      </w:tr>
      <w:tr w:rsidR="00476609" w:rsidRPr="0051795D" w14:paraId="46EACFDD"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7A1BE5C5"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8" w:space="0" w:color="000000"/>
              <w:right w:val="single" w:sz="4" w:space="0" w:color="auto"/>
            </w:tcBorders>
            <w:vAlign w:val="center"/>
            <w:hideMark/>
          </w:tcPr>
          <w:p w14:paraId="1B4AB114"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nil"/>
              <w:left w:val="nil"/>
              <w:bottom w:val="single" w:sz="8" w:space="0" w:color="auto"/>
              <w:right w:val="single" w:sz="4" w:space="0" w:color="auto"/>
            </w:tcBorders>
            <w:vAlign w:val="center"/>
            <w:hideMark/>
          </w:tcPr>
          <w:p w14:paraId="1B77FF25" w14:textId="07425240"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Value (EUR) of trade finance transactions in the previous year (outgoing)</w:t>
            </w:r>
          </w:p>
        </w:tc>
        <w:tc>
          <w:tcPr>
            <w:tcW w:w="2694" w:type="dxa"/>
            <w:tcBorders>
              <w:top w:val="nil"/>
              <w:left w:val="nil"/>
              <w:bottom w:val="single" w:sz="8" w:space="0" w:color="auto"/>
              <w:right w:val="single" w:sz="4" w:space="0" w:color="auto"/>
            </w:tcBorders>
            <w:vAlign w:val="center"/>
            <w:hideMark/>
          </w:tcPr>
          <w:p w14:paraId="6583EEBA"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Trade Finance Transactions (Outgoing) - Value</w:t>
            </w:r>
          </w:p>
        </w:tc>
        <w:tc>
          <w:tcPr>
            <w:tcW w:w="850" w:type="dxa"/>
            <w:tcBorders>
              <w:top w:val="nil"/>
              <w:left w:val="nil"/>
              <w:bottom w:val="nil"/>
              <w:right w:val="single" w:sz="4" w:space="0" w:color="000000"/>
            </w:tcBorders>
            <w:vAlign w:val="center"/>
            <w:hideMark/>
          </w:tcPr>
          <w:p w14:paraId="116A4FEE"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C0050</w:t>
            </w:r>
          </w:p>
        </w:tc>
        <w:tc>
          <w:tcPr>
            <w:tcW w:w="1276" w:type="dxa"/>
            <w:tcBorders>
              <w:top w:val="single" w:sz="8" w:space="0" w:color="auto"/>
              <w:left w:val="nil"/>
              <w:bottom w:val="single" w:sz="4" w:space="0" w:color="auto"/>
              <w:right w:val="single" w:sz="4" w:space="0" w:color="auto"/>
            </w:tcBorders>
            <w:shd w:val="clear" w:color="000000" w:fill="3D7AF5"/>
            <w:vAlign w:val="center"/>
            <w:hideMark/>
          </w:tcPr>
          <w:p w14:paraId="368928B1"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 xml:space="preserve">AML.04.05 </w:t>
            </w:r>
          </w:p>
        </w:tc>
      </w:tr>
      <w:tr w:rsidR="00476609" w:rsidRPr="0051795D" w14:paraId="7F017945"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393528A7"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val="restart"/>
            <w:tcBorders>
              <w:top w:val="nil"/>
              <w:left w:val="single" w:sz="4" w:space="0" w:color="auto"/>
              <w:bottom w:val="single" w:sz="8" w:space="0" w:color="000000"/>
              <w:right w:val="single" w:sz="4" w:space="0" w:color="auto"/>
            </w:tcBorders>
            <w:shd w:val="clear" w:color="000000" w:fill="3D7AF5"/>
            <w:vAlign w:val="center"/>
            <w:hideMark/>
          </w:tcPr>
          <w:p w14:paraId="47656091"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E-Money</w:t>
            </w:r>
          </w:p>
        </w:tc>
        <w:tc>
          <w:tcPr>
            <w:tcW w:w="2308" w:type="dxa"/>
            <w:tcBorders>
              <w:top w:val="nil"/>
              <w:left w:val="nil"/>
              <w:bottom w:val="single" w:sz="4" w:space="0" w:color="auto"/>
              <w:right w:val="single" w:sz="4" w:space="0" w:color="auto"/>
            </w:tcBorders>
            <w:shd w:val="clear" w:color="000000" w:fill="FFFFFF"/>
            <w:vAlign w:val="center"/>
            <w:hideMark/>
          </w:tcPr>
          <w:p w14:paraId="1736629C"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Number of e-money payment transactions in the previous year (incoming)</w:t>
            </w:r>
          </w:p>
        </w:tc>
        <w:tc>
          <w:tcPr>
            <w:tcW w:w="2694" w:type="dxa"/>
            <w:tcBorders>
              <w:top w:val="nil"/>
              <w:left w:val="nil"/>
              <w:bottom w:val="single" w:sz="4" w:space="0" w:color="auto"/>
              <w:right w:val="single" w:sz="4" w:space="0" w:color="auto"/>
            </w:tcBorders>
            <w:shd w:val="clear" w:color="000000" w:fill="FFFFFF"/>
            <w:vAlign w:val="center"/>
            <w:hideMark/>
          </w:tcPr>
          <w:p w14:paraId="1C71BC89"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E-money Transactions (Incoming) - Volume</w:t>
            </w:r>
          </w:p>
        </w:tc>
        <w:tc>
          <w:tcPr>
            <w:tcW w:w="850" w:type="dxa"/>
            <w:tcBorders>
              <w:top w:val="single" w:sz="4" w:space="0" w:color="auto"/>
              <w:left w:val="nil"/>
              <w:bottom w:val="single" w:sz="4" w:space="0" w:color="auto"/>
              <w:right w:val="single" w:sz="4" w:space="0" w:color="auto"/>
            </w:tcBorders>
            <w:vAlign w:val="center"/>
            <w:hideMark/>
          </w:tcPr>
          <w:p w14:paraId="525AA0A5"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C0010</w:t>
            </w:r>
          </w:p>
        </w:tc>
        <w:tc>
          <w:tcPr>
            <w:tcW w:w="1276" w:type="dxa"/>
            <w:tcBorders>
              <w:top w:val="single" w:sz="8" w:space="0" w:color="auto"/>
              <w:left w:val="nil"/>
              <w:bottom w:val="single" w:sz="4" w:space="0" w:color="auto"/>
              <w:right w:val="single" w:sz="4" w:space="0" w:color="auto"/>
            </w:tcBorders>
            <w:shd w:val="clear" w:color="000000" w:fill="3D7AF5"/>
            <w:vAlign w:val="center"/>
            <w:hideMark/>
          </w:tcPr>
          <w:p w14:paraId="79D1C1B7"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 xml:space="preserve">AML.04.06 </w:t>
            </w:r>
          </w:p>
        </w:tc>
      </w:tr>
      <w:tr w:rsidR="00476609" w:rsidRPr="0051795D" w14:paraId="38F7F615"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76964C91"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8" w:space="0" w:color="000000"/>
              <w:right w:val="single" w:sz="4" w:space="0" w:color="auto"/>
            </w:tcBorders>
            <w:vAlign w:val="center"/>
            <w:hideMark/>
          </w:tcPr>
          <w:p w14:paraId="7F04444B"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nil"/>
              <w:left w:val="nil"/>
              <w:bottom w:val="single" w:sz="4" w:space="0" w:color="auto"/>
              <w:right w:val="single" w:sz="4" w:space="0" w:color="auto"/>
            </w:tcBorders>
            <w:shd w:val="clear" w:color="000000" w:fill="FFFFFF"/>
            <w:vAlign w:val="center"/>
            <w:hideMark/>
          </w:tcPr>
          <w:p w14:paraId="61BCE78E"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Number of e-money payment transactions in the previous year (outgoing)</w:t>
            </w:r>
          </w:p>
        </w:tc>
        <w:tc>
          <w:tcPr>
            <w:tcW w:w="2694" w:type="dxa"/>
            <w:tcBorders>
              <w:top w:val="nil"/>
              <w:left w:val="nil"/>
              <w:bottom w:val="single" w:sz="4" w:space="0" w:color="auto"/>
              <w:right w:val="single" w:sz="4" w:space="0" w:color="auto"/>
            </w:tcBorders>
            <w:shd w:val="clear" w:color="000000" w:fill="FFFFFF"/>
            <w:vAlign w:val="center"/>
            <w:hideMark/>
          </w:tcPr>
          <w:p w14:paraId="270C2B99"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E-money Transactions (Outgoing) - Number</w:t>
            </w:r>
          </w:p>
        </w:tc>
        <w:tc>
          <w:tcPr>
            <w:tcW w:w="850" w:type="dxa"/>
            <w:tcBorders>
              <w:top w:val="nil"/>
              <w:left w:val="nil"/>
              <w:bottom w:val="single" w:sz="4" w:space="0" w:color="000000"/>
              <w:right w:val="single" w:sz="4" w:space="0" w:color="000000"/>
            </w:tcBorders>
            <w:vAlign w:val="center"/>
            <w:hideMark/>
          </w:tcPr>
          <w:p w14:paraId="18F14D79"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C0020</w:t>
            </w:r>
          </w:p>
        </w:tc>
        <w:tc>
          <w:tcPr>
            <w:tcW w:w="1276" w:type="dxa"/>
            <w:tcBorders>
              <w:top w:val="nil"/>
              <w:left w:val="nil"/>
              <w:bottom w:val="single" w:sz="4" w:space="0" w:color="auto"/>
              <w:right w:val="single" w:sz="4" w:space="0" w:color="auto"/>
            </w:tcBorders>
            <w:shd w:val="clear" w:color="000000" w:fill="3D7AF5"/>
            <w:vAlign w:val="center"/>
            <w:hideMark/>
          </w:tcPr>
          <w:p w14:paraId="7C35D9F8"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 xml:space="preserve">AML.04.06 </w:t>
            </w:r>
          </w:p>
        </w:tc>
      </w:tr>
      <w:tr w:rsidR="00476609" w:rsidRPr="0051795D" w14:paraId="4F887D19"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1BA84831"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8" w:space="0" w:color="000000"/>
              <w:right w:val="single" w:sz="4" w:space="0" w:color="auto"/>
            </w:tcBorders>
            <w:vAlign w:val="center"/>
            <w:hideMark/>
          </w:tcPr>
          <w:p w14:paraId="21E63AFF"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nil"/>
              <w:left w:val="nil"/>
              <w:bottom w:val="single" w:sz="4" w:space="0" w:color="auto"/>
              <w:right w:val="single" w:sz="4" w:space="0" w:color="auto"/>
            </w:tcBorders>
            <w:shd w:val="clear" w:color="000000" w:fill="FFFFFF"/>
            <w:vAlign w:val="center"/>
            <w:hideMark/>
          </w:tcPr>
          <w:p w14:paraId="18720F26"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Value (EUR) of e-money payment transactions in the previous year (incoming)</w:t>
            </w:r>
          </w:p>
        </w:tc>
        <w:tc>
          <w:tcPr>
            <w:tcW w:w="2694" w:type="dxa"/>
            <w:tcBorders>
              <w:top w:val="nil"/>
              <w:left w:val="nil"/>
              <w:bottom w:val="single" w:sz="4" w:space="0" w:color="auto"/>
              <w:right w:val="single" w:sz="4" w:space="0" w:color="auto"/>
            </w:tcBorders>
            <w:shd w:val="clear" w:color="000000" w:fill="FFFFFF"/>
            <w:vAlign w:val="center"/>
            <w:hideMark/>
          </w:tcPr>
          <w:p w14:paraId="6ABBD55B"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E-money Transactions (Incoming) - Value</w:t>
            </w:r>
          </w:p>
        </w:tc>
        <w:tc>
          <w:tcPr>
            <w:tcW w:w="850" w:type="dxa"/>
            <w:tcBorders>
              <w:top w:val="nil"/>
              <w:left w:val="nil"/>
              <w:bottom w:val="single" w:sz="4" w:space="0" w:color="000000"/>
              <w:right w:val="single" w:sz="4" w:space="0" w:color="000000"/>
            </w:tcBorders>
            <w:vAlign w:val="center"/>
            <w:hideMark/>
          </w:tcPr>
          <w:p w14:paraId="42F4F8DF"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C0030</w:t>
            </w:r>
          </w:p>
        </w:tc>
        <w:tc>
          <w:tcPr>
            <w:tcW w:w="1276" w:type="dxa"/>
            <w:tcBorders>
              <w:top w:val="nil"/>
              <w:left w:val="nil"/>
              <w:bottom w:val="single" w:sz="4" w:space="0" w:color="auto"/>
              <w:right w:val="single" w:sz="4" w:space="0" w:color="auto"/>
            </w:tcBorders>
            <w:shd w:val="clear" w:color="000000" w:fill="3D7AF5"/>
            <w:vAlign w:val="center"/>
            <w:hideMark/>
          </w:tcPr>
          <w:p w14:paraId="4AFC63AB"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 xml:space="preserve">AML.04.06 </w:t>
            </w:r>
          </w:p>
        </w:tc>
      </w:tr>
      <w:tr w:rsidR="00476609" w:rsidRPr="0051795D" w14:paraId="5BE8C920"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42340A17"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8" w:space="0" w:color="000000"/>
              <w:right w:val="single" w:sz="4" w:space="0" w:color="auto"/>
            </w:tcBorders>
            <w:vAlign w:val="center"/>
            <w:hideMark/>
          </w:tcPr>
          <w:p w14:paraId="6173DE4F"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nil"/>
              <w:left w:val="nil"/>
              <w:bottom w:val="single" w:sz="4" w:space="0" w:color="auto"/>
              <w:right w:val="single" w:sz="4" w:space="0" w:color="auto"/>
            </w:tcBorders>
            <w:shd w:val="clear" w:color="000000" w:fill="FFFFFF"/>
            <w:vAlign w:val="center"/>
            <w:hideMark/>
          </w:tcPr>
          <w:p w14:paraId="35246141"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Value (EUR) of e-money payment transactions in the previous year (outgoing)</w:t>
            </w:r>
          </w:p>
        </w:tc>
        <w:tc>
          <w:tcPr>
            <w:tcW w:w="2694" w:type="dxa"/>
            <w:tcBorders>
              <w:top w:val="nil"/>
              <w:left w:val="nil"/>
              <w:bottom w:val="single" w:sz="4" w:space="0" w:color="auto"/>
              <w:right w:val="single" w:sz="4" w:space="0" w:color="auto"/>
            </w:tcBorders>
            <w:shd w:val="clear" w:color="000000" w:fill="FFFFFF"/>
            <w:vAlign w:val="center"/>
            <w:hideMark/>
          </w:tcPr>
          <w:p w14:paraId="4FB3CB4F"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E-money Transactions (Outgoing) - Value</w:t>
            </w:r>
          </w:p>
        </w:tc>
        <w:tc>
          <w:tcPr>
            <w:tcW w:w="850" w:type="dxa"/>
            <w:tcBorders>
              <w:top w:val="nil"/>
              <w:left w:val="nil"/>
              <w:bottom w:val="single" w:sz="4" w:space="0" w:color="000000"/>
              <w:right w:val="single" w:sz="4" w:space="0" w:color="000000"/>
            </w:tcBorders>
            <w:vAlign w:val="center"/>
            <w:hideMark/>
          </w:tcPr>
          <w:p w14:paraId="3F8B8797"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C0040</w:t>
            </w:r>
          </w:p>
        </w:tc>
        <w:tc>
          <w:tcPr>
            <w:tcW w:w="1276" w:type="dxa"/>
            <w:tcBorders>
              <w:top w:val="nil"/>
              <w:left w:val="nil"/>
              <w:bottom w:val="single" w:sz="4" w:space="0" w:color="auto"/>
              <w:right w:val="single" w:sz="4" w:space="0" w:color="auto"/>
            </w:tcBorders>
            <w:shd w:val="clear" w:color="000000" w:fill="3D7AF5"/>
            <w:vAlign w:val="center"/>
            <w:hideMark/>
          </w:tcPr>
          <w:p w14:paraId="66DD894A"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 xml:space="preserve">AML.04.06 </w:t>
            </w:r>
          </w:p>
        </w:tc>
      </w:tr>
      <w:tr w:rsidR="00476609" w:rsidRPr="0051795D" w14:paraId="2279FF8A"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0C78CA63"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8" w:space="0" w:color="000000"/>
              <w:right w:val="single" w:sz="4" w:space="0" w:color="auto"/>
            </w:tcBorders>
            <w:vAlign w:val="center"/>
            <w:hideMark/>
          </w:tcPr>
          <w:p w14:paraId="10F8F1D0"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nil"/>
              <w:left w:val="nil"/>
              <w:bottom w:val="single" w:sz="8" w:space="0" w:color="auto"/>
              <w:right w:val="single" w:sz="4" w:space="0" w:color="auto"/>
            </w:tcBorders>
            <w:shd w:val="clear" w:color="000000" w:fill="FFFFFF"/>
            <w:vAlign w:val="center"/>
            <w:hideMark/>
          </w:tcPr>
          <w:p w14:paraId="396174BB"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 xml:space="preserve">Value (EUR) of e-money payment transactions by non-identified customers in the previous year </w:t>
            </w:r>
          </w:p>
        </w:tc>
        <w:tc>
          <w:tcPr>
            <w:tcW w:w="2694" w:type="dxa"/>
            <w:tcBorders>
              <w:top w:val="nil"/>
              <w:left w:val="nil"/>
              <w:bottom w:val="single" w:sz="8" w:space="0" w:color="auto"/>
              <w:right w:val="single" w:sz="4" w:space="0" w:color="auto"/>
            </w:tcBorders>
            <w:shd w:val="clear" w:color="000000" w:fill="FFFFFF"/>
            <w:vAlign w:val="center"/>
            <w:hideMark/>
          </w:tcPr>
          <w:p w14:paraId="6AC7FE4D"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E-money Transactions (Non-identified Customers) - Value</w:t>
            </w:r>
          </w:p>
        </w:tc>
        <w:tc>
          <w:tcPr>
            <w:tcW w:w="850" w:type="dxa"/>
            <w:tcBorders>
              <w:top w:val="nil"/>
              <w:left w:val="nil"/>
              <w:bottom w:val="nil"/>
              <w:right w:val="single" w:sz="4" w:space="0" w:color="000000"/>
            </w:tcBorders>
            <w:vAlign w:val="center"/>
            <w:hideMark/>
          </w:tcPr>
          <w:p w14:paraId="1573BE0C"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C0050</w:t>
            </w:r>
          </w:p>
        </w:tc>
        <w:tc>
          <w:tcPr>
            <w:tcW w:w="1276" w:type="dxa"/>
            <w:tcBorders>
              <w:top w:val="nil"/>
              <w:left w:val="nil"/>
              <w:bottom w:val="single" w:sz="8" w:space="0" w:color="auto"/>
              <w:right w:val="single" w:sz="4" w:space="0" w:color="auto"/>
            </w:tcBorders>
            <w:shd w:val="clear" w:color="000000" w:fill="3D7AF5"/>
            <w:vAlign w:val="center"/>
            <w:hideMark/>
          </w:tcPr>
          <w:p w14:paraId="144E7F65"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 xml:space="preserve">AML.04.06 </w:t>
            </w:r>
          </w:p>
        </w:tc>
      </w:tr>
      <w:tr w:rsidR="00476609" w:rsidRPr="0051795D" w14:paraId="368A4D66"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3D4D0D4D"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tcBorders>
              <w:top w:val="nil"/>
              <w:left w:val="nil"/>
              <w:bottom w:val="single" w:sz="8" w:space="0" w:color="auto"/>
              <w:right w:val="single" w:sz="4" w:space="0" w:color="auto"/>
            </w:tcBorders>
            <w:shd w:val="clear" w:color="000000" w:fill="3D7AF5"/>
            <w:vAlign w:val="center"/>
            <w:hideMark/>
          </w:tcPr>
          <w:p w14:paraId="50041757"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TCSP services</w:t>
            </w:r>
          </w:p>
        </w:tc>
        <w:tc>
          <w:tcPr>
            <w:tcW w:w="2308" w:type="dxa"/>
            <w:tcBorders>
              <w:top w:val="nil"/>
              <w:left w:val="nil"/>
              <w:bottom w:val="single" w:sz="8" w:space="0" w:color="auto"/>
              <w:right w:val="single" w:sz="4" w:space="0" w:color="auto"/>
            </w:tcBorders>
            <w:vAlign w:val="center"/>
            <w:hideMark/>
          </w:tcPr>
          <w:p w14:paraId="480052AD"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Number of legal entity customers using TCSP services in the previous year</w:t>
            </w:r>
          </w:p>
        </w:tc>
        <w:tc>
          <w:tcPr>
            <w:tcW w:w="2694" w:type="dxa"/>
            <w:tcBorders>
              <w:top w:val="nil"/>
              <w:left w:val="nil"/>
              <w:bottom w:val="single" w:sz="8" w:space="0" w:color="auto"/>
              <w:right w:val="single" w:sz="4" w:space="0" w:color="auto"/>
            </w:tcBorders>
            <w:vAlign w:val="center"/>
            <w:hideMark/>
          </w:tcPr>
          <w:p w14:paraId="4F708A2B"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TCSP Customers (Legal Entities)</w:t>
            </w:r>
          </w:p>
        </w:tc>
        <w:tc>
          <w:tcPr>
            <w:tcW w:w="850" w:type="dxa"/>
            <w:tcBorders>
              <w:top w:val="single" w:sz="4" w:space="0" w:color="auto"/>
              <w:left w:val="nil"/>
              <w:bottom w:val="single" w:sz="4" w:space="0" w:color="auto"/>
              <w:right w:val="single" w:sz="4" w:space="0" w:color="auto"/>
            </w:tcBorders>
            <w:vAlign w:val="center"/>
            <w:hideMark/>
          </w:tcPr>
          <w:p w14:paraId="2B716CDD"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C0010</w:t>
            </w:r>
          </w:p>
        </w:tc>
        <w:tc>
          <w:tcPr>
            <w:tcW w:w="1276" w:type="dxa"/>
            <w:tcBorders>
              <w:top w:val="nil"/>
              <w:left w:val="nil"/>
              <w:bottom w:val="single" w:sz="8" w:space="0" w:color="auto"/>
              <w:right w:val="single" w:sz="4" w:space="0" w:color="auto"/>
            </w:tcBorders>
            <w:shd w:val="clear" w:color="000000" w:fill="3D7AF5"/>
            <w:vAlign w:val="center"/>
            <w:hideMark/>
          </w:tcPr>
          <w:p w14:paraId="396A1A93"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 xml:space="preserve">AML.04.07 </w:t>
            </w:r>
          </w:p>
        </w:tc>
      </w:tr>
      <w:tr w:rsidR="00476609" w:rsidRPr="0051795D" w14:paraId="296604F4"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72C80D48"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tcBorders>
              <w:top w:val="nil"/>
              <w:left w:val="nil"/>
              <w:bottom w:val="single" w:sz="8" w:space="0" w:color="auto"/>
              <w:right w:val="single" w:sz="4" w:space="0" w:color="auto"/>
            </w:tcBorders>
            <w:shd w:val="clear" w:color="000000" w:fill="3D7AF5"/>
            <w:vAlign w:val="center"/>
            <w:hideMark/>
          </w:tcPr>
          <w:p w14:paraId="7FB26B14"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Crypto cash cards</w:t>
            </w:r>
          </w:p>
        </w:tc>
        <w:tc>
          <w:tcPr>
            <w:tcW w:w="2308" w:type="dxa"/>
            <w:tcBorders>
              <w:top w:val="nil"/>
              <w:left w:val="nil"/>
              <w:bottom w:val="single" w:sz="8" w:space="0" w:color="auto"/>
              <w:right w:val="single" w:sz="4" w:space="0" w:color="auto"/>
            </w:tcBorders>
            <w:vAlign w:val="center"/>
            <w:hideMark/>
          </w:tcPr>
          <w:p w14:paraId="7AC2DC11"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Number of non-EEA crypto companies for which the obliged entity acts as a BIN-sponsor</w:t>
            </w:r>
          </w:p>
        </w:tc>
        <w:tc>
          <w:tcPr>
            <w:tcW w:w="2694" w:type="dxa"/>
            <w:tcBorders>
              <w:top w:val="nil"/>
              <w:left w:val="nil"/>
              <w:bottom w:val="nil"/>
              <w:right w:val="single" w:sz="4" w:space="0" w:color="auto"/>
            </w:tcBorders>
            <w:vAlign w:val="center"/>
            <w:hideMark/>
          </w:tcPr>
          <w:p w14:paraId="2081777B"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Non-EEA Crypto Companies (BIN-sponsored)</w:t>
            </w:r>
          </w:p>
        </w:tc>
        <w:tc>
          <w:tcPr>
            <w:tcW w:w="850" w:type="dxa"/>
            <w:tcBorders>
              <w:top w:val="nil"/>
              <w:left w:val="nil"/>
              <w:bottom w:val="nil"/>
              <w:right w:val="single" w:sz="4" w:space="0" w:color="auto"/>
            </w:tcBorders>
            <w:vAlign w:val="center"/>
            <w:hideMark/>
          </w:tcPr>
          <w:p w14:paraId="21D1748A"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C0010</w:t>
            </w:r>
          </w:p>
        </w:tc>
        <w:tc>
          <w:tcPr>
            <w:tcW w:w="1276" w:type="dxa"/>
            <w:tcBorders>
              <w:top w:val="nil"/>
              <w:left w:val="nil"/>
              <w:bottom w:val="nil"/>
              <w:right w:val="single" w:sz="4" w:space="0" w:color="auto"/>
            </w:tcBorders>
            <w:shd w:val="clear" w:color="000000" w:fill="3D7AF5"/>
            <w:vAlign w:val="center"/>
            <w:hideMark/>
          </w:tcPr>
          <w:p w14:paraId="7B709737"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 xml:space="preserve">AML.04.10 </w:t>
            </w:r>
          </w:p>
        </w:tc>
      </w:tr>
      <w:tr w:rsidR="00476609" w:rsidRPr="0051795D" w14:paraId="30221E2E"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49D8D4BD"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val="restart"/>
            <w:tcBorders>
              <w:top w:val="nil"/>
              <w:left w:val="single" w:sz="4" w:space="0" w:color="auto"/>
              <w:bottom w:val="single" w:sz="8" w:space="0" w:color="000000"/>
              <w:right w:val="single" w:sz="4" w:space="0" w:color="auto"/>
            </w:tcBorders>
            <w:shd w:val="clear" w:color="000000" w:fill="3D7AF5"/>
            <w:vAlign w:val="center"/>
            <w:hideMark/>
          </w:tcPr>
          <w:p w14:paraId="1E66372C"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Exchange crypto for funds</w:t>
            </w:r>
          </w:p>
        </w:tc>
        <w:tc>
          <w:tcPr>
            <w:tcW w:w="2308" w:type="dxa"/>
            <w:tcBorders>
              <w:top w:val="nil"/>
              <w:left w:val="nil"/>
              <w:bottom w:val="single" w:sz="4" w:space="0" w:color="auto"/>
              <w:right w:val="single" w:sz="4" w:space="0" w:color="auto"/>
            </w:tcBorders>
            <w:vAlign w:val="center"/>
            <w:hideMark/>
          </w:tcPr>
          <w:p w14:paraId="525F44A9"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amount (EUR) crypto-funds in the previous year</w:t>
            </w:r>
          </w:p>
        </w:tc>
        <w:tc>
          <w:tcPr>
            <w:tcW w:w="2694" w:type="dxa"/>
            <w:tcBorders>
              <w:top w:val="single" w:sz="4" w:space="0" w:color="auto"/>
              <w:left w:val="nil"/>
              <w:bottom w:val="single" w:sz="4" w:space="0" w:color="auto"/>
              <w:right w:val="single" w:sz="4" w:space="0" w:color="auto"/>
            </w:tcBorders>
            <w:vAlign w:val="center"/>
            <w:hideMark/>
          </w:tcPr>
          <w:p w14:paraId="2BD9F1A5"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Crypto-to-Funds - Value</w:t>
            </w:r>
          </w:p>
        </w:tc>
        <w:tc>
          <w:tcPr>
            <w:tcW w:w="850" w:type="dxa"/>
            <w:tcBorders>
              <w:top w:val="single" w:sz="4" w:space="0" w:color="auto"/>
              <w:left w:val="nil"/>
              <w:bottom w:val="single" w:sz="4" w:space="0" w:color="auto"/>
              <w:right w:val="single" w:sz="4" w:space="0" w:color="auto"/>
            </w:tcBorders>
            <w:vAlign w:val="center"/>
            <w:hideMark/>
          </w:tcPr>
          <w:p w14:paraId="63181025"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C0050</w:t>
            </w:r>
          </w:p>
        </w:tc>
        <w:tc>
          <w:tcPr>
            <w:tcW w:w="1276" w:type="dxa"/>
            <w:tcBorders>
              <w:top w:val="single" w:sz="4" w:space="0" w:color="auto"/>
              <w:left w:val="nil"/>
              <w:bottom w:val="single" w:sz="4" w:space="0" w:color="auto"/>
              <w:right w:val="single" w:sz="4" w:space="0" w:color="auto"/>
            </w:tcBorders>
            <w:shd w:val="clear" w:color="000000" w:fill="3D7AF5"/>
            <w:vAlign w:val="center"/>
            <w:hideMark/>
          </w:tcPr>
          <w:p w14:paraId="2D30470A"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 xml:space="preserve">AML.04.10 </w:t>
            </w:r>
          </w:p>
        </w:tc>
      </w:tr>
      <w:tr w:rsidR="00476609" w:rsidRPr="0051795D" w14:paraId="5259C4CA"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27EC927E"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8" w:space="0" w:color="000000"/>
              <w:right w:val="single" w:sz="4" w:space="0" w:color="auto"/>
            </w:tcBorders>
            <w:vAlign w:val="center"/>
            <w:hideMark/>
          </w:tcPr>
          <w:p w14:paraId="39BCC610"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nil"/>
              <w:left w:val="nil"/>
              <w:bottom w:val="single" w:sz="4" w:space="0" w:color="auto"/>
              <w:right w:val="single" w:sz="4" w:space="0" w:color="auto"/>
            </w:tcBorders>
            <w:vAlign w:val="center"/>
            <w:hideMark/>
          </w:tcPr>
          <w:p w14:paraId="1A0728EF"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number of transactions crypto-funds in the previous year</w:t>
            </w:r>
          </w:p>
        </w:tc>
        <w:tc>
          <w:tcPr>
            <w:tcW w:w="2694" w:type="dxa"/>
            <w:tcBorders>
              <w:top w:val="nil"/>
              <w:left w:val="nil"/>
              <w:bottom w:val="single" w:sz="4" w:space="0" w:color="auto"/>
              <w:right w:val="single" w:sz="4" w:space="0" w:color="auto"/>
            </w:tcBorders>
            <w:vAlign w:val="center"/>
            <w:hideMark/>
          </w:tcPr>
          <w:p w14:paraId="1FBA197D"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Crypto-to-Funds - Number</w:t>
            </w:r>
          </w:p>
        </w:tc>
        <w:tc>
          <w:tcPr>
            <w:tcW w:w="850" w:type="dxa"/>
            <w:tcBorders>
              <w:top w:val="nil"/>
              <w:left w:val="nil"/>
              <w:bottom w:val="single" w:sz="4" w:space="0" w:color="auto"/>
              <w:right w:val="single" w:sz="4" w:space="0" w:color="auto"/>
            </w:tcBorders>
            <w:vAlign w:val="center"/>
            <w:hideMark/>
          </w:tcPr>
          <w:p w14:paraId="4170A0E2"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C0060</w:t>
            </w:r>
          </w:p>
        </w:tc>
        <w:tc>
          <w:tcPr>
            <w:tcW w:w="1276" w:type="dxa"/>
            <w:tcBorders>
              <w:top w:val="nil"/>
              <w:left w:val="nil"/>
              <w:bottom w:val="single" w:sz="4" w:space="0" w:color="auto"/>
              <w:right w:val="single" w:sz="4" w:space="0" w:color="auto"/>
            </w:tcBorders>
            <w:shd w:val="clear" w:color="000000" w:fill="3D7AF5"/>
            <w:vAlign w:val="center"/>
            <w:hideMark/>
          </w:tcPr>
          <w:p w14:paraId="18D8DB17"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 xml:space="preserve">AML.04.10 </w:t>
            </w:r>
          </w:p>
        </w:tc>
      </w:tr>
      <w:tr w:rsidR="00476609" w:rsidRPr="0051795D" w14:paraId="45A77E5F"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58DF6581"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8" w:space="0" w:color="000000"/>
              <w:right w:val="single" w:sz="4" w:space="0" w:color="auto"/>
            </w:tcBorders>
            <w:vAlign w:val="center"/>
            <w:hideMark/>
          </w:tcPr>
          <w:p w14:paraId="0D45E3D4"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nil"/>
              <w:left w:val="nil"/>
              <w:bottom w:val="single" w:sz="4" w:space="0" w:color="auto"/>
              <w:right w:val="single" w:sz="4" w:space="0" w:color="auto"/>
            </w:tcBorders>
            <w:vAlign w:val="center"/>
            <w:hideMark/>
          </w:tcPr>
          <w:p w14:paraId="4D41E6F3"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number of customers using this type of service in the previous year</w:t>
            </w:r>
          </w:p>
        </w:tc>
        <w:tc>
          <w:tcPr>
            <w:tcW w:w="2694" w:type="dxa"/>
            <w:tcBorders>
              <w:top w:val="nil"/>
              <w:left w:val="nil"/>
              <w:bottom w:val="single" w:sz="4" w:space="0" w:color="auto"/>
              <w:right w:val="single" w:sz="4" w:space="0" w:color="auto"/>
            </w:tcBorders>
            <w:vAlign w:val="center"/>
            <w:hideMark/>
          </w:tcPr>
          <w:p w14:paraId="7445D530"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Crypto-to-Funds - Customers</w:t>
            </w:r>
          </w:p>
        </w:tc>
        <w:tc>
          <w:tcPr>
            <w:tcW w:w="850" w:type="dxa"/>
            <w:tcBorders>
              <w:top w:val="nil"/>
              <w:left w:val="nil"/>
              <w:bottom w:val="single" w:sz="4" w:space="0" w:color="auto"/>
              <w:right w:val="single" w:sz="4" w:space="0" w:color="auto"/>
            </w:tcBorders>
            <w:vAlign w:val="center"/>
            <w:hideMark/>
          </w:tcPr>
          <w:p w14:paraId="36107545"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C0070</w:t>
            </w:r>
          </w:p>
        </w:tc>
        <w:tc>
          <w:tcPr>
            <w:tcW w:w="1276" w:type="dxa"/>
            <w:tcBorders>
              <w:top w:val="nil"/>
              <w:left w:val="nil"/>
              <w:bottom w:val="single" w:sz="4" w:space="0" w:color="auto"/>
              <w:right w:val="single" w:sz="4" w:space="0" w:color="auto"/>
            </w:tcBorders>
            <w:shd w:val="clear" w:color="000000" w:fill="3D7AF5"/>
            <w:vAlign w:val="center"/>
            <w:hideMark/>
          </w:tcPr>
          <w:p w14:paraId="306FA206"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 xml:space="preserve">AML.04.10 </w:t>
            </w:r>
          </w:p>
        </w:tc>
      </w:tr>
      <w:tr w:rsidR="00476609" w:rsidRPr="0051795D" w14:paraId="671F1A30"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45A7D336"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8" w:space="0" w:color="000000"/>
              <w:right w:val="single" w:sz="4" w:space="0" w:color="auto"/>
            </w:tcBorders>
            <w:vAlign w:val="center"/>
            <w:hideMark/>
          </w:tcPr>
          <w:p w14:paraId="525E8A25"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nil"/>
              <w:left w:val="nil"/>
              <w:bottom w:val="single" w:sz="8" w:space="0" w:color="auto"/>
              <w:right w:val="single" w:sz="4" w:space="0" w:color="auto"/>
            </w:tcBorders>
            <w:vAlign w:val="center"/>
            <w:hideMark/>
          </w:tcPr>
          <w:p w14:paraId="0FE68AE1"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number of transactions crypto-funds from unhosted wallets in the previous year</w:t>
            </w:r>
          </w:p>
        </w:tc>
        <w:tc>
          <w:tcPr>
            <w:tcW w:w="2694" w:type="dxa"/>
            <w:tcBorders>
              <w:top w:val="nil"/>
              <w:left w:val="nil"/>
              <w:bottom w:val="single" w:sz="4" w:space="0" w:color="auto"/>
              <w:right w:val="single" w:sz="4" w:space="0" w:color="auto"/>
            </w:tcBorders>
            <w:vAlign w:val="center"/>
            <w:hideMark/>
          </w:tcPr>
          <w:p w14:paraId="1A6AA0A0"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Crypto-to-Funds (from Self-hosted) - Number</w:t>
            </w:r>
          </w:p>
        </w:tc>
        <w:tc>
          <w:tcPr>
            <w:tcW w:w="850" w:type="dxa"/>
            <w:tcBorders>
              <w:top w:val="nil"/>
              <w:left w:val="nil"/>
              <w:bottom w:val="single" w:sz="4" w:space="0" w:color="auto"/>
              <w:right w:val="single" w:sz="4" w:space="0" w:color="auto"/>
            </w:tcBorders>
            <w:vAlign w:val="center"/>
            <w:hideMark/>
          </w:tcPr>
          <w:p w14:paraId="07A0C729"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C0080</w:t>
            </w:r>
          </w:p>
        </w:tc>
        <w:tc>
          <w:tcPr>
            <w:tcW w:w="1276" w:type="dxa"/>
            <w:tcBorders>
              <w:top w:val="nil"/>
              <w:left w:val="nil"/>
              <w:bottom w:val="single" w:sz="4" w:space="0" w:color="auto"/>
              <w:right w:val="single" w:sz="4" w:space="0" w:color="auto"/>
            </w:tcBorders>
            <w:shd w:val="clear" w:color="000000" w:fill="3D7AF5"/>
            <w:vAlign w:val="center"/>
            <w:hideMark/>
          </w:tcPr>
          <w:p w14:paraId="3E0529BD"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 xml:space="preserve">AML.04.10 </w:t>
            </w:r>
          </w:p>
        </w:tc>
      </w:tr>
      <w:tr w:rsidR="00476609" w:rsidRPr="0051795D" w14:paraId="28FD77FD"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2F3C9E2C"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val="restart"/>
            <w:tcBorders>
              <w:top w:val="nil"/>
              <w:left w:val="single" w:sz="4" w:space="0" w:color="auto"/>
              <w:bottom w:val="single" w:sz="8" w:space="0" w:color="000000"/>
              <w:right w:val="single" w:sz="4" w:space="0" w:color="auto"/>
            </w:tcBorders>
            <w:shd w:val="clear" w:color="000000" w:fill="3D7AF5"/>
            <w:vAlign w:val="center"/>
            <w:hideMark/>
          </w:tcPr>
          <w:p w14:paraId="438CC5B1"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Exchange funds for crypto</w:t>
            </w:r>
          </w:p>
        </w:tc>
        <w:tc>
          <w:tcPr>
            <w:tcW w:w="2308" w:type="dxa"/>
            <w:tcBorders>
              <w:top w:val="nil"/>
              <w:left w:val="nil"/>
              <w:bottom w:val="single" w:sz="4" w:space="0" w:color="auto"/>
              <w:right w:val="single" w:sz="4" w:space="0" w:color="auto"/>
            </w:tcBorders>
            <w:vAlign w:val="center"/>
            <w:hideMark/>
          </w:tcPr>
          <w:p w14:paraId="0A88EAA0"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amount (EUR) funds-crypto in the previous year</w:t>
            </w:r>
          </w:p>
        </w:tc>
        <w:tc>
          <w:tcPr>
            <w:tcW w:w="2694" w:type="dxa"/>
            <w:tcBorders>
              <w:top w:val="nil"/>
              <w:left w:val="nil"/>
              <w:bottom w:val="single" w:sz="4" w:space="0" w:color="auto"/>
              <w:right w:val="single" w:sz="4" w:space="0" w:color="auto"/>
            </w:tcBorders>
            <w:vAlign w:val="center"/>
            <w:hideMark/>
          </w:tcPr>
          <w:p w14:paraId="419DAF00"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Funds-to-Crypto - Value</w:t>
            </w:r>
          </w:p>
        </w:tc>
        <w:tc>
          <w:tcPr>
            <w:tcW w:w="850" w:type="dxa"/>
            <w:tcBorders>
              <w:top w:val="nil"/>
              <w:left w:val="nil"/>
              <w:bottom w:val="single" w:sz="4" w:space="0" w:color="auto"/>
              <w:right w:val="single" w:sz="4" w:space="0" w:color="auto"/>
            </w:tcBorders>
            <w:vAlign w:val="center"/>
            <w:hideMark/>
          </w:tcPr>
          <w:p w14:paraId="594F79A7"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C0010</w:t>
            </w:r>
          </w:p>
        </w:tc>
        <w:tc>
          <w:tcPr>
            <w:tcW w:w="1276" w:type="dxa"/>
            <w:tcBorders>
              <w:top w:val="nil"/>
              <w:left w:val="nil"/>
              <w:bottom w:val="single" w:sz="4" w:space="0" w:color="auto"/>
              <w:right w:val="single" w:sz="4" w:space="0" w:color="auto"/>
            </w:tcBorders>
            <w:shd w:val="clear" w:color="000000" w:fill="3D7AF5"/>
            <w:vAlign w:val="center"/>
            <w:hideMark/>
          </w:tcPr>
          <w:p w14:paraId="58FACFA9"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 xml:space="preserve">AML.04.10 </w:t>
            </w:r>
          </w:p>
        </w:tc>
      </w:tr>
      <w:tr w:rsidR="00476609" w:rsidRPr="0051795D" w14:paraId="13D4B6F4"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1EF0E67A"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8" w:space="0" w:color="000000"/>
              <w:right w:val="single" w:sz="4" w:space="0" w:color="auto"/>
            </w:tcBorders>
            <w:vAlign w:val="center"/>
            <w:hideMark/>
          </w:tcPr>
          <w:p w14:paraId="1AC68753"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nil"/>
              <w:left w:val="nil"/>
              <w:bottom w:val="single" w:sz="4" w:space="0" w:color="auto"/>
              <w:right w:val="single" w:sz="4" w:space="0" w:color="auto"/>
            </w:tcBorders>
            <w:vAlign w:val="center"/>
            <w:hideMark/>
          </w:tcPr>
          <w:p w14:paraId="4D424D0C"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number of transactions funds-crypto in the previous year</w:t>
            </w:r>
          </w:p>
        </w:tc>
        <w:tc>
          <w:tcPr>
            <w:tcW w:w="2694" w:type="dxa"/>
            <w:tcBorders>
              <w:top w:val="nil"/>
              <w:left w:val="nil"/>
              <w:bottom w:val="single" w:sz="4" w:space="0" w:color="auto"/>
              <w:right w:val="single" w:sz="4" w:space="0" w:color="auto"/>
            </w:tcBorders>
            <w:vAlign w:val="center"/>
            <w:hideMark/>
          </w:tcPr>
          <w:p w14:paraId="0392B3A8"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Funds-to-Crypto – Number</w:t>
            </w:r>
          </w:p>
        </w:tc>
        <w:tc>
          <w:tcPr>
            <w:tcW w:w="850" w:type="dxa"/>
            <w:tcBorders>
              <w:top w:val="nil"/>
              <w:left w:val="nil"/>
              <w:bottom w:val="single" w:sz="4" w:space="0" w:color="000000"/>
              <w:right w:val="single" w:sz="4" w:space="0" w:color="000000"/>
            </w:tcBorders>
            <w:vAlign w:val="center"/>
            <w:hideMark/>
          </w:tcPr>
          <w:p w14:paraId="2E02F5E5"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C0020</w:t>
            </w:r>
          </w:p>
        </w:tc>
        <w:tc>
          <w:tcPr>
            <w:tcW w:w="1276" w:type="dxa"/>
            <w:tcBorders>
              <w:top w:val="nil"/>
              <w:left w:val="nil"/>
              <w:bottom w:val="single" w:sz="4" w:space="0" w:color="auto"/>
              <w:right w:val="single" w:sz="4" w:space="0" w:color="auto"/>
            </w:tcBorders>
            <w:shd w:val="clear" w:color="000000" w:fill="3D7AF5"/>
            <w:vAlign w:val="center"/>
            <w:hideMark/>
          </w:tcPr>
          <w:p w14:paraId="42A01F11"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 xml:space="preserve">AML.04.10 </w:t>
            </w:r>
          </w:p>
        </w:tc>
      </w:tr>
      <w:tr w:rsidR="00476609" w:rsidRPr="0051795D" w14:paraId="49EDEA6E"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627B7812"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8" w:space="0" w:color="000000"/>
              <w:right w:val="single" w:sz="4" w:space="0" w:color="auto"/>
            </w:tcBorders>
            <w:vAlign w:val="center"/>
            <w:hideMark/>
          </w:tcPr>
          <w:p w14:paraId="35BA24AE"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nil"/>
              <w:left w:val="nil"/>
              <w:bottom w:val="single" w:sz="4" w:space="0" w:color="auto"/>
              <w:right w:val="single" w:sz="4" w:space="0" w:color="auto"/>
            </w:tcBorders>
            <w:vAlign w:val="center"/>
            <w:hideMark/>
          </w:tcPr>
          <w:p w14:paraId="411DEE65"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number of customers using this type of service in the previous year</w:t>
            </w:r>
          </w:p>
        </w:tc>
        <w:tc>
          <w:tcPr>
            <w:tcW w:w="2694" w:type="dxa"/>
            <w:tcBorders>
              <w:top w:val="nil"/>
              <w:left w:val="nil"/>
              <w:bottom w:val="single" w:sz="4" w:space="0" w:color="auto"/>
              <w:right w:val="single" w:sz="4" w:space="0" w:color="auto"/>
            </w:tcBorders>
            <w:vAlign w:val="center"/>
            <w:hideMark/>
          </w:tcPr>
          <w:p w14:paraId="344F6199"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Funds to Crypto - Customers</w:t>
            </w:r>
          </w:p>
        </w:tc>
        <w:tc>
          <w:tcPr>
            <w:tcW w:w="850" w:type="dxa"/>
            <w:tcBorders>
              <w:top w:val="nil"/>
              <w:left w:val="nil"/>
              <w:bottom w:val="single" w:sz="4" w:space="0" w:color="000000"/>
              <w:right w:val="single" w:sz="4" w:space="0" w:color="000000"/>
            </w:tcBorders>
            <w:vAlign w:val="center"/>
            <w:hideMark/>
          </w:tcPr>
          <w:p w14:paraId="645FFA4E"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C0030</w:t>
            </w:r>
          </w:p>
        </w:tc>
        <w:tc>
          <w:tcPr>
            <w:tcW w:w="1276" w:type="dxa"/>
            <w:tcBorders>
              <w:top w:val="nil"/>
              <w:left w:val="nil"/>
              <w:bottom w:val="single" w:sz="4" w:space="0" w:color="auto"/>
              <w:right w:val="single" w:sz="4" w:space="0" w:color="auto"/>
            </w:tcBorders>
            <w:shd w:val="clear" w:color="000000" w:fill="3D7AF5"/>
            <w:vAlign w:val="center"/>
            <w:hideMark/>
          </w:tcPr>
          <w:p w14:paraId="5112665D"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 xml:space="preserve">AML.04.10 </w:t>
            </w:r>
          </w:p>
        </w:tc>
      </w:tr>
      <w:tr w:rsidR="00476609" w:rsidRPr="0051795D" w14:paraId="585EA919"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47476656"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8" w:space="0" w:color="000000"/>
              <w:right w:val="single" w:sz="4" w:space="0" w:color="auto"/>
            </w:tcBorders>
            <w:vAlign w:val="center"/>
            <w:hideMark/>
          </w:tcPr>
          <w:p w14:paraId="192DCC0F"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nil"/>
              <w:left w:val="nil"/>
              <w:bottom w:val="single" w:sz="8" w:space="0" w:color="auto"/>
              <w:right w:val="single" w:sz="4" w:space="0" w:color="auto"/>
            </w:tcBorders>
            <w:vAlign w:val="center"/>
            <w:hideMark/>
          </w:tcPr>
          <w:p w14:paraId="0CFA149F"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number of transactions funds-crypto to unhosted wallets in the previous year</w:t>
            </w:r>
          </w:p>
        </w:tc>
        <w:tc>
          <w:tcPr>
            <w:tcW w:w="2694" w:type="dxa"/>
            <w:tcBorders>
              <w:top w:val="nil"/>
              <w:left w:val="nil"/>
              <w:bottom w:val="single" w:sz="4" w:space="0" w:color="auto"/>
              <w:right w:val="single" w:sz="4" w:space="0" w:color="auto"/>
            </w:tcBorders>
            <w:vAlign w:val="center"/>
            <w:hideMark/>
          </w:tcPr>
          <w:p w14:paraId="70F5E1F0"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 xml:space="preserve">Funds-to-Crypto (to Self-hosted) – Number </w:t>
            </w:r>
          </w:p>
        </w:tc>
        <w:tc>
          <w:tcPr>
            <w:tcW w:w="850" w:type="dxa"/>
            <w:tcBorders>
              <w:top w:val="nil"/>
              <w:left w:val="nil"/>
              <w:bottom w:val="single" w:sz="4" w:space="0" w:color="000000"/>
              <w:right w:val="single" w:sz="4" w:space="0" w:color="000000"/>
            </w:tcBorders>
            <w:vAlign w:val="center"/>
            <w:hideMark/>
          </w:tcPr>
          <w:p w14:paraId="23E9ADA6"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C0040</w:t>
            </w:r>
          </w:p>
        </w:tc>
        <w:tc>
          <w:tcPr>
            <w:tcW w:w="1276" w:type="dxa"/>
            <w:tcBorders>
              <w:top w:val="nil"/>
              <w:left w:val="nil"/>
              <w:bottom w:val="single" w:sz="4" w:space="0" w:color="auto"/>
              <w:right w:val="single" w:sz="4" w:space="0" w:color="auto"/>
            </w:tcBorders>
            <w:shd w:val="clear" w:color="000000" w:fill="3D7AF5"/>
            <w:vAlign w:val="center"/>
            <w:hideMark/>
          </w:tcPr>
          <w:p w14:paraId="56B77DB7"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 xml:space="preserve">AML.04.10 </w:t>
            </w:r>
          </w:p>
        </w:tc>
      </w:tr>
      <w:tr w:rsidR="00476609" w:rsidRPr="0051795D" w14:paraId="46BCAC63"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428A1932"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val="restart"/>
            <w:tcBorders>
              <w:top w:val="nil"/>
              <w:left w:val="single" w:sz="4" w:space="0" w:color="auto"/>
              <w:bottom w:val="single" w:sz="4" w:space="0" w:color="auto"/>
              <w:right w:val="single" w:sz="4" w:space="0" w:color="auto"/>
            </w:tcBorders>
            <w:shd w:val="clear" w:color="000000" w:fill="3D7AF5"/>
            <w:vAlign w:val="center"/>
            <w:hideMark/>
          </w:tcPr>
          <w:p w14:paraId="46F56955"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Exchange crypto for crypto</w:t>
            </w:r>
          </w:p>
        </w:tc>
        <w:tc>
          <w:tcPr>
            <w:tcW w:w="2308" w:type="dxa"/>
            <w:tcBorders>
              <w:top w:val="nil"/>
              <w:left w:val="nil"/>
              <w:bottom w:val="single" w:sz="4" w:space="0" w:color="auto"/>
              <w:right w:val="single" w:sz="4" w:space="0" w:color="auto"/>
            </w:tcBorders>
            <w:vAlign w:val="center"/>
            <w:hideMark/>
          </w:tcPr>
          <w:p w14:paraId="4FD6B75F"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amount (EUR) crypto-crypto in the previous year</w:t>
            </w:r>
          </w:p>
        </w:tc>
        <w:tc>
          <w:tcPr>
            <w:tcW w:w="2694" w:type="dxa"/>
            <w:tcBorders>
              <w:top w:val="nil"/>
              <w:left w:val="nil"/>
              <w:bottom w:val="single" w:sz="4" w:space="0" w:color="auto"/>
              <w:right w:val="single" w:sz="4" w:space="0" w:color="auto"/>
            </w:tcBorders>
            <w:vAlign w:val="center"/>
            <w:hideMark/>
          </w:tcPr>
          <w:p w14:paraId="7B459B03"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Crypto-to-Crypto - Value</w:t>
            </w:r>
          </w:p>
        </w:tc>
        <w:tc>
          <w:tcPr>
            <w:tcW w:w="850" w:type="dxa"/>
            <w:tcBorders>
              <w:top w:val="nil"/>
              <w:left w:val="nil"/>
              <w:bottom w:val="single" w:sz="4" w:space="0" w:color="auto"/>
              <w:right w:val="single" w:sz="4" w:space="0" w:color="auto"/>
            </w:tcBorders>
            <w:vAlign w:val="center"/>
            <w:hideMark/>
          </w:tcPr>
          <w:p w14:paraId="3858CAAF"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C0090</w:t>
            </w:r>
          </w:p>
        </w:tc>
        <w:tc>
          <w:tcPr>
            <w:tcW w:w="1276" w:type="dxa"/>
            <w:tcBorders>
              <w:top w:val="nil"/>
              <w:left w:val="nil"/>
              <w:bottom w:val="single" w:sz="4" w:space="0" w:color="auto"/>
              <w:right w:val="single" w:sz="4" w:space="0" w:color="auto"/>
            </w:tcBorders>
            <w:shd w:val="clear" w:color="000000" w:fill="3D7AF5"/>
            <w:vAlign w:val="center"/>
            <w:hideMark/>
          </w:tcPr>
          <w:p w14:paraId="41647A82"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 xml:space="preserve">AML.04.10 </w:t>
            </w:r>
          </w:p>
        </w:tc>
      </w:tr>
      <w:tr w:rsidR="00476609" w:rsidRPr="0051795D" w14:paraId="71D11657"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4F2E1FAA"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4" w:space="0" w:color="auto"/>
              <w:right w:val="single" w:sz="4" w:space="0" w:color="auto"/>
            </w:tcBorders>
            <w:vAlign w:val="center"/>
            <w:hideMark/>
          </w:tcPr>
          <w:p w14:paraId="3781A476"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nil"/>
              <w:left w:val="nil"/>
              <w:bottom w:val="single" w:sz="4" w:space="0" w:color="auto"/>
              <w:right w:val="single" w:sz="4" w:space="0" w:color="auto"/>
            </w:tcBorders>
            <w:vAlign w:val="center"/>
            <w:hideMark/>
          </w:tcPr>
          <w:p w14:paraId="038F0555"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Number of customers using this type of service in the previous year</w:t>
            </w:r>
          </w:p>
        </w:tc>
        <w:tc>
          <w:tcPr>
            <w:tcW w:w="2694" w:type="dxa"/>
            <w:tcBorders>
              <w:top w:val="nil"/>
              <w:left w:val="nil"/>
              <w:bottom w:val="single" w:sz="4" w:space="0" w:color="auto"/>
              <w:right w:val="single" w:sz="4" w:space="0" w:color="auto"/>
            </w:tcBorders>
            <w:vAlign w:val="center"/>
            <w:hideMark/>
          </w:tcPr>
          <w:p w14:paraId="20CC45C7"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Crypto-to-Crypto - Customers</w:t>
            </w:r>
          </w:p>
        </w:tc>
        <w:tc>
          <w:tcPr>
            <w:tcW w:w="850" w:type="dxa"/>
            <w:tcBorders>
              <w:top w:val="nil"/>
              <w:left w:val="nil"/>
              <w:bottom w:val="nil"/>
              <w:right w:val="single" w:sz="4" w:space="0" w:color="auto"/>
            </w:tcBorders>
            <w:vAlign w:val="center"/>
            <w:hideMark/>
          </w:tcPr>
          <w:p w14:paraId="579DAA19"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C0100</w:t>
            </w:r>
          </w:p>
        </w:tc>
        <w:tc>
          <w:tcPr>
            <w:tcW w:w="1276" w:type="dxa"/>
            <w:tcBorders>
              <w:top w:val="nil"/>
              <w:left w:val="nil"/>
              <w:bottom w:val="single" w:sz="4" w:space="0" w:color="auto"/>
              <w:right w:val="single" w:sz="4" w:space="0" w:color="auto"/>
            </w:tcBorders>
            <w:shd w:val="clear" w:color="000000" w:fill="3D7AF5"/>
            <w:vAlign w:val="center"/>
            <w:hideMark/>
          </w:tcPr>
          <w:p w14:paraId="569373DF"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 xml:space="preserve">AML.04.10 </w:t>
            </w:r>
          </w:p>
        </w:tc>
      </w:tr>
      <w:tr w:rsidR="00476609" w:rsidRPr="0051795D" w14:paraId="31106AA6"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7D52E9C2"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4" w:space="0" w:color="auto"/>
              <w:right w:val="single" w:sz="4" w:space="0" w:color="auto"/>
            </w:tcBorders>
            <w:vAlign w:val="center"/>
            <w:hideMark/>
          </w:tcPr>
          <w:p w14:paraId="70DEB5E1"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nil"/>
              <w:left w:val="nil"/>
              <w:bottom w:val="single" w:sz="4" w:space="0" w:color="auto"/>
              <w:right w:val="single" w:sz="4" w:space="0" w:color="auto"/>
            </w:tcBorders>
            <w:vAlign w:val="center"/>
            <w:hideMark/>
          </w:tcPr>
          <w:p w14:paraId="2AF46310"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number of transactions crypto-crypto in the previous year</w:t>
            </w:r>
          </w:p>
        </w:tc>
        <w:tc>
          <w:tcPr>
            <w:tcW w:w="2694" w:type="dxa"/>
            <w:tcBorders>
              <w:top w:val="nil"/>
              <w:left w:val="nil"/>
              <w:bottom w:val="single" w:sz="4" w:space="0" w:color="auto"/>
              <w:right w:val="single" w:sz="4" w:space="0" w:color="auto"/>
            </w:tcBorders>
            <w:vAlign w:val="center"/>
            <w:hideMark/>
          </w:tcPr>
          <w:p w14:paraId="7C892D0F"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Crypto-to-Crypto - Number</w:t>
            </w:r>
          </w:p>
        </w:tc>
        <w:tc>
          <w:tcPr>
            <w:tcW w:w="850" w:type="dxa"/>
            <w:tcBorders>
              <w:top w:val="single" w:sz="4" w:space="0" w:color="auto"/>
              <w:left w:val="nil"/>
              <w:bottom w:val="single" w:sz="8" w:space="0" w:color="auto"/>
              <w:right w:val="single" w:sz="4" w:space="0" w:color="auto"/>
            </w:tcBorders>
            <w:vAlign w:val="center"/>
            <w:hideMark/>
          </w:tcPr>
          <w:p w14:paraId="359286E5"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C0110</w:t>
            </w:r>
          </w:p>
        </w:tc>
        <w:tc>
          <w:tcPr>
            <w:tcW w:w="1276" w:type="dxa"/>
            <w:tcBorders>
              <w:top w:val="nil"/>
              <w:left w:val="nil"/>
              <w:bottom w:val="single" w:sz="4" w:space="0" w:color="auto"/>
              <w:right w:val="single" w:sz="4" w:space="0" w:color="auto"/>
            </w:tcBorders>
            <w:shd w:val="clear" w:color="000000" w:fill="3D7AF5"/>
            <w:vAlign w:val="center"/>
            <w:hideMark/>
          </w:tcPr>
          <w:p w14:paraId="514DCF24"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 xml:space="preserve">AML.04.10 </w:t>
            </w:r>
          </w:p>
        </w:tc>
      </w:tr>
      <w:tr w:rsidR="00476609" w:rsidRPr="0051795D" w14:paraId="1B008525"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5DD84296"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4" w:space="0" w:color="auto"/>
              <w:right w:val="single" w:sz="4" w:space="0" w:color="auto"/>
            </w:tcBorders>
            <w:vAlign w:val="center"/>
            <w:hideMark/>
          </w:tcPr>
          <w:p w14:paraId="4C7F5DFE"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nil"/>
              <w:left w:val="nil"/>
              <w:bottom w:val="single" w:sz="4" w:space="0" w:color="auto"/>
              <w:right w:val="single" w:sz="4" w:space="0" w:color="auto"/>
            </w:tcBorders>
            <w:vAlign w:val="center"/>
            <w:hideMark/>
          </w:tcPr>
          <w:p w14:paraId="4D45A985"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number of transactions crypto-crypto to unhosted wallets in the previous year</w:t>
            </w:r>
          </w:p>
        </w:tc>
        <w:tc>
          <w:tcPr>
            <w:tcW w:w="2694" w:type="dxa"/>
            <w:tcBorders>
              <w:top w:val="nil"/>
              <w:left w:val="nil"/>
              <w:bottom w:val="single" w:sz="4" w:space="0" w:color="auto"/>
              <w:right w:val="single" w:sz="4" w:space="0" w:color="auto"/>
            </w:tcBorders>
            <w:vAlign w:val="center"/>
            <w:hideMark/>
          </w:tcPr>
          <w:p w14:paraId="048541C4"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Crypto-to-Crypto (to Self-hosted) - Number</w:t>
            </w:r>
          </w:p>
        </w:tc>
        <w:tc>
          <w:tcPr>
            <w:tcW w:w="850" w:type="dxa"/>
            <w:tcBorders>
              <w:top w:val="nil"/>
              <w:left w:val="nil"/>
              <w:bottom w:val="single" w:sz="4" w:space="0" w:color="auto"/>
              <w:right w:val="single" w:sz="4" w:space="0" w:color="auto"/>
            </w:tcBorders>
            <w:vAlign w:val="center"/>
            <w:hideMark/>
          </w:tcPr>
          <w:p w14:paraId="0738A5A4"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C0120</w:t>
            </w:r>
          </w:p>
        </w:tc>
        <w:tc>
          <w:tcPr>
            <w:tcW w:w="1276" w:type="dxa"/>
            <w:tcBorders>
              <w:top w:val="nil"/>
              <w:left w:val="nil"/>
              <w:bottom w:val="single" w:sz="4" w:space="0" w:color="auto"/>
              <w:right w:val="single" w:sz="4" w:space="0" w:color="auto"/>
            </w:tcBorders>
            <w:shd w:val="clear" w:color="000000" w:fill="3D7AF5"/>
            <w:vAlign w:val="center"/>
            <w:hideMark/>
          </w:tcPr>
          <w:p w14:paraId="23374937"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 xml:space="preserve">AML.04.10 </w:t>
            </w:r>
          </w:p>
        </w:tc>
      </w:tr>
      <w:tr w:rsidR="00476609" w:rsidRPr="0051795D" w14:paraId="2EF58C81"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7E009ED3"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4" w:space="0" w:color="auto"/>
              <w:right w:val="single" w:sz="4" w:space="0" w:color="auto"/>
            </w:tcBorders>
            <w:vAlign w:val="center"/>
            <w:hideMark/>
          </w:tcPr>
          <w:p w14:paraId="78DA024E"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nil"/>
              <w:left w:val="nil"/>
              <w:bottom w:val="single" w:sz="4" w:space="0" w:color="auto"/>
              <w:right w:val="single" w:sz="4" w:space="0" w:color="auto"/>
            </w:tcBorders>
            <w:vAlign w:val="center"/>
            <w:hideMark/>
          </w:tcPr>
          <w:p w14:paraId="5E975BB3"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number of transactions crypto-crypto from unhosted wallets in the previous year</w:t>
            </w:r>
          </w:p>
        </w:tc>
        <w:tc>
          <w:tcPr>
            <w:tcW w:w="2694" w:type="dxa"/>
            <w:tcBorders>
              <w:top w:val="nil"/>
              <w:left w:val="nil"/>
              <w:bottom w:val="single" w:sz="4" w:space="0" w:color="auto"/>
              <w:right w:val="single" w:sz="4" w:space="0" w:color="auto"/>
            </w:tcBorders>
            <w:vAlign w:val="center"/>
            <w:hideMark/>
          </w:tcPr>
          <w:p w14:paraId="6FA5DB7C"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Crypto-to-Crypto (from Self-hosted) - Number</w:t>
            </w:r>
          </w:p>
        </w:tc>
        <w:tc>
          <w:tcPr>
            <w:tcW w:w="850" w:type="dxa"/>
            <w:tcBorders>
              <w:top w:val="nil"/>
              <w:left w:val="nil"/>
              <w:bottom w:val="single" w:sz="4" w:space="0" w:color="auto"/>
              <w:right w:val="single" w:sz="4" w:space="0" w:color="auto"/>
            </w:tcBorders>
            <w:vAlign w:val="center"/>
            <w:hideMark/>
          </w:tcPr>
          <w:p w14:paraId="48E20EBF"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C0130</w:t>
            </w:r>
          </w:p>
        </w:tc>
        <w:tc>
          <w:tcPr>
            <w:tcW w:w="1276" w:type="dxa"/>
            <w:tcBorders>
              <w:top w:val="nil"/>
              <w:left w:val="nil"/>
              <w:bottom w:val="single" w:sz="4" w:space="0" w:color="auto"/>
              <w:right w:val="single" w:sz="4" w:space="0" w:color="auto"/>
            </w:tcBorders>
            <w:shd w:val="clear" w:color="000000" w:fill="3D7AF5"/>
            <w:vAlign w:val="center"/>
            <w:hideMark/>
          </w:tcPr>
          <w:p w14:paraId="235C820A"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 xml:space="preserve">AML.04.10 </w:t>
            </w:r>
          </w:p>
        </w:tc>
      </w:tr>
      <w:tr w:rsidR="00476609" w:rsidRPr="0051795D" w14:paraId="5565CB7B"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1D1C06A9"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val="restart"/>
            <w:tcBorders>
              <w:top w:val="single" w:sz="8" w:space="0" w:color="auto"/>
              <w:left w:val="single" w:sz="4" w:space="0" w:color="auto"/>
              <w:bottom w:val="single" w:sz="8" w:space="0" w:color="000000"/>
              <w:right w:val="single" w:sz="4" w:space="0" w:color="auto"/>
            </w:tcBorders>
            <w:shd w:val="clear" w:color="000000" w:fill="3D7AF5"/>
            <w:vAlign w:val="center"/>
            <w:hideMark/>
          </w:tcPr>
          <w:p w14:paraId="5738340C"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Transfer crypto-assets</w:t>
            </w:r>
          </w:p>
        </w:tc>
        <w:tc>
          <w:tcPr>
            <w:tcW w:w="2308" w:type="dxa"/>
            <w:tcBorders>
              <w:top w:val="single" w:sz="8" w:space="0" w:color="auto"/>
              <w:left w:val="nil"/>
              <w:bottom w:val="single" w:sz="4" w:space="0" w:color="auto"/>
              <w:right w:val="single" w:sz="4" w:space="0" w:color="auto"/>
            </w:tcBorders>
            <w:vAlign w:val="center"/>
            <w:hideMark/>
          </w:tcPr>
          <w:p w14:paraId="2231821C"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amount (EUR) that customers transferred in the previous year</w:t>
            </w:r>
          </w:p>
        </w:tc>
        <w:tc>
          <w:tcPr>
            <w:tcW w:w="2694" w:type="dxa"/>
            <w:tcBorders>
              <w:top w:val="single" w:sz="8" w:space="0" w:color="auto"/>
              <w:left w:val="nil"/>
              <w:bottom w:val="single" w:sz="4" w:space="0" w:color="auto"/>
              <w:right w:val="single" w:sz="4" w:space="0" w:color="auto"/>
            </w:tcBorders>
            <w:vAlign w:val="center"/>
            <w:hideMark/>
          </w:tcPr>
          <w:p w14:paraId="6059262A"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Transfers - Value</w:t>
            </w:r>
          </w:p>
        </w:tc>
        <w:tc>
          <w:tcPr>
            <w:tcW w:w="850" w:type="dxa"/>
            <w:tcBorders>
              <w:top w:val="single" w:sz="8" w:space="0" w:color="auto"/>
              <w:left w:val="nil"/>
              <w:bottom w:val="single" w:sz="4" w:space="0" w:color="auto"/>
              <w:right w:val="single" w:sz="4" w:space="0" w:color="auto"/>
            </w:tcBorders>
            <w:vAlign w:val="center"/>
            <w:hideMark/>
          </w:tcPr>
          <w:p w14:paraId="571A09B9"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C0140</w:t>
            </w:r>
          </w:p>
        </w:tc>
        <w:tc>
          <w:tcPr>
            <w:tcW w:w="1276" w:type="dxa"/>
            <w:tcBorders>
              <w:top w:val="nil"/>
              <w:left w:val="nil"/>
              <w:bottom w:val="single" w:sz="4" w:space="0" w:color="auto"/>
              <w:right w:val="single" w:sz="4" w:space="0" w:color="auto"/>
            </w:tcBorders>
            <w:shd w:val="clear" w:color="000000" w:fill="3D7AF5"/>
            <w:vAlign w:val="center"/>
            <w:hideMark/>
          </w:tcPr>
          <w:p w14:paraId="1CF3F0B3"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 xml:space="preserve">AML.04.10 </w:t>
            </w:r>
          </w:p>
        </w:tc>
      </w:tr>
      <w:tr w:rsidR="00476609" w:rsidRPr="0051795D" w14:paraId="413F1775"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3D3C2053"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single" w:sz="8" w:space="0" w:color="auto"/>
              <w:left w:val="single" w:sz="4" w:space="0" w:color="auto"/>
              <w:bottom w:val="single" w:sz="8" w:space="0" w:color="000000"/>
              <w:right w:val="single" w:sz="4" w:space="0" w:color="auto"/>
            </w:tcBorders>
            <w:vAlign w:val="center"/>
            <w:hideMark/>
          </w:tcPr>
          <w:p w14:paraId="46B0E68B"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nil"/>
              <w:left w:val="nil"/>
              <w:bottom w:val="single" w:sz="4" w:space="0" w:color="auto"/>
              <w:right w:val="single" w:sz="4" w:space="0" w:color="auto"/>
            </w:tcBorders>
            <w:vAlign w:val="center"/>
            <w:hideMark/>
          </w:tcPr>
          <w:p w14:paraId="0B894CE6"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Number of customers using this type of service in the previous year</w:t>
            </w:r>
          </w:p>
        </w:tc>
        <w:tc>
          <w:tcPr>
            <w:tcW w:w="2694" w:type="dxa"/>
            <w:tcBorders>
              <w:top w:val="nil"/>
              <w:left w:val="nil"/>
              <w:bottom w:val="single" w:sz="4" w:space="0" w:color="auto"/>
              <w:right w:val="single" w:sz="4" w:space="0" w:color="auto"/>
            </w:tcBorders>
            <w:vAlign w:val="center"/>
            <w:hideMark/>
          </w:tcPr>
          <w:p w14:paraId="2D57C456"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Transfers - Customers</w:t>
            </w:r>
          </w:p>
        </w:tc>
        <w:tc>
          <w:tcPr>
            <w:tcW w:w="850" w:type="dxa"/>
            <w:tcBorders>
              <w:top w:val="nil"/>
              <w:left w:val="nil"/>
              <w:bottom w:val="single" w:sz="4" w:space="0" w:color="auto"/>
              <w:right w:val="single" w:sz="4" w:space="0" w:color="auto"/>
            </w:tcBorders>
            <w:vAlign w:val="center"/>
            <w:hideMark/>
          </w:tcPr>
          <w:p w14:paraId="1B13D43D"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C0150</w:t>
            </w:r>
          </w:p>
        </w:tc>
        <w:tc>
          <w:tcPr>
            <w:tcW w:w="1276" w:type="dxa"/>
            <w:tcBorders>
              <w:top w:val="nil"/>
              <w:left w:val="nil"/>
              <w:bottom w:val="single" w:sz="4" w:space="0" w:color="auto"/>
              <w:right w:val="single" w:sz="4" w:space="0" w:color="auto"/>
            </w:tcBorders>
            <w:shd w:val="clear" w:color="000000" w:fill="3D7AF5"/>
            <w:vAlign w:val="center"/>
            <w:hideMark/>
          </w:tcPr>
          <w:p w14:paraId="62C1D617"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 xml:space="preserve">AML.04.10 </w:t>
            </w:r>
          </w:p>
        </w:tc>
      </w:tr>
      <w:tr w:rsidR="00476609" w:rsidRPr="0051795D" w14:paraId="2C64511A"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2C73BAF2"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single" w:sz="8" w:space="0" w:color="auto"/>
              <w:left w:val="single" w:sz="4" w:space="0" w:color="auto"/>
              <w:bottom w:val="single" w:sz="8" w:space="0" w:color="000000"/>
              <w:right w:val="single" w:sz="4" w:space="0" w:color="auto"/>
            </w:tcBorders>
            <w:vAlign w:val="center"/>
            <w:hideMark/>
          </w:tcPr>
          <w:p w14:paraId="6ED7AEC7"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nil"/>
              <w:left w:val="nil"/>
              <w:bottom w:val="single" w:sz="4" w:space="0" w:color="auto"/>
              <w:right w:val="single" w:sz="4" w:space="0" w:color="auto"/>
            </w:tcBorders>
            <w:vAlign w:val="center"/>
            <w:hideMark/>
          </w:tcPr>
          <w:p w14:paraId="6358F277"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number of transfers of crypto-assets in the previous year</w:t>
            </w:r>
          </w:p>
        </w:tc>
        <w:tc>
          <w:tcPr>
            <w:tcW w:w="2694" w:type="dxa"/>
            <w:tcBorders>
              <w:top w:val="nil"/>
              <w:left w:val="nil"/>
              <w:bottom w:val="single" w:sz="4" w:space="0" w:color="auto"/>
              <w:right w:val="single" w:sz="4" w:space="0" w:color="auto"/>
            </w:tcBorders>
            <w:vAlign w:val="center"/>
            <w:hideMark/>
          </w:tcPr>
          <w:p w14:paraId="665AA7E7"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Transfers - Number</w:t>
            </w:r>
          </w:p>
        </w:tc>
        <w:tc>
          <w:tcPr>
            <w:tcW w:w="850" w:type="dxa"/>
            <w:tcBorders>
              <w:top w:val="nil"/>
              <w:left w:val="nil"/>
              <w:bottom w:val="single" w:sz="4" w:space="0" w:color="auto"/>
              <w:right w:val="single" w:sz="4" w:space="0" w:color="auto"/>
            </w:tcBorders>
            <w:vAlign w:val="center"/>
            <w:hideMark/>
          </w:tcPr>
          <w:p w14:paraId="3EE83F9B"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C0160</w:t>
            </w:r>
          </w:p>
        </w:tc>
        <w:tc>
          <w:tcPr>
            <w:tcW w:w="1276" w:type="dxa"/>
            <w:tcBorders>
              <w:top w:val="nil"/>
              <w:left w:val="nil"/>
              <w:bottom w:val="single" w:sz="4" w:space="0" w:color="auto"/>
              <w:right w:val="single" w:sz="4" w:space="0" w:color="auto"/>
            </w:tcBorders>
            <w:shd w:val="clear" w:color="000000" w:fill="3D7AF5"/>
            <w:vAlign w:val="center"/>
            <w:hideMark/>
          </w:tcPr>
          <w:p w14:paraId="6EDCEC5B"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 xml:space="preserve">AML.04.10 </w:t>
            </w:r>
          </w:p>
        </w:tc>
      </w:tr>
      <w:tr w:rsidR="00476609" w:rsidRPr="0051795D" w14:paraId="5FA880BE"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1F88179B"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single" w:sz="8" w:space="0" w:color="auto"/>
              <w:left w:val="single" w:sz="4" w:space="0" w:color="auto"/>
              <w:bottom w:val="single" w:sz="8" w:space="0" w:color="000000"/>
              <w:right w:val="single" w:sz="4" w:space="0" w:color="auto"/>
            </w:tcBorders>
            <w:vAlign w:val="center"/>
            <w:hideMark/>
          </w:tcPr>
          <w:p w14:paraId="42FE61E3"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nil"/>
              <w:left w:val="nil"/>
              <w:bottom w:val="single" w:sz="4" w:space="0" w:color="auto"/>
              <w:right w:val="single" w:sz="4" w:space="0" w:color="auto"/>
            </w:tcBorders>
            <w:vAlign w:val="center"/>
            <w:hideMark/>
          </w:tcPr>
          <w:p w14:paraId="33FE0D5E"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number of transactions to unhosted wallets in the previous year</w:t>
            </w:r>
          </w:p>
        </w:tc>
        <w:tc>
          <w:tcPr>
            <w:tcW w:w="2694" w:type="dxa"/>
            <w:tcBorders>
              <w:top w:val="nil"/>
              <w:left w:val="nil"/>
              <w:bottom w:val="single" w:sz="4" w:space="0" w:color="auto"/>
              <w:right w:val="single" w:sz="4" w:space="0" w:color="auto"/>
            </w:tcBorders>
            <w:vAlign w:val="center"/>
            <w:hideMark/>
          </w:tcPr>
          <w:p w14:paraId="3453A910"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Transfers (to Self-hosted) – Number</w:t>
            </w:r>
          </w:p>
        </w:tc>
        <w:tc>
          <w:tcPr>
            <w:tcW w:w="850" w:type="dxa"/>
            <w:tcBorders>
              <w:top w:val="nil"/>
              <w:left w:val="nil"/>
              <w:bottom w:val="single" w:sz="4" w:space="0" w:color="auto"/>
              <w:right w:val="single" w:sz="4" w:space="0" w:color="auto"/>
            </w:tcBorders>
            <w:vAlign w:val="center"/>
            <w:hideMark/>
          </w:tcPr>
          <w:p w14:paraId="0889A375"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C0170</w:t>
            </w:r>
          </w:p>
        </w:tc>
        <w:tc>
          <w:tcPr>
            <w:tcW w:w="1276" w:type="dxa"/>
            <w:tcBorders>
              <w:top w:val="nil"/>
              <w:left w:val="nil"/>
              <w:bottom w:val="single" w:sz="4" w:space="0" w:color="auto"/>
              <w:right w:val="single" w:sz="4" w:space="0" w:color="auto"/>
            </w:tcBorders>
            <w:shd w:val="clear" w:color="000000" w:fill="3D7AF5"/>
            <w:vAlign w:val="center"/>
            <w:hideMark/>
          </w:tcPr>
          <w:p w14:paraId="23506E69"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 xml:space="preserve">AML.04.10 </w:t>
            </w:r>
          </w:p>
        </w:tc>
      </w:tr>
      <w:tr w:rsidR="00476609" w:rsidRPr="0051795D" w14:paraId="14C71A9D"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5E5FE79E"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single" w:sz="8" w:space="0" w:color="auto"/>
              <w:left w:val="single" w:sz="4" w:space="0" w:color="auto"/>
              <w:bottom w:val="single" w:sz="8" w:space="0" w:color="000000"/>
              <w:right w:val="single" w:sz="4" w:space="0" w:color="auto"/>
            </w:tcBorders>
            <w:vAlign w:val="center"/>
            <w:hideMark/>
          </w:tcPr>
          <w:p w14:paraId="20457623"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nil"/>
              <w:left w:val="nil"/>
              <w:bottom w:val="single" w:sz="8" w:space="0" w:color="auto"/>
              <w:right w:val="single" w:sz="4" w:space="0" w:color="auto"/>
            </w:tcBorders>
            <w:vAlign w:val="center"/>
            <w:hideMark/>
          </w:tcPr>
          <w:p w14:paraId="23D1D91C"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number of transactions from unhosted wallets in the previous year</w:t>
            </w:r>
          </w:p>
        </w:tc>
        <w:tc>
          <w:tcPr>
            <w:tcW w:w="2694" w:type="dxa"/>
            <w:tcBorders>
              <w:top w:val="nil"/>
              <w:left w:val="nil"/>
              <w:bottom w:val="single" w:sz="8" w:space="0" w:color="auto"/>
              <w:right w:val="single" w:sz="4" w:space="0" w:color="auto"/>
            </w:tcBorders>
            <w:vAlign w:val="center"/>
            <w:hideMark/>
          </w:tcPr>
          <w:p w14:paraId="4482CA15"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Transfers (from Self-hosted) - Number</w:t>
            </w:r>
          </w:p>
        </w:tc>
        <w:tc>
          <w:tcPr>
            <w:tcW w:w="850" w:type="dxa"/>
            <w:tcBorders>
              <w:top w:val="nil"/>
              <w:left w:val="nil"/>
              <w:bottom w:val="single" w:sz="8" w:space="0" w:color="auto"/>
              <w:right w:val="single" w:sz="4" w:space="0" w:color="auto"/>
            </w:tcBorders>
            <w:vAlign w:val="center"/>
            <w:hideMark/>
          </w:tcPr>
          <w:p w14:paraId="688F6955"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C0180</w:t>
            </w:r>
          </w:p>
        </w:tc>
        <w:tc>
          <w:tcPr>
            <w:tcW w:w="1276" w:type="dxa"/>
            <w:tcBorders>
              <w:top w:val="nil"/>
              <w:left w:val="nil"/>
              <w:bottom w:val="single" w:sz="4" w:space="0" w:color="auto"/>
              <w:right w:val="single" w:sz="4" w:space="0" w:color="auto"/>
            </w:tcBorders>
            <w:shd w:val="clear" w:color="000000" w:fill="3D7AF5"/>
            <w:vAlign w:val="center"/>
            <w:hideMark/>
          </w:tcPr>
          <w:p w14:paraId="60C8DCAF"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 xml:space="preserve">AML.04.10 </w:t>
            </w:r>
          </w:p>
        </w:tc>
      </w:tr>
      <w:tr w:rsidR="00476609" w:rsidRPr="0051795D" w14:paraId="154F0A31"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3554C83C"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val="restart"/>
            <w:tcBorders>
              <w:top w:val="nil"/>
              <w:left w:val="single" w:sz="4" w:space="0" w:color="auto"/>
              <w:bottom w:val="single" w:sz="8" w:space="0" w:color="000000"/>
              <w:right w:val="single" w:sz="4" w:space="0" w:color="auto"/>
            </w:tcBorders>
            <w:shd w:val="clear" w:color="000000" w:fill="3D7AF5"/>
            <w:vAlign w:val="center"/>
            <w:hideMark/>
          </w:tcPr>
          <w:p w14:paraId="10927F6A"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 xml:space="preserve"> Management of UCITS</w:t>
            </w:r>
          </w:p>
        </w:tc>
        <w:tc>
          <w:tcPr>
            <w:tcW w:w="2308" w:type="dxa"/>
            <w:tcBorders>
              <w:top w:val="nil"/>
              <w:left w:val="nil"/>
              <w:bottom w:val="single" w:sz="4" w:space="0" w:color="auto"/>
              <w:right w:val="single" w:sz="4" w:space="0" w:color="auto"/>
            </w:tcBorders>
            <w:vAlign w:val="center"/>
            <w:hideMark/>
          </w:tcPr>
          <w:p w14:paraId="5F2EC246"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Number of retail investor customers</w:t>
            </w:r>
          </w:p>
        </w:tc>
        <w:tc>
          <w:tcPr>
            <w:tcW w:w="2694" w:type="dxa"/>
            <w:tcBorders>
              <w:top w:val="nil"/>
              <w:left w:val="nil"/>
              <w:bottom w:val="single" w:sz="4" w:space="0" w:color="auto"/>
              <w:right w:val="single" w:sz="4" w:space="0" w:color="auto"/>
            </w:tcBorders>
            <w:vAlign w:val="center"/>
            <w:hideMark/>
          </w:tcPr>
          <w:p w14:paraId="1FDFDD2F"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Management of UCITS - Retail Investors</w:t>
            </w:r>
          </w:p>
        </w:tc>
        <w:tc>
          <w:tcPr>
            <w:tcW w:w="850" w:type="dxa"/>
            <w:tcBorders>
              <w:top w:val="single" w:sz="4" w:space="0" w:color="auto"/>
              <w:left w:val="nil"/>
              <w:bottom w:val="single" w:sz="4" w:space="0" w:color="auto"/>
              <w:right w:val="single" w:sz="4" w:space="0" w:color="auto"/>
            </w:tcBorders>
            <w:vAlign w:val="center"/>
            <w:hideMark/>
          </w:tcPr>
          <w:p w14:paraId="6A35212C"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C0010</w:t>
            </w:r>
          </w:p>
        </w:tc>
        <w:tc>
          <w:tcPr>
            <w:tcW w:w="1276" w:type="dxa"/>
            <w:tcBorders>
              <w:top w:val="single" w:sz="8" w:space="0" w:color="auto"/>
              <w:left w:val="nil"/>
              <w:bottom w:val="single" w:sz="4" w:space="0" w:color="auto"/>
              <w:right w:val="single" w:sz="4" w:space="0" w:color="auto"/>
            </w:tcBorders>
            <w:shd w:val="clear" w:color="000000" w:fill="3D7AF5"/>
            <w:vAlign w:val="center"/>
            <w:hideMark/>
          </w:tcPr>
          <w:p w14:paraId="134691AB"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 xml:space="preserve">AML.04.11 </w:t>
            </w:r>
          </w:p>
        </w:tc>
      </w:tr>
      <w:tr w:rsidR="00476609" w:rsidRPr="0051795D" w14:paraId="4FF0E71D"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1446AEB4"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8" w:space="0" w:color="000000"/>
              <w:right w:val="single" w:sz="4" w:space="0" w:color="auto"/>
            </w:tcBorders>
            <w:vAlign w:val="center"/>
            <w:hideMark/>
          </w:tcPr>
          <w:p w14:paraId="76A8EC01"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nil"/>
              <w:left w:val="nil"/>
              <w:bottom w:val="nil"/>
              <w:right w:val="nil"/>
            </w:tcBorders>
            <w:vAlign w:val="center"/>
            <w:hideMark/>
          </w:tcPr>
          <w:p w14:paraId="4972E08B"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 xml:space="preserve">Number of professional investor customers </w:t>
            </w:r>
          </w:p>
        </w:tc>
        <w:tc>
          <w:tcPr>
            <w:tcW w:w="2694" w:type="dxa"/>
            <w:tcBorders>
              <w:top w:val="nil"/>
              <w:left w:val="single" w:sz="4" w:space="0" w:color="auto"/>
              <w:bottom w:val="single" w:sz="4" w:space="0" w:color="auto"/>
              <w:right w:val="single" w:sz="4" w:space="0" w:color="auto"/>
            </w:tcBorders>
            <w:vAlign w:val="center"/>
            <w:hideMark/>
          </w:tcPr>
          <w:p w14:paraId="571D09D7"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Management of UCITS - Professional Investors</w:t>
            </w:r>
          </w:p>
        </w:tc>
        <w:tc>
          <w:tcPr>
            <w:tcW w:w="850" w:type="dxa"/>
            <w:tcBorders>
              <w:top w:val="nil"/>
              <w:left w:val="nil"/>
              <w:bottom w:val="single" w:sz="4" w:space="0" w:color="000000"/>
              <w:right w:val="single" w:sz="4" w:space="0" w:color="000000"/>
            </w:tcBorders>
            <w:vAlign w:val="center"/>
            <w:hideMark/>
          </w:tcPr>
          <w:p w14:paraId="100F52AD"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C0020</w:t>
            </w:r>
          </w:p>
        </w:tc>
        <w:tc>
          <w:tcPr>
            <w:tcW w:w="1276" w:type="dxa"/>
            <w:tcBorders>
              <w:top w:val="single" w:sz="8" w:space="0" w:color="auto"/>
              <w:left w:val="nil"/>
              <w:bottom w:val="single" w:sz="4" w:space="0" w:color="auto"/>
              <w:right w:val="single" w:sz="4" w:space="0" w:color="auto"/>
            </w:tcBorders>
            <w:shd w:val="clear" w:color="000000" w:fill="3D7AF5"/>
            <w:vAlign w:val="center"/>
            <w:hideMark/>
          </w:tcPr>
          <w:p w14:paraId="36E37AF5"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 xml:space="preserve">AML.04.11 </w:t>
            </w:r>
          </w:p>
        </w:tc>
      </w:tr>
      <w:tr w:rsidR="00476609" w:rsidRPr="0051795D" w14:paraId="6AC3ABD5"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67DF22C4"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8" w:space="0" w:color="000000"/>
              <w:right w:val="single" w:sz="4" w:space="0" w:color="auto"/>
            </w:tcBorders>
            <w:vAlign w:val="center"/>
            <w:hideMark/>
          </w:tcPr>
          <w:p w14:paraId="7645B43B"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single" w:sz="4" w:space="0" w:color="000000"/>
              <w:left w:val="nil"/>
              <w:bottom w:val="single" w:sz="8" w:space="0" w:color="auto"/>
              <w:right w:val="nil"/>
            </w:tcBorders>
            <w:vAlign w:val="center"/>
            <w:hideMark/>
          </w:tcPr>
          <w:p w14:paraId="6B204560"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assets under management of UCITSs</w:t>
            </w:r>
          </w:p>
        </w:tc>
        <w:tc>
          <w:tcPr>
            <w:tcW w:w="2694" w:type="dxa"/>
            <w:tcBorders>
              <w:top w:val="nil"/>
              <w:left w:val="single" w:sz="4" w:space="0" w:color="auto"/>
              <w:bottom w:val="single" w:sz="4" w:space="0" w:color="auto"/>
              <w:right w:val="single" w:sz="4" w:space="0" w:color="auto"/>
            </w:tcBorders>
            <w:noWrap/>
            <w:vAlign w:val="center"/>
            <w:hideMark/>
          </w:tcPr>
          <w:p w14:paraId="50125D26" w14:textId="77777777" w:rsidR="0051795D" w:rsidRPr="0051795D" w:rsidRDefault="0051795D" w:rsidP="0051795D">
            <w:pPr>
              <w:spacing w:before="0" w:after="0" w:line="240" w:lineRule="auto"/>
              <w:jc w:val="both"/>
              <w:rPr>
                <w:rFonts w:ascii="Aptos" w:eastAsia="Times New Roman" w:hAnsi="Aptos"/>
                <w:b/>
                <w:bCs/>
                <w:color w:val="000000"/>
                <w:kern w:val="0"/>
                <w:sz w:val="20"/>
                <w:u w:val="single"/>
                <w:lang w:val="en-IE" w:eastAsia="en-IE"/>
              </w:rPr>
            </w:pPr>
            <w:r w:rsidRPr="0051795D">
              <w:rPr>
                <w:rFonts w:ascii="Aptos" w:eastAsia="Times New Roman" w:hAnsi="Aptos"/>
                <w:b/>
                <w:bCs/>
                <w:color w:val="000000"/>
                <w:kern w:val="0"/>
                <w:sz w:val="20"/>
                <w:u w:val="single"/>
                <w:lang w:val="en-IE" w:eastAsia="en-IE"/>
              </w:rPr>
              <w:t>Management of UCITS - Total AUM</w:t>
            </w:r>
          </w:p>
        </w:tc>
        <w:tc>
          <w:tcPr>
            <w:tcW w:w="850" w:type="dxa"/>
            <w:tcBorders>
              <w:top w:val="nil"/>
              <w:left w:val="nil"/>
              <w:bottom w:val="single" w:sz="4" w:space="0" w:color="auto"/>
              <w:right w:val="single" w:sz="4" w:space="0" w:color="auto"/>
            </w:tcBorders>
            <w:vAlign w:val="center"/>
            <w:hideMark/>
          </w:tcPr>
          <w:p w14:paraId="6B8C5C95"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C0010</w:t>
            </w:r>
          </w:p>
        </w:tc>
        <w:tc>
          <w:tcPr>
            <w:tcW w:w="1276" w:type="dxa"/>
            <w:tcBorders>
              <w:top w:val="single" w:sz="8" w:space="0" w:color="auto"/>
              <w:left w:val="nil"/>
              <w:bottom w:val="single" w:sz="4" w:space="0" w:color="auto"/>
              <w:right w:val="single" w:sz="4" w:space="0" w:color="auto"/>
            </w:tcBorders>
            <w:shd w:val="clear" w:color="000000" w:fill="3D7AF5"/>
            <w:vAlign w:val="center"/>
            <w:hideMark/>
          </w:tcPr>
          <w:p w14:paraId="02C8C1E9"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 xml:space="preserve">AML.04.11 </w:t>
            </w:r>
          </w:p>
        </w:tc>
      </w:tr>
      <w:tr w:rsidR="00476609" w:rsidRPr="0051795D" w14:paraId="49D28459"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6FA40051"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val="restart"/>
            <w:tcBorders>
              <w:top w:val="nil"/>
              <w:left w:val="single" w:sz="4" w:space="0" w:color="auto"/>
              <w:bottom w:val="single" w:sz="8" w:space="0" w:color="000000"/>
              <w:right w:val="single" w:sz="4" w:space="0" w:color="auto"/>
            </w:tcBorders>
            <w:shd w:val="clear" w:color="000000" w:fill="3D7AF5"/>
            <w:vAlign w:val="center"/>
            <w:hideMark/>
          </w:tcPr>
          <w:p w14:paraId="01AD1087"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Management of AIFs</w:t>
            </w:r>
          </w:p>
        </w:tc>
        <w:tc>
          <w:tcPr>
            <w:tcW w:w="2308" w:type="dxa"/>
            <w:tcBorders>
              <w:top w:val="nil"/>
              <w:left w:val="nil"/>
              <w:bottom w:val="single" w:sz="4" w:space="0" w:color="auto"/>
              <w:right w:val="single" w:sz="4" w:space="0" w:color="auto"/>
            </w:tcBorders>
            <w:vAlign w:val="center"/>
            <w:hideMark/>
          </w:tcPr>
          <w:p w14:paraId="675FAA23"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Number of retail investor customers</w:t>
            </w:r>
          </w:p>
        </w:tc>
        <w:tc>
          <w:tcPr>
            <w:tcW w:w="2694" w:type="dxa"/>
            <w:tcBorders>
              <w:top w:val="nil"/>
              <w:left w:val="nil"/>
              <w:bottom w:val="single" w:sz="4" w:space="0" w:color="auto"/>
              <w:right w:val="single" w:sz="4" w:space="0" w:color="auto"/>
            </w:tcBorders>
            <w:vAlign w:val="center"/>
            <w:hideMark/>
          </w:tcPr>
          <w:p w14:paraId="5C0EE92A"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Management of AIFs - Retail Investors</w:t>
            </w:r>
          </w:p>
        </w:tc>
        <w:tc>
          <w:tcPr>
            <w:tcW w:w="850" w:type="dxa"/>
            <w:tcBorders>
              <w:top w:val="nil"/>
              <w:left w:val="nil"/>
              <w:bottom w:val="single" w:sz="4" w:space="0" w:color="000000"/>
              <w:right w:val="single" w:sz="4" w:space="0" w:color="000000"/>
            </w:tcBorders>
            <w:vAlign w:val="center"/>
            <w:hideMark/>
          </w:tcPr>
          <w:p w14:paraId="4313E90B"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C0020</w:t>
            </w:r>
          </w:p>
        </w:tc>
        <w:tc>
          <w:tcPr>
            <w:tcW w:w="1276" w:type="dxa"/>
            <w:tcBorders>
              <w:top w:val="single" w:sz="8" w:space="0" w:color="auto"/>
              <w:left w:val="nil"/>
              <w:bottom w:val="single" w:sz="4" w:space="0" w:color="auto"/>
              <w:right w:val="single" w:sz="4" w:space="0" w:color="auto"/>
            </w:tcBorders>
            <w:shd w:val="clear" w:color="000000" w:fill="3D7AF5"/>
            <w:vAlign w:val="center"/>
            <w:hideMark/>
          </w:tcPr>
          <w:p w14:paraId="6DE01D57"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 xml:space="preserve">AML.04.11 </w:t>
            </w:r>
          </w:p>
        </w:tc>
      </w:tr>
      <w:tr w:rsidR="00476609" w:rsidRPr="0051795D" w14:paraId="515C3B89"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2C2C19FB"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8" w:space="0" w:color="000000"/>
              <w:right w:val="single" w:sz="4" w:space="0" w:color="auto"/>
            </w:tcBorders>
            <w:vAlign w:val="center"/>
            <w:hideMark/>
          </w:tcPr>
          <w:p w14:paraId="32ED8F3F"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nil"/>
              <w:left w:val="nil"/>
              <w:bottom w:val="nil"/>
              <w:right w:val="single" w:sz="4" w:space="0" w:color="auto"/>
            </w:tcBorders>
            <w:vAlign w:val="center"/>
            <w:hideMark/>
          </w:tcPr>
          <w:p w14:paraId="5E9D2E4A"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 xml:space="preserve">Number of professional investor customers </w:t>
            </w:r>
          </w:p>
        </w:tc>
        <w:tc>
          <w:tcPr>
            <w:tcW w:w="2694" w:type="dxa"/>
            <w:tcBorders>
              <w:top w:val="nil"/>
              <w:left w:val="nil"/>
              <w:bottom w:val="single" w:sz="4" w:space="0" w:color="auto"/>
              <w:right w:val="single" w:sz="4" w:space="0" w:color="auto"/>
            </w:tcBorders>
            <w:vAlign w:val="center"/>
            <w:hideMark/>
          </w:tcPr>
          <w:p w14:paraId="4F05B4E2"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Management of AIFs - Professional Investors</w:t>
            </w:r>
          </w:p>
        </w:tc>
        <w:tc>
          <w:tcPr>
            <w:tcW w:w="850" w:type="dxa"/>
            <w:tcBorders>
              <w:top w:val="nil"/>
              <w:left w:val="nil"/>
              <w:bottom w:val="single" w:sz="4" w:space="0" w:color="000000"/>
              <w:right w:val="single" w:sz="4" w:space="0" w:color="000000"/>
            </w:tcBorders>
            <w:vAlign w:val="center"/>
            <w:hideMark/>
          </w:tcPr>
          <w:p w14:paraId="28F92070"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C0030</w:t>
            </w:r>
          </w:p>
        </w:tc>
        <w:tc>
          <w:tcPr>
            <w:tcW w:w="1276" w:type="dxa"/>
            <w:tcBorders>
              <w:top w:val="single" w:sz="8" w:space="0" w:color="auto"/>
              <w:left w:val="nil"/>
              <w:bottom w:val="single" w:sz="4" w:space="0" w:color="auto"/>
              <w:right w:val="single" w:sz="4" w:space="0" w:color="auto"/>
            </w:tcBorders>
            <w:shd w:val="clear" w:color="000000" w:fill="3D7AF5"/>
            <w:vAlign w:val="center"/>
            <w:hideMark/>
          </w:tcPr>
          <w:p w14:paraId="785E3676"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 xml:space="preserve">AML.04.11 </w:t>
            </w:r>
          </w:p>
        </w:tc>
      </w:tr>
      <w:tr w:rsidR="00476609" w:rsidRPr="0051795D" w14:paraId="4C0E9DE7"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5A64DB8C"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8" w:space="0" w:color="000000"/>
              <w:right w:val="single" w:sz="4" w:space="0" w:color="auto"/>
            </w:tcBorders>
            <w:vAlign w:val="center"/>
            <w:hideMark/>
          </w:tcPr>
          <w:p w14:paraId="6A476F76"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single" w:sz="4" w:space="0" w:color="auto"/>
              <w:left w:val="nil"/>
              <w:bottom w:val="nil"/>
              <w:right w:val="single" w:sz="4" w:space="0" w:color="auto"/>
            </w:tcBorders>
            <w:vAlign w:val="center"/>
            <w:hideMark/>
          </w:tcPr>
          <w:p w14:paraId="518BE765"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Number of open-ended funds</w:t>
            </w:r>
          </w:p>
        </w:tc>
        <w:tc>
          <w:tcPr>
            <w:tcW w:w="2694" w:type="dxa"/>
            <w:tcBorders>
              <w:top w:val="nil"/>
              <w:left w:val="nil"/>
              <w:bottom w:val="nil"/>
              <w:right w:val="single" w:sz="4" w:space="0" w:color="auto"/>
            </w:tcBorders>
            <w:vAlign w:val="center"/>
            <w:hideMark/>
          </w:tcPr>
          <w:p w14:paraId="7F38EC3F"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Open-ended Funds - Number</w:t>
            </w:r>
          </w:p>
        </w:tc>
        <w:tc>
          <w:tcPr>
            <w:tcW w:w="850" w:type="dxa"/>
            <w:tcBorders>
              <w:top w:val="nil"/>
              <w:left w:val="nil"/>
              <w:bottom w:val="single" w:sz="4" w:space="0" w:color="000000"/>
              <w:right w:val="single" w:sz="4" w:space="0" w:color="000000"/>
            </w:tcBorders>
            <w:vAlign w:val="center"/>
            <w:hideMark/>
          </w:tcPr>
          <w:p w14:paraId="45CC35EE"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C0040</w:t>
            </w:r>
          </w:p>
        </w:tc>
        <w:tc>
          <w:tcPr>
            <w:tcW w:w="1276" w:type="dxa"/>
            <w:tcBorders>
              <w:top w:val="single" w:sz="8" w:space="0" w:color="auto"/>
              <w:left w:val="nil"/>
              <w:bottom w:val="single" w:sz="4" w:space="0" w:color="auto"/>
              <w:right w:val="single" w:sz="4" w:space="0" w:color="auto"/>
            </w:tcBorders>
            <w:shd w:val="clear" w:color="000000" w:fill="3D7AF5"/>
            <w:vAlign w:val="center"/>
            <w:hideMark/>
          </w:tcPr>
          <w:p w14:paraId="463DCDD7"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 xml:space="preserve">AML.04.11 </w:t>
            </w:r>
          </w:p>
        </w:tc>
      </w:tr>
      <w:tr w:rsidR="00476609" w:rsidRPr="0051795D" w14:paraId="7D8026CD"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67CC76DD"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8" w:space="0" w:color="000000"/>
              <w:right w:val="single" w:sz="4" w:space="0" w:color="auto"/>
            </w:tcBorders>
            <w:vAlign w:val="center"/>
            <w:hideMark/>
          </w:tcPr>
          <w:p w14:paraId="29F8F539"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single" w:sz="4" w:space="0" w:color="auto"/>
              <w:left w:val="nil"/>
              <w:bottom w:val="nil"/>
              <w:right w:val="single" w:sz="4" w:space="0" w:color="auto"/>
            </w:tcBorders>
            <w:vAlign w:val="center"/>
            <w:hideMark/>
          </w:tcPr>
          <w:p w14:paraId="4EE445A0"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Number of closed-ended funds</w:t>
            </w:r>
          </w:p>
        </w:tc>
        <w:tc>
          <w:tcPr>
            <w:tcW w:w="2694" w:type="dxa"/>
            <w:tcBorders>
              <w:top w:val="single" w:sz="4" w:space="0" w:color="auto"/>
              <w:left w:val="nil"/>
              <w:bottom w:val="nil"/>
              <w:right w:val="single" w:sz="4" w:space="0" w:color="auto"/>
            </w:tcBorders>
            <w:vAlign w:val="center"/>
            <w:hideMark/>
          </w:tcPr>
          <w:p w14:paraId="264FF4A0"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Closed-ended Funds - Number</w:t>
            </w:r>
          </w:p>
        </w:tc>
        <w:tc>
          <w:tcPr>
            <w:tcW w:w="850" w:type="dxa"/>
            <w:tcBorders>
              <w:top w:val="nil"/>
              <w:left w:val="nil"/>
              <w:bottom w:val="nil"/>
              <w:right w:val="single" w:sz="4" w:space="0" w:color="000000"/>
            </w:tcBorders>
            <w:vAlign w:val="center"/>
            <w:hideMark/>
          </w:tcPr>
          <w:p w14:paraId="64686E5F"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C0050</w:t>
            </w:r>
          </w:p>
        </w:tc>
        <w:tc>
          <w:tcPr>
            <w:tcW w:w="1276" w:type="dxa"/>
            <w:tcBorders>
              <w:top w:val="single" w:sz="8" w:space="0" w:color="auto"/>
              <w:left w:val="nil"/>
              <w:bottom w:val="single" w:sz="4" w:space="0" w:color="auto"/>
              <w:right w:val="single" w:sz="4" w:space="0" w:color="auto"/>
            </w:tcBorders>
            <w:shd w:val="clear" w:color="000000" w:fill="3D7AF5"/>
            <w:vAlign w:val="center"/>
            <w:hideMark/>
          </w:tcPr>
          <w:p w14:paraId="155F20F5"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 xml:space="preserve">AML.04.11 </w:t>
            </w:r>
          </w:p>
        </w:tc>
      </w:tr>
      <w:tr w:rsidR="00476609" w:rsidRPr="0051795D" w14:paraId="74F0B393"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385D7179"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8" w:space="0" w:color="000000"/>
              <w:right w:val="single" w:sz="4" w:space="0" w:color="auto"/>
            </w:tcBorders>
            <w:vAlign w:val="center"/>
            <w:hideMark/>
          </w:tcPr>
          <w:p w14:paraId="73D6F11E"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single" w:sz="4" w:space="0" w:color="auto"/>
              <w:left w:val="nil"/>
              <w:bottom w:val="nil"/>
              <w:right w:val="single" w:sz="4" w:space="0" w:color="auto"/>
            </w:tcBorders>
            <w:vAlign w:val="center"/>
            <w:hideMark/>
          </w:tcPr>
          <w:p w14:paraId="17ECF4A7"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assets under management</w:t>
            </w:r>
          </w:p>
        </w:tc>
        <w:tc>
          <w:tcPr>
            <w:tcW w:w="2694" w:type="dxa"/>
            <w:tcBorders>
              <w:top w:val="single" w:sz="4" w:space="0" w:color="auto"/>
              <w:left w:val="nil"/>
              <w:bottom w:val="nil"/>
              <w:right w:val="single" w:sz="4" w:space="0" w:color="auto"/>
            </w:tcBorders>
            <w:vAlign w:val="center"/>
            <w:hideMark/>
          </w:tcPr>
          <w:p w14:paraId="78725BBE"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Management of AIFs - Total AUM</w:t>
            </w:r>
          </w:p>
        </w:tc>
        <w:tc>
          <w:tcPr>
            <w:tcW w:w="850" w:type="dxa"/>
            <w:tcBorders>
              <w:top w:val="single" w:sz="4" w:space="0" w:color="auto"/>
              <w:left w:val="nil"/>
              <w:bottom w:val="single" w:sz="4" w:space="0" w:color="auto"/>
              <w:right w:val="single" w:sz="4" w:space="0" w:color="auto"/>
            </w:tcBorders>
            <w:vAlign w:val="center"/>
            <w:hideMark/>
          </w:tcPr>
          <w:p w14:paraId="56368740"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C0060</w:t>
            </w:r>
          </w:p>
        </w:tc>
        <w:tc>
          <w:tcPr>
            <w:tcW w:w="1276" w:type="dxa"/>
            <w:tcBorders>
              <w:top w:val="single" w:sz="8" w:space="0" w:color="auto"/>
              <w:left w:val="nil"/>
              <w:bottom w:val="single" w:sz="4" w:space="0" w:color="auto"/>
              <w:right w:val="single" w:sz="4" w:space="0" w:color="auto"/>
            </w:tcBorders>
            <w:shd w:val="clear" w:color="000000" w:fill="3D7AF5"/>
            <w:vAlign w:val="center"/>
            <w:hideMark/>
          </w:tcPr>
          <w:p w14:paraId="04EF8C94"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 xml:space="preserve">AML.04.11 </w:t>
            </w:r>
          </w:p>
        </w:tc>
      </w:tr>
      <w:tr w:rsidR="00476609" w:rsidRPr="0051795D" w14:paraId="2CDC5F36"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5125F5E1"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8" w:space="0" w:color="000000"/>
              <w:right w:val="single" w:sz="4" w:space="0" w:color="auto"/>
            </w:tcBorders>
            <w:vAlign w:val="center"/>
            <w:hideMark/>
          </w:tcPr>
          <w:p w14:paraId="38568CBC"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single" w:sz="4" w:space="0" w:color="auto"/>
              <w:left w:val="nil"/>
              <w:bottom w:val="single" w:sz="8" w:space="0" w:color="auto"/>
              <w:right w:val="single" w:sz="4" w:space="0" w:color="auto"/>
            </w:tcBorders>
            <w:vAlign w:val="center"/>
            <w:hideMark/>
          </w:tcPr>
          <w:p w14:paraId="6B61D386" w14:textId="77777777" w:rsidR="0051795D" w:rsidRPr="0051795D" w:rsidRDefault="0051795D" w:rsidP="0051795D">
            <w:pPr>
              <w:spacing w:before="0" w:after="0" w:line="240" w:lineRule="auto"/>
              <w:rPr>
                <w:rFonts w:ascii="Aptos Narrow" w:eastAsia="Times New Roman" w:hAnsi="Aptos Narrow"/>
                <w:b/>
                <w:bCs/>
                <w:color w:val="auto"/>
                <w:kern w:val="0"/>
                <w:sz w:val="20"/>
                <w:lang w:val="en-IE" w:eastAsia="en-IE"/>
              </w:rPr>
            </w:pPr>
            <w:r w:rsidRPr="0051795D">
              <w:rPr>
                <w:rFonts w:ascii="Aptos Narrow" w:eastAsia="Times New Roman" w:hAnsi="Aptos Narrow"/>
                <w:b/>
                <w:bCs/>
                <w:color w:val="auto"/>
                <w:kern w:val="0"/>
                <w:sz w:val="20"/>
                <w:lang w:val="en-IE" w:eastAsia="en-IE"/>
              </w:rPr>
              <w:t>Total assets under management in unlisted assets</w:t>
            </w:r>
          </w:p>
        </w:tc>
        <w:tc>
          <w:tcPr>
            <w:tcW w:w="2694" w:type="dxa"/>
            <w:tcBorders>
              <w:top w:val="single" w:sz="4" w:space="0" w:color="auto"/>
              <w:left w:val="nil"/>
              <w:bottom w:val="single" w:sz="8" w:space="0" w:color="auto"/>
              <w:right w:val="single" w:sz="4" w:space="0" w:color="auto"/>
            </w:tcBorders>
            <w:vAlign w:val="center"/>
            <w:hideMark/>
          </w:tcPr>
          <w:p w14:paraId="22FCA39B" w14:textId="77777777" w:rsidR="0051795D" w:rsidRPr="0051795D" w:rsidRDefault="0051795D" w:rsidP="0051795D">
            <w:pPr>
              <w:spacing w:before="0" w:after="0" w:line="240" w:lineRule="auto"/>
              <w:rPr>
                <w:rFonts w:ascii="Aptos Narrow" w:eastAsia="Times New Roman" w:hAnsi="Aptos Narrow"/>
                <w:b/>
                <w:bCs/>
                <w:color w:val="auto"/>
                <w:kern w:val="0"/>
                <w:sz w:val="20"/>
                <w:lang w:val="en-IE" w:eastAsia="en-IE"/>
              </w:rPr>
            </w:pPr>
            <w:r w:rsidRPr="0051795D">
              <w:rPr>
                <w:rFonts w:ascii="Aptos Narrow" w:eastAsia="Times New Roman" w:hAnsi="Aptos Narrow"/>
                <w:b/>
                <w:bCs/>
                <w:color w:val="auto"/>
                <w:kern w:val="0"/>
                <w:sz w:val="20"/>
                <w:lang w:val="en-IE" w:eastAsia="en-IE"/>
              </w:rPr>
              <w:t>Management of AIFs - Total AUM in unlisted assets</w:t>
            </w:r>
          </w:p>
        </w:tc>
        <w:tc>
          <w:tcPr>
            <w:tcW w:w="850" w:type="dxa"/>
            <w:tcBorders>
              <w:top w:val="nil"/>
              <w:left w:val="nil"/>
              <w:bottom w:val="nil"/>
              <w:right w:val="single" w:sz="4" w:space="0" w:color="auto"/>
            </w:tcBorders>
            <w:vAlign w:val="center"/>
            <w:hideMark/>
          </w:tcPr>
          <w:p w14:paraId="511D48C0"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C0070</w:t>
            </w:r>
          </w:p>
        </w:tc>
        <w:tc>
          <w:tcPr>
            <w:tcW w:w="1276" w:type="dxa"/>
            <w:tcBorders>
              <w:top w:val="single" w:sz="8" w:space="0" w:color="auto"/>
              <w:left w:val="nil"/>
              <w:bottom w:val="single" w:sz="4" w:space="0" w:color="auto"/>
              <w:right w:val="single" w:sz="4" w:space="0" w:color="auto"/>
            </w:tcBorders>
            <w:shd w:val="clear" w:color="000000" w:fill="3D7AF5"/>
            <w:vAlign w:val="center"/>
            <w:hideMark/>
          </w:tcPr>
          <w:p w14:paraId="6B7CC69D"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 xml:space="preserve">AML.04.11 </w:t>
            </w:r>
          </w:p>
        </w:tc>
      </w:tr>
      <w:tr w:rsidR="00476609" w:rsidRPr="0051795D" w14:paraId="3AC7C72C"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1D3D5CEE"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tcBorders>
              <w:top w:val="nil"/>
              <w:left w:val="nil"/>
              <w:bottom w:val="single" w:sz="8" w:space="0" w:color="auto"/>
              <w:right w:val="single" w:sz="4" w:space="0" w:color="auto"/>
            </w:tcBorders>
            <w:shd w:val="clear" w:color="000000" w:fill="3D7AF5"/>
            <w:vAlign w:val="center"/>
            <w:hideMark/>
          </w:tcPr>
          <w:p w14:paraId="5622E6C8"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Safe Custody Services</w:t>
            </w:r>
          </w:p>
        </w:tc>
        <w:tc>
          <w:tcPr>
            <w:tcW w:w="2308" w:type="dxa"/>
            <w:tcBorders>
              <w:top w:val="nil"/>
              <w:left w:val="nil"/>
              <w:bottom w:val="single" w:sz="8" w:space="0" w:color="auto"/>
              <w:right w:val="single" w:sz="4" w:space="0" w:color="auto"/>
            </w:tcBorders>
            <w:vAlign w:val="center"/>
            <w:hideMark/>
          </w:tcPr>
          <w:p w14:paraId="13FC7C12"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Number of customers using safe deposit boxes</w:t>
            </w:r>
          </w:p>
        </w:tc>
        <w:tc>
          <w:tcPr>
            <w:tcW w:w="2694" w:type="dxa"/>
            <w:tcBorders>
              <w:top w:val="nil"/>
              <w:left w:val="nil"/>
              <w:bottom w:val="nil"/>
              <w:right w:val="single" w:sz="4" w:space="0" w:color="auto"/>
            </w:tcBorders>
            <w:vAlign w:val="center"/>
            <w:hideMark/>
          </w:tcPr>
          <w:p w14:paraId="58308A37"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Customers Using Safe Deposit Boxes</w:t>
            </w:r>
          </w:p>
        </w:tc>
        <w:tc>
          <w:tcPr>
            <w:tcW w:w="850" w:type="dxa"/>
            <w:tcBorders>
              <w:top w:val="single" w:sz="4" w:space="0" w:color="auto"/>
              <w:left w:val="nil"/>
              <w:bottom w:val="nil"/>
              <w:right w:val="single" w:sz="4" w:space="0" w:color="auto"/>
            </w:tcBorders>
            <w:vAlign w:val="center"/>
            <w:hideMark/>
          </w:tcPr>
          <w:p w14:paraId="59334B5A"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C0010</w:t>
            </w:r>
          </w:p>
        </w:tc>
        <w:tc>
          <w:tcPr>
            <w:tcW w:w="1276" w:type="dxa"/>
            <w:tcBorders>
              <w:top w:val="single" w:sz="8" w:space="0" w:color="auto"/>
              <w:left w:val="nil"/>
              <w:bottom w:val="single" w:sz="8" w:space="0" w:color="auto"/>
              <w:right w:val="single" w:sz="4" w:space="0" w:color="auto"/>
            </w:tcBorders>
            <w:shd w:val="clear" w:color="000000" w:fill="3D7AF5"/>
            <w:vAlign w:val="center"/>
            <w:hideMark/>
          </w:tcPr>
          <w:p w14:paraId="1FDEA0B3"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 xml:space="preserve">AML.04.12 </w:t>
            </w:r>
          </w:p>
        </w:tc>
      </w:tr>
      <w:tr w:rsidR="00476609" w:rsidRPr="0051795D" w14:paraId="08E52777"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1D30BC27"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val="restart"/>
            <w:tcBorders>
              <w:top w:val="nil"/>
              <w:left w:val="single" w:sz="4" w:space="0" w:color="auto"/>
              <w:bottom w:val="single" w:sz="8" w:space="0" w:color="000000"/>
              <w:right w:val="single" w:sz="4" w:space="0" w:color="auto"/>
            </w:tcBorders>
            <w:shd w:val="clear" w:color="000000" w:fill="3D7AF5"/>
            <w:vAlign w:val="center"/>
            <w:hideMark/>
          </w:tcPr>
          <w:p w14:paraId="71AEDD7C"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Crowdfunding</w:t>
            </w:r>
          </w:p>
        </w:tc>
        <w:tc>
          <w:tcPr>
            <w:tcW w:w="2308" w:type="dxa"/>
            <w:tcBorders>
              <w:top w:val="nil"/>
              <w:left w:val="nil"/>
              <w:bottom w:val="nil"/>
              <w:right w:val="nil"/>
            </w:tcBorders>
            <w:vAlign w:val="center"/>
            <w:hideMark/>
          </w:tcPr>
          <w:p w14:paraId="5C73DC86"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Value (EUR) of funding projects in the previous year</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3DFF1E5"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Funding Projects - Value</w:t>
            </w:r>
          </w:p>
        </w:tc>
        <w:tc>
          <w:tcPr>
            <w:tcW w:w="850" w:type="dxa"/>
            <w:tcBorders>
              <w:top w:val="single" w:sz="4" w:space="0" w:color="auto"/>
              <w:left w:val="nil"/>
              <w:bottom w:val="single" w:sz="4" w:space="0" w:color="auto"/>
              <w:right w:val="single" w:sz="4" w:space="0" w:color="auto"/>
            </w:tcBorders>
            <w:vAlign w:val="center"/>
            <w:hideMark/>
          </w:tcPr>
          <w:p w14:paraId="214FC9A4"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C0010</w:t>
            </w:r>
          </w:p>
        </w:tc>
        <w:tc>
          <w:tcPr>
            <w:tcW w:w="1276" w:type="dxa"/>
            <w:tcBorders>
              <w:top w:val="nil"/>
              <w:left w:val="nil"/>
              <w:bottom w:val="nil"/>
              <w:right w:val="single" w:sz="4" w:space="0" w:color="auto"/>
            </w:tcBorders>
            <w:shd w:val="clear" w:color="000000" w:fill="3D7AF5"/>
            <w:vAlign w:val="center"/>
            <w:hideMark/>
          </w:tcPr>
          <w:p w14:paraId="0CF75E31"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 xml:space="preserve">AML.04.13 </w:t>
            </w:r>
          </w:p>
        </w:tc>
      </w:tr>
      <w:tr w:rsidR="00476609" w:rsidRPr="0051795D" w14:paraId="686CA44D"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5A27B368"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8" w:space="0" w:color="000000"/>
              <w:right w:val="single" w:sz="4" w:space="0" w:color="auto"/>
            </w:tcBorders>
            <w:vAlign w:val="center"/>
            <w:hideMark/>
          </w:tcPr>
          <w:p w14:paraId="401A78F2"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single" w:sz="4" w:space="0" w:color="auto"/>
              <w:left w:val="nil"/>
              <w:bottom w:val="nil"/>
              <w:right w:val="nil"/>
            </w:tcBorders>
            <w:vAlign w:val="center"/>
            <w:hideMark/>
          </w:tcPr>
          <w:p w14:paraId="529E9F6C"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Number of projects being funded in the previous year</w:t>
            </w:r>
          </w:p>
        </w:tc>
        <w:tc>
          <w:tcPr>
            <w:tcW w:w="2694" w:type="dxa"/>
            <w:tcBorders>
              <w:top w:val="nil"/>
              <w:left w:val="single" w:sz="4" w:space="0" w:color="auto"/>
              <w:bottom w:val="single" w:sz="4" w:space="0" w:color="auto"/>
              <w:right w:val="single" w:sz="4" w:space="0" w:color="auto"/>
            </w:tcBorders>
            <w:vAlign w:val="center"/>
            <w:hideMark/>
          </w:tcPr>
          <w:p w14:paraId="2A56E553"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Projects Funded - Number</w:t>
            </w:r>
          </w:p>
        </w:tc>
        <w:tc>
          <w:tcPr>
            <w:tcW w:w="850" w:type="dxa"/>
            <w:tcBorders>
              <w:top w:val="nil"/>
              <w:left w:val="nil"/>
              <w:bottom w:val="single" w:sz="4" w:space="0" w:color="000000"/>
              <w:right w:val="single" w:sz="4" w:space="0" w:color="000000"/>
            </w:tcBorders>
            <w:vAlign w:val="center"/>
            <w:hideMark/>
          </w:tcPr>
          <w:p w14:paraId="62A87AFD"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C0020</w:t>
            </w:r>
          </w:p>
        </w:tc>
        <w:tc>
          <w:tcPr>
            <w:tcW w:w="1276" w:type="dxa"/>
            <w:tcBorders>
              <w:top w:val="single" w:sz="8" w:space="0" w:color="auto"/>
              <w:left w:val="nil"/>
              <w:bottom w:val="nil"/>
              <w:right w:val="single" w:sz="4" w:space="0" w:color="auto"/>
            </w:tcBorders>
            <w:shd w:val="clear" w:color="000000" w:fill="3D7AF5"/>
            <w:vAlign w:val="center"/>
            <w:hideMark/>
          </w:tcPr>
          <w:p w14:paraId="748333F1"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 xml:space="preserve">AML.04.13 </w:t>
            </w:r>
          </w:p>
        </w:tc>
      </w:tr>
      <w:tr w:rsidR="00476609" w:rsidRPr="0051795D" w14:paraId="5074C6A2"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2AE812A3"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8" w:space="0" w:color="000000"/>
              <w:right w:val="single" w:sz="4" w:space="0" w:color="auto"/>
            </w:tcBorders>
            <w:vAlign w:val="center"/>
            <w:hideMark/>
          </w:tcPr>
          <w:p w14:paraId="241FC9F0"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single" w:sz="4" w:space="0" w:color="auto"/>
              <w:left w:val="nil"/>
              <w:bottom w:val="nil"/>
              <w:right w:val="nil"/>
            </w:tcBorders>
            <w:vAlign w:val="center"/>
            <w:hideMark/>
          </w:tcPr>
          <w:p w14:paraId="7292C40A"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Number of donors from high-risk countries</w:t>
            </w:r>
          </w:p>
        </w:tc>
        <w:tc>
          <w:tcPr>
            <w:tcW w:w="2694" w:type="dxa"/>
            <w:tcBorders>
              <w:top w:val="nil"/>
              <w:left w:val="single" w:sz="4" w:space="0" w:color="auto"/>
              <w:bottom w:val="single" w:sz="4" w:space="0" w:color="auto"/>
              <w:right w:val="single" w:sz="4" w:space="0" w:color="auto"/>
            </w:tcBorders>
            <w:vAlign w:val="center"/>
            <w:hideMark/>
          </w:tcPr>
          <w:p w14:paraId="0377BB42"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Donors from High-risk Countries</w:t>
            </w:r>
          </w:p>
        </w:tc>
        <w:tc>
          <w:tcPr>
            <w:tcW w:w="850" w:type="dxa"/>
            <w:tcBorders>
              <w:top w:val="nil"/>
              <w:left w:val="nil"/>
              <w:bottom w:val="single" w:sz="4" w:space="0" w:color="000000"/>
              <w:right w:val="single" w:sz="4" w:space="0" w:color="000000"/>
            </w:tcBorders>
            <w:vAlign w:val="center"/>
            <w:hideMark/>
          </w:tcPr>
          <w:p w14:paraId="23577DC3"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C0030</w:t>
            </w:r>
          </w:p>
        </w:tc>
        <w:tc>
          <w:tcPr>
            <w:tcW w:w="1276" w:type="dxa"/>
            <w:tcBorders>
              <w:top w:val="single" w:sz="8" w:space="0" w:color="auto"/>
              <w:left w:val="nil"/>
              <w:bottom w:val="nil"/>
              <w:right w:val="single" w:sz="4" w:space="0" w:color="auto"/>
            </w:tcBorders>
            <w:shd w:val="clear" w:color="000000" w:fill="3D7AF5"/>
            <w:vAlign w:val="center"/>
            <w:hideMark/>
          </w:tcPr>
          <w:p w14:paraId="6E8070D0"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 xml:space="preserve">AML.04.13 </w:t>
            </w:r>
          </w:p>
        </w:tc>
      </w:tr>
      <w:tr w:rsidR="00476609" w:rsidRPr="0051795D" w14:paraId="1527F454"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2AF5246C"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8" w:space="0" w:color="000000"/>
              <w:right w:val="single" w:sz="4" w:space="0" w:color="auto"/>
            </w:tcBorders>
            <w:vAlign w:val="center"/>
            <w:hideMark/>
          </w:tcPr>
          <w:p w14:paraId="19830879"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single" w:sz="4" w:space="0" w:color="auto"/>
              <w:left w:val="nil"/>
              <w:bottom w:val="single" w:sz="8" w:space="0" w:color="auto"/>
              <w:right w:val="nil"/>
            </w:tcBorders>
            <w:vAlign w:val="center"/>
            <w:hideMark/>
          </w:tcPr>
          <w:p w14:paraId="52E8B723"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Number of projects where the owner is from a high-risk country</w:t>
            </w:r>
          </w:p>
        </w:tc>
        <w:tc>
          <w:tcPr>
            <w:tcW w:w="2694" w:type="dxa"/>
            <w:tcBorders>
              <w:top w:val="nil"/>
              <w:left w:val="single" w:sz="4" w:space="0" w:color="auto"/>
              <w:bottom w:val="single" w:sz="4" w:space="0" w:color="auto"/>
              <w:right w:val="single" w:sz="4" w:space="0" w:color="auto"/>
            </w:tcBorders>
            <w:vAlign w:val="center"/>
            <w:hideMark/>
          </w:tcPr>
          <w:p w14:paraId="44C6A7DC"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Projects with High-risk Country Owners</w:t>
            </w:r>
          </w:p>
        </w:tc>
        <w:tc>
          <w:tcPr>
            <w:tcW w:w="850" w:type="dxa"/>
            <w:tcBorders>
              <w:top w:val="nil"/>
              <w:left w:val="nil"/>
              <w:bottom w:val="single" w:sz="4" w:space="0" w:color="000000"/>
              <w:right w:val="single" w:sz="4" w:space="0" w:color="000000"/>
            </w:tcBorders>
            <w:vAlign w:val="center"/>
            <w:hideMark/>
          </w:tcPr>
          <w:p w14:paraId="14227D37"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C0040</w:t>
            </w:r>
          </w:p>
        </w:tc>
        <w:tc>
          <w:tcPr>
            <w:tcW w:w="1276" w:type="dxa"/>
            <w:tcBorders>
              <w:top w:val="single" w:sz="8" w:space="0" w:color="auto"/>
              <w:left w:val="nil"/>
              <w:bottom w:val="nil"/>
              <w:right w:val="single" w:sz="4" w:space="0" w:color="auto"/>
            </w:tcBorders>
            <w:shd w:val="clear" w:color="000000" w:fill="3D7AF5"/>
            <w:vAlign w:val="center"/>
            <w:hideMark/>
          </w:tcPr>
          <w:p w14:paraId="0A2A55BD"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 xml:space="preserve">AML.04.13 </w:t>
            </w:r>
          </w:p>
        </w:tc>
      </w:tr>
      <w:tr w:rsidR="00476609" w:rsidRPr="0051795D" w14:paraId="2DD0D2BF"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38D4E4A0"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val="restart"/>
            <w:tcBorders>
              <w:top w:val="nil"/>
              <w:left w:val="single" w:sz="4" w:space="0" w:color="auto"/>
              <w:bottom w:val="single" w:sz="8" w:space="0" w:color="000000"/>
              <w:right w:val="single" w:sz="4" w:space="0" w:color="auto"/>
            </w:tcBorders>
            <w:shd w:val="clear" w:color="000000" w:fill="3D7AF5"/>
            <w:vAlign w:val="center"/>
            <w:hideMark/>
          </w:tcPr>
          <w:p w14:paraId="5A53AB1C"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Cash Transactions</w:t>
            </w:r>
          </w:p>
        </w:tc>
        <w:tc>
          <w:tcPr>
            <w:tcW w:w="2308" w:type="dxa"/>
            <w:tcBorders>
              <w:top w:val="nil"/>
              <w:left w:val="nil"/>
              <w:bottom w:val="nil"/>
              <w:right w:val="nil"/>
            </w:tcBorders>
            <w:vAlign w:val="center"/>
            <w:hideMark/>
          </w:tcPr>
          <w:p w14:paraId="56D83AF8"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Number of cash transactions in the previous year (withdrawals)</w:t>
            </w:r>
          </w:p>
        </w:tc>
        <w:tc>
          <w:tcPr>
            <w:tcW w:w="2694" w:type="dxa"/>
            <w:tcBorders>
              <w:top w:val="nil"/>
              <w:left w:val="single" w:sz="4" w:space="0" w:color="auto"/>
              <w:bottom w:val="single" w:sz="4" w:space="0" w:color="auto"/>
              <w:right w:val="single" w:sz="4" w:space="0" w:color="auto"/>
            </w:tcBorders>
            <w:vAlign w:val="center"/>
            <w:hideMark/>
          </w:tcPr>
          <w:p w14:paraId="405B2837"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Cash Transactions (Withdrawals) - Number</w:t>
            </w:r>
          </w:p>
        </w:tc>
        <w:tc>
          <w:tcPr>
            <w:tcW w:w="850" w:type="dxa"/>
            <w:tcBorders>
              <w:top w:val="nil"/>
              <w:left w:val="nil"/>
              <w:bottom w:val="single" w:sz="4" w:space="0" w:color="auto"/>
              <w:right w:val="nil"/>
            </w:tcBorders>
            <w:vAlign w:val="center"/>
            <w:hideMark/>
          </w:tcPr>
          <w:p w14:paraId="0422A3F2"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C0010</w:t>
            </w:r>
          </w:p>
        </w:tc>
        <w:tc>
          <w:tcPr>
            <w:tcW w:w="1276" w:type="dxa"/>
            <w:tcBorders>
              <w:top w:val="single" w:sz="4" w:space="0" w:color="auto"/>
              <w:left w:val="single" w:sz="4" w:space="0" w:color="auto"/>
              <w:bottom w:val="single" w:sz="4" w:space="0" w:color="auto"/>
              <w:right w:val="single" w:sz="4" w:space="0" w:color="auto"/>
            </w:tcBorders>
            <w:shd w:val="clear" w:color="000000" w:fill="3D7AF5"/>
            <w:vAlign w:val="center"/>
            <w:hideMark/>
          </w:tcPr>
          <w:p w14:paraId="3FF825D9"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 xml:space="preserve">AML.04.14 </w:t>
            </w:r>
          </w:p>
        </w:tc>
      </w:tr>
      <w:tr w:rsidR="00476609" w:rsidRPr="0051795D" w14:paraId="76F64C90"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3F31A5DB"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8" w:space="0" w:color="000000"/>
              <w:right w:val="single" w:sz="4" w:space="0" w:color="auto"/>
            </w:tcBorders>
            <w:vAlign w:val="center"/>
            <w:hideMark/>
          </w:tcPr>
          <w:p w14:paraId="6EB48C6F"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single" w:sz="4" w:space="0" w:color="auto"/>
              <w:left w:val="nil"/>
              <w:bottom w:val="nil"/>
              <w:right w:val="nil"/>
            </w:tcBorders>
            <w:vAlign w:val="center"/>
            <w:hideMark/>
          </w:tcPr>
          <w:p w14:paraId="1F7C8246"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Number of cash transactions in the previous year (deposits)</w:t>
            </w:r>
          </w:p>
        </w:tc>
        <w:tc>
          <w:tcPr>
            <w:tcW w:w="2694" w:type="dxa"/>
            <w:tcBorders>
              <w:top w:val="nil"/>
              <w:left w:val="single" w:sz="4" w:space="0" w:color="auto"/>
              <w:bottom w:val="single" w:sz="4" w:space="0" w:color="auto"/>
              <w:right w:val="single" w:sz="4" w:space="0" w:color="auto"/>
            </w:tcBorders>
            <w:vAlign w:val="center"/>
            <w:hideMark/>
          </w:tcPr>
          <w:p w14:paraId="069E8C54"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Cash Transactions (Deposits) - Volume</w:t>
            </w:r>
          </w:p>
        </w:tc>
        <w:tc>
          <w:tcPr>
            <w:tcW w:w="850" w:type="dxa"/>
            <w:tcBorders>
              <w:top w:val="nil"/>
              <w:left w:val="nil"/>
              <w:bottom w:val="single" w:sz="4" w:space="0" w:color="000000"/>
              <w:right w:val="nil"/>
            </w:tcBorders>
            <w:vAlign w:val="center"/>
            <w:hideMark/>
          </w:tcPr>
          <w:p w14:paraId="0B7A1E47"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C0020</w:t>
            </w:r>
          </w:p>
        </w:tc>
        <w:tc>
          <w:tcPr>
            <w:tcW w:w="1276" w:type="dxa"/>
            <w:tcBorders>
              <w:top w:val="nil"/>
              <w:left w:val="single" w:sz="4" w:space="0" w:color="auto"/>
              <w:bottom w:val="single" w:sz="4" w:space="0" w:color="auto"/>
              <w:right w:val="single" w:sz="4" w:space="0" w:color="auto"/>
            </w:tcBorders>
            <w:shd w:val="clear" w:color="000000" w:fill="3D7AF5"/>
            <w:vAlign w:val="center"/>
            <w:hideMark/>
          </w:tcPr>
          <w:p w14:paraId="66E84044"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 xml:space="preserve">AML.04.14 </w:t>
            </w:r>
          </w:p>
        </w:tc>
      </w:tr>
      <w:tr w:rsidR="00476609" w:rsidRPr="0051795D" w14:paraId="58B2AFB6"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61E424AD"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8" w:space="0" w:color="000000"/>
              <w:right w:val="single" w:sz="4" w:space="0" w:color="auto"/>
            </w:tcBorders>
            <w:vAlign w:val="center"/>
            <w:hideMark/>
          </w:tcPr>
          <w:p w14:paraId="085FDE23"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single" w:sz="4" w:space="0" w:color="auto"/>
              <w:left w:val="nil"/>
              <w:bottom w:val="nil"/>
              <w:right w:val="nil"/>
            </w:tcBorders>
            <w:vAlign w:val="center"/>
            <w:hideMark/>
          </w:tcPr>
          <w:p w14:paraId="60D99DA9"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Value (EUR) of cash transactions in the previous year (withdrawals)</w:t>
            </w:r>
          </w:p>
        </w:tc>
        <w:tc>
          <w:tcPr>
            <w:tcW w:w="2694" w:type="dxa"/>
            <w:tcBorders>
              <w:top w:val="nil"/>
              <w:left w:val="single" w:sz="4" w:space="0" w:color="auto"/>
              <w:bottom w:val="single" w:sz="4" w:space="0" w:color="auto"/>
              <w:right w:val="single" w:sz="4" w:space="0" w:color="auto"/>
            </w:tcBorders>
            <w:vAlign w:val="center"/>
            <w:hideMark/>
          </w:tcPr>
          <w:p w14:paraId="17823809"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Cash Transactions (Withdrawals) - Value</w:t>
            </w:r>
          </w:p>
        </w:tc>
        <w:tc>
          <w:tcPr>
            <w:tcW w:w="850" w:type="dxa"/>
            <w:tcBorders>
              <w:top w:val="nil"/>
              <w:left w:val="nil"/>
              <w:bottom w:val="single" w:sz="4" w:space="0" w:color="000000"/>
              <w:right w:val="nil"/>
            </w:tcBorders>
            <w:vAlign w:val="center"/>
            <w:hideMark/>
          </w:tcPr>
          <w:p w14:paraId="79AC6A5D"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C0030</w:t>
            </w:r>
          </w:p>
        </w:tc>
        <w:tc>
          <w:tcPr>
            <w:tcW w:w="1276" w:type="dxa"/>
            <w:tcBorders>
              <w:top w:val="nil"/>
              <w:left w:val="single" w:sz="4" w:space="0" w:color="auto"/>
              <w:bottom w:val="single" w:sz="4" w:space="0" w:color="auto"/>
              <w:right w:val="single" w:sz="4" w:space="0" w:color="auto"/>
            </w:tcBorders>
            <w:shd w:val="clear" w:color="000000" w:fill="3D7AF5"/>
            <w:vAlign w:val="center"/>
            <w:hideMark/>
          </w:tcPr>
          <w:p w14:paraId="66795B5B"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 xml:space="preserve">AML.04.14 </w:t>
            </w:r>
          </w:p>
        </w:tc>
      </w:tr>
      <w:tr w:rsidR="00476609" w:rsidRPr="0051795D" w14:paraId="2A068285"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5A0BCA68"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8" w:space="0" w:color="000000"/>
              <w:right w:val="single" w:sz="4" w:space="0" w:color="auto"/>
            </w:tcBorders>
            <w:vAlign w:val="center"/>
            <w:hideMark/>
          </w:tcPr>
          <w:p w14:paraId="1160EA33"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single" w:sz="4" w:space="0" w:color="auto"/>
              <w:left w:val="nil"/>
              <w:bottom w:val="nil"/>
              <w:right w:val="nil"/>
            </w:tcBorders>
            <w:vAlign w:val="center"/>
            <w:hideMark/>
          </w:tcPr>
          <w:p w14:paraId="4E056804"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Value (EUR) of cash transactions in the previous year (deposits)</w:t>
            </w:r>
          </w:p>
        </w:tc>
        <w:tc>
          <w:tcPr>
            <w:tcW w:w="2694" w:type="dxa"/>
            <w:tcBorders>
              <w:top w:val="nil"/>
              <w:left w:val="single" w:sz="4" w:space="0" w:color="auto"/>
              <w:bottom w:val="single" w:sz="4" w:space="0" w:color="auto"/>
              <w:right w:val="single" w:sz="4" w:space="0" w:color="auto"/>
            </w:tcBorders>
            <w:vAlign w:val="center"/>
            <w:hideMark/>
          </w:tcPr>
          <w:p w14:paraId="407431DA"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Cash Transactions (Deposits) - Value</w:t>
            </w:r>
          </w:p>
        </w:tc>
        <w:tc>
          <w:tcPr>
            <w:tcW w:w="850" w:type="dxa"/>
            <w:tcBorders>
              <w:top w:val="nil"/>
              <w:left w:val="nil"/>
              <w:bottom w:val="single" w:sz="4" w:space="0" w:color="000000"/>
              <w:right w:val="nil"/>
            </w:tcBorders>
            <w:vAlign w:val="center"/>
            <w:hideMark/>
          </w:tcPr>
          <w:p w14:paraId="44A94E37"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C0040</w:t>
            </w:r>
          </w:p>
        </w:tc>
        <w:tc>
          <w:tcPr>
            <w:tcW w:w="1276" w:type="dxa"/>
            <w:tcBorders>
              <w:top w:val="nil"/>
              <w:left w:val="single" w:sz="4" w:space="0" w:color="auto"/>
              <w:bottom w:val="single" w:sz="4" w:space="0" w:color="auto"/>
              <w:right w:val="single" w:sz="4" w:space="0" w:color="auto"/>
            </w:tcBorders>
            <w:shd w:val="clear" w:color="000000" w:fill="3D7AF5"/>
            <w:vAlign w:val="center"/>
            <w:hideMark/>
          </w:tcPr>
          <w:p w14:paraId="2E2A5B8A"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 xml:space="preserve">AML.04.14 </w:t>
            </w:r>
          </w:p>
        </w:tc>
      </w:tr>
      <w:tr w:rsidR="00476609" w:rsidRPr="0051795D" w14:paraId="26D9FED4" w14:textId="77777777" w:rsidTr="00513763">
        <w:trPr>
          <w:trHeight w:val="720"/>
        </w:trPr>
        <w:tc>
          <w:tcPr>
            <w:tcW w:w="1290" w:type="dxa"/>
            <w:vMerge/>
            <w:tcBorders>
              <w:top w:val="single" w:sz="8" w:space="0" w:color="auto"/>
              <w:left w:val="nil"/>
              <w:bottom w:val="nil"/>
              <w:right w:val="single" w:sz="4" w:space="0" w:color="auto"/>
            </w:tcBorders>
            <w:vAlign w:val="center"/>
            <w:hideMark/>
          </w:tcPr>
          <w:p w14:paraId="56C9E36F"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8" w:space="0" w:color="000000"/>
              <w:right w:val="single" w:sz="4" w:space="0" w:color="auto"/>
            </w:tcBorders>
            <w:vAlign w:val="center"/>
            <w:hideMark/>
          </w:tcPr>
          <w:p w14:paraId="1A26FF3B"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single" w:sz="4" w:space="0" w:color="auto"/>
              <w:left w:val="nil"/>
              <w:bottom w:val="single" w:sz="8" w:space="0" w:color="auto"/>
              <w:right w:val="nil"/>
            </w:tcBorders>
            <w:vAlign w:val="center"/>
            <w:hideMark/>
          </w:tcPr>
          <w:p w14:paraId="651A2F1B"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Number of natural persons totalling cash transactions over 20 000 EUR during the previous year</w:t>
            </w:r>
          </w:p>
        </w:tc>
        <w:tc>
          <w:tcPr>
            <w:tcW w:w="2694" w:type="dxa"/>
            <w:tcBorders>
              <w:top w:val="nil"/>
              <w:left w:val="single" w:sz="4" w:space="0" w:color="auto"/>
              <w:bottom w:val="single" w:sz="4" w:space="0" w:color="auto"/>
              <w:right w:val="single" w:sz="4" w:space="0" w:color="auto"/>
            </w:tcBorders>
            <w:vAlign w:val="center"/>
            <w:hideMark/>
          </w:tcPr>
          <w:p w14:paraId="388E133F"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Customers with Cash Transactions &gt; EUR 20 000</w:t>
            </w:r>
          </w:p>
        </w:tc>
        <w:tc>
          <w:tcPr>
            <w:tcW w:w="850" w:type="dxa"/>
            <w:tcBorders>
              <w:top w:val="nil"/>
              <w:left w:val="nil"/>
              <w:bottom w:val="single" w:sz="4" w:space="0" w:color="000000"/>
              <w:right w:val="nil"/>
            </w:tcBorders>
            <w:vAlign w:val="center"/>
            <w:hideMark/>
          </w:tcPr>
          <w:p w14:paraId="3D853C11"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C0050</w:t>
            </w:r>
          </w:p>
        </w:tc>
        <w:tc>
          <w:tcPr>
            <w:tcW w:w="1276" w:type="dxa"/>
            <w:tcBorders>
              <w:top w:val="nil"/>
              <w:left w:val="single" w:sz="4" w:space="0" w:color="auto"/>
              <w:bottom w:val="single" w:sz="4" w:space="0" w:color="auto"/>
              <w:right w:val="single" w:sz="4" w:space="0" w:color="auto"/>
            </w:tcBorders>
            <w:shd w:val="clear" w:color="000000" w:fill="3D7AF5"/>
            <w:vAlign w:val="center"/>
            <w:hideMark/>
          </w:tcPr>
          <w:p w14:paraId="3B5E2C65"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 xml:space="preserve">AML.04.14 </w:t>
            </w:r>
          </w:p>
        </w:tc>
      </w:tr>
      <w:tr w:rsidR="00476609" w:rsidRPr="0051795D" w14:paraId="7AA84619" w14:textId="77777777" w:rsidTr="00513763">
        <w:trPr>
          <w:trHeight w:val="720"/>
        </w:trPr>
        <w:tc>
          <w:tcPr>
            <w:tcW w:w="1290" w:type="dxa"/>
            <w:vMerge w:val="restart"/>
            <w:tcBorders>
              <w:top w:val="single" w:sz="8" w:space="0" w:color="auto"/>
              <w:left w:val="nil"/>
              <w:bottom w:val="single" w:sz="8" w:space="0" w:color="000000"/>
              <w:right w:val="nil"/>
            </w:tcBorders>
            <w:shd w:val="clear" w:color="000000" w:fill="0728CB"/>
            <w:vAlign w:val="center"/>
            <w:hideMark/>
          </w:tcPr>
          <w:p w14:paraId="1411C038"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Geographies</w:t>
            </w:r>
          </w:p>
        </w:tc>
        <w:tc>
          <w:tcPr>
            <w:tcW w:w="1500" w:type="dxa"/>
            <w:vMerge w:val="restart"/>
            <w:tcBorders>
              <w:top w:val="nil"/>
              <w:left w:val="single" w:sz="4" w:space="0" w:color="auto"/>
              <w:bottom w:val="single" w:sz="8" w:space="0" w:color="000000"/>
              <w:right w:val="single" w:sz="4" w:space="0" w:color="auto"/>
            </w:tcBorders>
            <w:shd w:val="clear" w:color="000000" w:fill="3D7AF5"/>
            <w:vAlign w:val="center"/>
            <w:hideMark/>
          </w:tcPr>
          <w:p w14:paraId="0807D679"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Geographies</w:t>
            </w:r>
          </w:p>
        </w:tc>
        <w:tc>
          <w:tcPr>
            <w:tcW w:w="2308" w:type="dxa"/>
            <w:tcBorders>
              <w:top w:val="nil"/>
              <w:left w:val="nil"/>
              <w:bottom w:val="single" w:sz="4" w:space="0" w:color="auto"/>
              <w:right w:val="nil"/>
            </w:tcBorders>
            <w:vAlign w:val="center"/>
            <w:hideMark/>
          </w:tcPr>
          <w:p w14:paraId="2FBBA74A"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Number of incoming transactions in the previous year by country</w:t>
            </w:r>
          </w:p>
        </w:tc>
        <w:tc>
          <w:tcPr>
            <w:tcW w:w="2694" w:type="dxa"/>
            <w:tcBorders>
              <w:top w:val="nil"/>
              <w:left w:val="single" w:sz="4" w:space="0" w:color="auto"/>
              <w:bottom w:val="single" w:sz="4" w:space="0" w:color="auto"/>
              <w:right w:val="single" w:sz="4" w:space="0" w:color="auto"/>
            </w:tcBorders>
            <w:vAlign w:val="center"/>
            <w:hideMark/>
          </w:tcPr>
          <w:p w14:paraId="4D0D98B9"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Transactions (Incoming) – Number</w:t>
            </w:r>
          </w:p>
        </w:tc>
        <w:tc>
          <w:tcPr>
            <w:tcW w:w="850" w:type="dxa"/>
            <w:tcBorders>
              <w:top w:val="nil"/>
              <w:left w:val="nil"/>
              <w:bottom w:val="single" w:sz="4" w:space="0" w:color="auto"/>
              <w:right w:val="single" w:sz="4" w:space="0" w:color="auto"/>
            </w:tcBorders>
            <w:vAlign w:val="center"/>
            <w:hideMark/>
          </w:tcPr>
          <w:p w14:paraId="1DA8DF0E"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C0050</w:t>
            </w:r>
          </w:p>
        </w:tc>
        <w:tc>
          <w:tcPr>
            <w:tcW w:w="1276" w:type="dxa"/>
            <w:tcBorders>
              <w:top w:val="nil"/>
              <w:left w:val="nil"/>
              <w:bottom w:val="nil"/>
              <w:right w:val="single" w:sz="4" w:space="0" w:color="auto"/>
            </w:tcBorders>
            <w:shd w:val="clear" w:color="000000" w:fill="3D7AF5"/>
            <w:vAlign w:val="center"/>
            <w:hideMark/>
          </w:tcPr>
          <w:p w14:paraId="7281DA80"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 xml:space="preserve">AML.05.01 </w:t>
            </w:r>
          </w:p>
        </w:tc>
      </w:tr>
      <w:tr w:rsidR="00476609" w:rsidRPr="0051795D" w14:paraId="3F411F60" w14:textId="77777777" w:rsidTr="00513763">
        <w:trPr>
          <w:trHeight w:val="720"/>
        </w:trPr>
        <w:tc>
          <w:tcPr>
            <w:tcW w:w="1290" w:type="dxa"/>
            <w:vMerge/>
            <w:tcBorders>
              <w:top w:val="single" w:sz="8" w:space="0" w:color="auto"/>
              <w:left w:val="nil"/>
              <w:bottom w:val="single" w:sz="8" w:space="0" w:color="000000"/>
              <w:right w:val="nil"/>
            </w:tcBorders>
            <w:vAlign w:val="center"/>
            <w:hideMark/>
          </w:tcPr>
          <w:p w14:paraId="249638FA"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8" w:space="0" w:color="000000"/>
              <w:right w:val="single" w:sz="4" w:space="0" w:color="auto"/>
            </w:tcBorders>
            <w:vAlign w:val="center"/>
            <w:hideMark/>
          </w:tcPr>
          <w:p w14:paraId="32148718"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nil"/>
              <w:left w:val="nil"/>
              <w:bottom w:val="single" w:sz="4" w:space="0" w:color="auto"/>
              <w:right w:val="nil"/>
            </w:tcBorders>
            <w:vAlign w:val="center"/>
            <w:hideMark/>
          </w:tcPr>
          <w:p w14:paraId="588F6701"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value (EUR) of incoming transactions in the previous year by country</w:t>
            </w:r>
          </w:p>
        </w:tc>
        <w:tc>
          <w:tcPr>
            <w:tcW w:w="2694" w:type="dxa"/>
            <w:tcBorders>
              <w:top w:val="nil"/>
              <w:left w:val="single" w:sz="4" w:space="0" w:color="auto"/>
              <w:bottom w:val="single" w:sz="4" w:space="0" w:color="auto"/>
              <w:right w:val="single" w:sz="4" w:space="0" w:color="auto"/>
            </w:tcBorders>
            <w:vAlign w:val="center"/>
            <w:hideMark/>
          </w:tcPr>
          <w:p w14:paraId="106F6F8D"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Transactions (Incoming) - Value</w:t>
            </w:r>
          </w:p>
        </w:tc>
        <w:tc>
          <w:tcPr>
            <w:tcW w:w="850" w:type="dxa"/>
            <w:tcBorders>
              <w:top w:val="nil"/>
              <w:left w:val="nil"/>
              <w:bottom w:val="single" w:sz="4" w:space="0" w:color="auto"/>
              <w:right w:val="single" w:sz="4" w:space="0" w:color="auto"/>
            </w:tcBorders>
            <w:vAlign w:val="center"/>
            <w:hideMark/>
          </w:tcPr>
          <w:p w14:paraId="1E173410"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C0060</w:t>
            </w:r>
          </w:p>
        </w:tc>
        <w:tc>
          <w:tcPr>
            <w:tcW w:w="1276" w:type="dxa"/>
            <w:tcBorders>
              <w:top w:val="nil"/>
              <w:left w:val="nil"/>
              <w:bottom w:val="nil"/>
              <w:right w:val="single" w:sz="4" w:space="0" w:color="auto"/>
            </w:tcBorders>
            <w:shd w:val="clear" w:color="000000" w:fill="3D7AF5"/>
            <w:vAlign w:val="center"/>
            <w:hideMark/>
          </w:tcPr>
          <w:p w14:paraId="7B351A5B"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 xml:space="preserve">AML.05.01 </w:t>
            </w:r>
          </w:p>
        </w:tc>
      </w:tr>
      <w:tr w:rsidR="00476609" w:rsidRPr="0051795D" w14:paraId="07C449D5" w14:textId="77777777" w:rsidTr="00513763">
        <w:trPr>
          <w:trHeight w:val="720"/>
        </w:trPr>
        <w:tc>
          <w:tcPr>
            <w:tcW w:w="1290" w:type="dxa"/>
            <w:vMerge/>
            <w:tcBorders>
              <w:top w:val="single" w:sz="8" w:space="0" w:color="auto"/>
              <w:left w:val="nil"/>
              <w:bottom w:val="single" w:sz="8" w:space="0" w:color="000000"/>
              <w:right w:val="nil"/>
            </w:tcBorders>
            <w:vAlign w:val="center"/>
            <w:hideMark/>
          </w:tcPr>
          <w:p w14:paraId="405D8BB4"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8" w:space="0" w:color="000000"/>
              <w:right w:val="single" w:sz="4" w:space="0" w:color="auto"/>
            </w:tcBorders>
            <w:vAlign w:val="center"/>
            <w:hideMark/>
          </w:tcPr>
          <w:p w14:paraId="5FC54C75"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nil"/>
              <w:left w:val="nil"/>
              <w:bottom w:val="single" w:sz="4" w:space="0" w:color="auto"/>
              <w:right w:val="nil"/>
            </w:tcBorders>
            <w:vAlign w:val="center"/>
            <w:hideMark/>
          </w:tcPr>
          <w:p w14:paraId="2F131D11"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Number of outgoing transactions in the previous year by country</w:t>
            </w:r>
          </w:p>
        </w:tc>
        <w:tc>
          <w:tcPr>
            <w:tcW w:w="2694" w:type="dxa"/>
            <w:tcBorders>
              <w:top w:val="nil"/>
              <w:left w:val="single" w:sz="4" w:space="0" w:color="auto"/>
              <w:bottom w:val="single" w:sz="4" w:space="0" w:color="auto"/>
              <w:right w:val="single" w:sz="4" w:space="0" w:color="auto"/>
            </w:tcBorders>
            <w:vAlign w:val="center"/>
            <w:hideMark/>
          </w:tcPr>
          <w:p w14:paraId="0B4ED29F"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Transactions (Outgoing) - Number</w:t>
            </w:r>
          </w:p>
        </w:tc>
        <w:tc>
          <w:tcPr>
            <w:tcW w:w="850" w:type="dxa"/>
            <w:tcBorders>
              <w:top w:val="nil"/>
              <w:left w:val="nil"/>
              <w:bottom w:val="single" w:sz="4" w:space="0" w:color="auto"/>
              <w:right w:val="single" w:sz="4" w:space="0" w:color="auto"/>
            </w:tcBorders>
            <w:vAlign w:val="center"/>
            <w:hideMark/>
          </w:tcPr>
          <w:p w14:paraId="69F2CF23"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C0070</w:t>
            </w:r>
          </w:p>
        </w:tc>
        <w:tc>
          <w:tcPr>
            <w:tcW w:w="1276" w:type="dxa"/>
            <w:tcBorders>
              <w:top w:val="nil"/>
              <w:left w:val="nil"/>
              <w:bottom w:val="nil"/>
              <w:right w:val="single" w:sz="4" w:space="0" w:color="auto"/>
            </w:tcBorders>
            <w:shd w:val="clear" w:color="000000" w:fill="3D7AF5"/>
            <w:vAlign w:val="center"/>
            <w:hideMark/>
          </w:tcPr>
          <w:p w14:paraId="23016675"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 xml:space="preserve">AML.05.01 </w:t>
            </w:r>
          </w:p>
        </w:tc>
      </w:tr>
      <w:tr w:rsidR="00476609" w:rsidRPr="0051795D" w14:paraId="2A3F5A27" w14:textId="77777777" w:rsidTr="00513763">
        <w:trPr>
          <w:trHeight w:val="720"/>
        </w:trPr>
        <w:tc>
          <w:tcPr>
            <w:tcW w:w="1290" w:type="dxa"/>
            <w:vMerge/>
            <w:tcBorders>
              <w:top w:val="single" w:sz="8" w:space="0" w:color="auto"/>
              <w:left w:val="nil"/>
              <w:bottom w:val="single" w:sz="8" w:space="0" w:color="000000"/>
              <w:right w:val="nil"/>
            </w:tcBorders>
            <w:vAlign w:val="center"/>
            <w:hideMark/>
          </w:tcPr>
          <w:p w14:paraId="1051341E"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8" w:space="0" w:color="000000"/>
              <w:right w:val="single" w:sz="4" w:space="0" w:color="auto"/>
            </w:tcBorders>
            <w:vAlign w:val="center"/>
            <w:hideMark/>
          </w:tcPr>
          <w:p w14:paraId="16491E2B"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nil"/>
              <w:left w:val="nil"/>
              <w:bottom w:val="single" w:sz="4" w:space="0" w:color="auto"/>
              <w:right w:val="nil"/>
            </w:tcBorders>
            <w:vAlign w:val="center"/>
            <w:hideMark/>
          </w:tcPr>
          <w:p w14:paraId="0E17251A"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value (EUR) of outgoing transactions in the previous year by country</w:t>
            </w:r>
          </w:p>
        </w:tc>
        <w:tc>
          <w:tcPr>
            <w:tcW w:w="2694" w:type="dxa"/>
            <w:tcBorders>
              <w:top w:val="nil"/>
              <w:left w:val="single" w:sz="4" w:space="0" w:color="auto"/>
              <w:bottom w:val="single" w:sz="4" w:space="0" w:color="auto"/>
              <w:right w:val="single" w:sz="4" w:space="0" w:color="auto"/>
            </w:tcBorders>
            <w:vAlign w:val="center"/>
            <w:hideMark/>
          </w:tcPr>
          <w:p w14:paraId="28F702E1"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Transactions (Outgoing) - Value</w:t>
            </w:r>
          </w:p>
        </w:tc>
        <w:tc>
          <w:tcPr>
            <w:tcW w:w="850" w:type="dxa"/>
            <w:tcBorders>
              <w:top w:val="nil"/>
              <w:left w:val="nil"/>
              <w:bottom w:val="single" w:sz="4" w:space="0" w:color="auto"/>
              <w:right w:val="single" w:sz="4" w:space="0" w:color="auto"/>
            </w:tcBorders>
            <w:vAlign w:val="center"/>
            <w:hideMark/>
          </w:tcPr>
          <w:p w14:paraId="27364091"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C0080</w:t>
            </w:r>
          </w:p>
        </w:tc>
        <w:tc>
          <w:tcPr>
            <w:tcW w:w="1276" w:type="dxa"/>
            <w:tcBorders>
              <w:top w:val="nil"/>
              <w:left w:val="nil"/>
              <w:bottom w:val="nil"/>
              <w:right w:val="single" w:sz="4" w:space="0" w:color="auto"/>
            </w:tcBorders>
            <w:shd w:val="clear" w:color="000000" w:fill="3D7AF5"/>
            <w:vAlign w:val="center"/>
            <w:hideMark/>
          </w:tcPr>
          <w:p w14:paraId="6757B172"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 xml:space="preserve">AML.05.01 </w:t>
            </w:r>
          </w:p>
        </w:tc>
      </w:tr>
      <w:tr w:rsidR="00476609" w:rsidRPr="0051795D" w14:paraId="5BA6B20E" w14:textId="77777777" w:rsidTr="00513763">
        <w:trPr>
          <w:trHeight w:val="720"/>
        </w:trPr>
        <w:tc>
          <w:tcPr>
            <w:tcW w:w="1290" w:type="dxa"/>
            <w:vMerge/>
            <w:tcBorders>
              <w:top w:val="single" w:sz="8" w:space="0" w:color="auto"/>
              <w:left w:val="nil"/>
              <w:bottom w:val="single" w:sz="8" w:space="0" w:color="000000"/>
              <w:right w:val="nil"/>
            </w:tcBorders>
            <w:vAlign w:val="center"/>
            <w:hideMark/>
          </w:tcPr>
          <w:p w14:paraId="5B7247AF"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8" w:space="0" w:color="000000"/>
              <w:right w:val="single" w:sz="4" w:space="0" w:color="auto"/>
            </w:tcBorders>
            <w:vAlign w:val="center"/>
            <w:hideMark/>
          </w:tcPr>
          <w:p w14:paraId="4A34E349"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nil"/>
              <w:left w:val="nil"/>
              <w:bottom w:val="single" w:sz="4" w:space="0" w:color="auto"/>
              <w:right w:val="nil"/>
            </w:tcBorders>
            <w:vAlign w:val="center"/>
            <w:hideMark/>
          </w:tcPr>
          <w:p w14:paraId="6A0031C5"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value (EUR) of entity's investment undertakings (CIUs) by country</w:t>
            </w:r>
          </w:p>
        </w:tc>
        <w:tc>
          <w:tcPr>
            <w:tcW w:w="2694" w:type="dxa"/>
            <w:tcBorders>
              <w:top w:val="nil"/>
              <w:left w:val="single" w:sz="4" w:space="0" w:color="auto"/>
              <w:bottom w:val="single" w:sz="4" w:space="0" w:color="auto"/>
              <w:right w:val="single" w:sz="4" w:space="0" w:color="auto"/>
            </w:tcBorders>
            <w:vAlign w:val="center"/>
            <w:hideMark/>
          </w:tcPr>
          <w:p w14:paraId="248252FF"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CIU Investment Flows - Value</w:t>
            </w:r>
          </w:p>
        </w:tc>
        <w:tc>
          <w:tcPr>
            <w:tcW w:w="850" w:type="dxa"/>
            <w:tcBorders>
              <w:top w:val="nil"/>
              <w:left w:val="nil"/>
              <w:bottom w:val="single" w:sz="4" w:space="0" w:color="auto"/>
              <w:right w:val="single" w:sz="4" w:space="0" w:color="auto"/>
            </w:tcBorders>
            <w:vAlign w:val="center"/>
            <w:hideMark/>
          </w:tcPr>
          <w:p w14:paraId="36B6C0DA"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C0090</w:t>
            </w:r>
          </w:p>
        </w:tc>
        <w:tc>
          <w:tcPr>
            <w:tcW w:w="1276" w:type="dxa"/>
            <w:tcBorders>
              <w:top w:val="nil"/>
              <w:left w:val="nil"/>
              <w:bottom w:val="nil"/>
              <w:right w:val="single" w:sz="4" w:space="0" w:color="auto"/>
            </w:tcBorders>
            <w:shd w:val="clear" w:color="000000" w:fill="3D7AF5"/>
            <w:vAlign w:val="center"/>
            <w:hideMark/>
          </w:tcPr>
          <w:p w14:paraId="1C113839"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 xml:space="preserve">AML.05.01 </w:t>
            </w:r>
          </w:p>
        </w:tc>
      </w:tr>
      <w:tr w:rsidR="00476609" w:rsidRPr="0051795D" w14:paraId="783A47A7" w14:textId="77777777" w:rsidTr="00513763">
        <w:trPr>
          <w:trHeight w:val="720"/>
        </w:trPr>
        <w:tc>
          <w:tcPr>
            <w:tcW w:w="1290" w:type="dxa"/>
            <w:vMerge/>
            <w:tcBorders>
              <w:top w:val="single" w:sz="8" w:space="0" w:color="auto"/>
              <w:left w:val="nil"/>
              <w:bottom w:val="single" w:sz="8" w:space="0" w:color="000000"/>
              <w:right w:val="nil"/>
            </w:tcBorders>
            <w:vAlign w:val="center"/>
            <w:hideMark/>
          </w:tcPr>
          <w:p w14:paraId="2509AAA4"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8" w:space="0" w:color="000000"/>
              <w:right w:val="single" w:sz="4" w:space="0" w:color="auto"/>
            </w:tcBorders>
            <w:vAlign w:val="center"/>
            <w:hideMark/>
          </w:tcPr>
          <w:p w14:paraId="7EE40A19"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nil"/>
              <w:left w:val="nil"/>
              <w:bottom w:val="single" w:sz="4" w:space="0" w:color="auto"/>
              <w:right w:val="nil"/>
            </w:tcBorders>
            <w:vAlign w:val="center"/>
            <w:hideMark/>
          </w:tcPr>
          <w:p w14:paraId="0D646DF3"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 xml:space="preserve">Number of investors by country (for AMCs) </w:t>
            </w:r>
          </w:p>
        </w:tc>
        <w:tc>
          <w:tcPr>
            <w:tcW w:w="2694" w:type="dxa"/>
            <w:tcBorders>
              <w:top w:val="nil"/>
              <w:left w:val="single" w:sz="4" w:space="0" w:color="auto"/>
              <w:bottom w:val="single" w:sz="4" w:space="0" w:color="auto"/>
              <w:right w:val="single" w:sz="4" w:space="0" w:color="auto"/>
            </w:tcBorders>
            <w:vAlign w:val="center"/>
            <w:hideMark/>
          </w:tcPr>
          <w:p w14:paraId="60DAC955"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Investors</w:t>
            </w:r>
          </w:p>
        </w:tc>
        <w:tc>
          <w:tcPr>
            <w:tcW w:w="850" w:type="dxa"/>
            <w:tcBorders>
              <w:top w:val="nil"/>
              <w:left w:val="nil"/>
              <w:bottom w:val="single" w:sz="4" w:space="0" w:color="auto"/>
              <w:right w:val="single" w:sz="4" w:space="0" w:color="auto"/>
            </w:tcBorders>
            <w:vAlign w:val="center"/>
            <w:hideMark/>
          </w:tcPr>
          <w:p w14:paraId="446ABBB6"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C0100</w:t>
            </w:r>
          </w:p>
        </w:tc>
        <w:tc>
          <w:tcPr>
            <w:tcW w:w="1276" w:type="dxa"/>
            <w:tcBorders>
              <w:top w:val="nil"/>
              <w:left w:val="nil"/>
              <w:bottom w:val="nil"/>
              <w:right w:val="single" w:sz="4" w:space="0" w:color="auto"/>
            </w:tcBorders>
            <w:shd w:val="clear" w:color="000000" w:fill="3D7AF5"/>
            <w:vAlign w:val="center"/>
            <w:hideMark/>
          </w:tcPr>
          <w:p w14:paraId="4DB01C4B"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 xml:space="preserve">AML.05.01 </w:t>
            </w:r>
          </w:p>
        </w:tc>
      </w:tr>
      <w:tr w:rsidR="00476609" w:rsidRPr="0051795D" w14:paraId="5C441011" w14:textId="77777777" w:rsidTr="00513763">
        <w:trPr>
          <w:trHeight w:val="720"/>
        </w:trPr>
        <w:tc>
          <w:tcPr>
            <w:tcW w:w="1290" w:type="dxa"/>
            <w:vMerge/>
            <w:tcBorders>
              <w:top w:val="single" w:sz="8" w:space="0" w:color="auto"/>
              <w:left w:val="nil"/>
              <w:bottom w:val="single" w:sz="8" w:space="0" w:color="000000"/>
              <w:right w:val="nil"/>
            </w:tcBorders>
            <w:vAlign w:val="center"/>
            <w:hideMark/>
          </w:tcPr>
          <w:p w14:paraId="6EDBCCC6"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8" w:space="0" w:color="000000"/>
              <w:right w:val="single" w:sz="4" w:space="0" w:color="auto"/>
            </w:tcBorders>
            <w:vAlign w:val="center"/>
            <w:hideMark/>
          </w:tcPr>
          <w:p w14:paraId="014BB28F"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nil"/>
              <w:left w:val="nil"/>
              <w:bottom w:val="single" w:sz="4" w:space="0" w:color="auto"/>
              <w:right w:val="nil"/>
            </w:tcBorders>
            <w:vAlign w:val="center"/>
            <w:hideMark/>
          </w:tcPr>
          <w:p w14:paraId="500DB758" w14:textId="18139E2B"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value (EUR) of assets under management by country (for AMCs)</w:t>
            </w:r>
          </w:p>
        </w:tc>
        <w:tc>
          <w:tcPr>
            <w:tcW w:w="2694" w:type="dxa"/>
            <w:tcBorders>
              <w:top w:val="nil"/>
              <w:left w:val="single" w:sz="4" w:space="0" w:color="auto"/>
              <w:bottom w:val="single" w:sz="4" w:space="0" w:color="auto"/>
              <w:right w:val="single" w:sz="4" w:space="0" w:color="auto"/>
            </w:tcBorders>
            <w:vAlign w:val="center"/>
            <w:hideMark/>
          </w:tcPr>
          <w:p w14:paraId="393F88EE"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Assets under Management - Value</w:t>
            </w:r>
          </w:p>
        </w:tc>
        <w:tc>
          <w:tcPr>
            <w:tcW w:w="850" w:type="dxa"/>
            <w:tcBorders>
              <w:top w:val="nil"/>
              <w:left w:val="nil"/>
              <w:bottom w:val="single" w:sz="4" w:space="0" w:color="auto"/>
              <w:right w:val="single" w:sz="4" w:space="0" w:color="auto"/>
            </w:tcBorders>
            <w:vAlign w:val="center"/>
            <w:hideMark/>
          </w:tcPr>
          <w:p w14:paraId="5574EF39"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C0110</w:t>
            </w:r>
          </w:p>
        </w:tc>
        <w:tc>
          <w:tcPr>
            <w:tcW w:w="1276" w:type="dxa"/>
            <w:tcBorders>
              <w:top w:val="nil"/>
              <w:left w:val="nil"/>
              <w:bottom w:val="nil"/>
              <w:right w:val="single" w:sz="4" w:space="0" w:color="auto"/>
            </w:tcBorders>
            <w:shd w:val="clear" w:color="000000" w:fill="3D7AF5"/>
            <w:vAlign w:val="center"/>
            <w:hideMark/>
          </w:tcPr>
          <w:p w14:paraId="020A329B"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 xml:space="preserve">AML.05.01 </w:t>
            </w:r>
          </w:p>
        </w:tc>
      </w:tr>
      <w:tr w:rsidR="00476609" w:rsidRPr="0051795D" w14:paraId="23B0D118" w14:textId="77777777" w:rsidTr="00513763">
        <w:trPr>
          <w:trHeight w:val="720"/>
        </w:trPr>
        <w:tc>
          <w:tcPr>
            <w:tcW w:w="1290" w:type="dxa"/>
            <w:vMerge/>
            <w:tcBorders>
              <w:top w:val="single" w:sz="8" w:space="0" w:color="auto"/>
              <w:left w:val="nil"/>
              <w:bottom w:val="single" w:sz="8" w:space="0" w:color="000000"/>
              <w:right w:val="nil"/>
            </w:tcBorders>
            <w:vAlign w:val="center"/>
            <w:hideMark/>
          </w:tcPr>
          <w:p w14:paraId="3A293904"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8" w:space="0" w:color="000000"/>
              <w:right w:val="single" w:sz="4" w:space="0" w:color="auto"/>
            </w:tcBorders>
            <w:vAlign w:val="center"/>
            <w:hideMark/>
          </w:tcPr>
          <w:p w14:paraId="5A7D1AF4"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nil"/>
              <w:left w:val="nil"/>
              <w:bottom w:val="single" w:sz="4" w:space="0" w:color="auto"/>
              <w:right w:val="nil"/>
            </w:tcBorders>
            <w:vAlign w:val="center"/>
            <w:hideMark/>
          </w:tcPr>
          <w:p w14:paraId="0C7FEDF1"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Number of institutions established in foreign countries to whom you provide correspondent services (by country)</w:t>
            </w:r>
          </w:p>
        </w:tc>
        <w:tc>
          <w:tcPr>
            <w:tcW w:w="2694" w:type="dxa"/>
            <w:tcBorders>
              <w:top w:val="nil"/>
              <w:left w:val="single" w:sz="4" w:space="0" w:color="auto"/>
              <w:bottom w:val="single" w:sz="4" w:space="0" w:color="auto"/>
              <w:right w:val="single" w:sz="4" w:space="0" w:color="auto"/>
            </w:tcBorders>
            <w:vAlign w:val="center"/>
            <w:hideMark/>
          </w:tcPr>
          <w:p w14:paraId="22D7EE3A"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Respondent Institutions</w:t>
            </w:r>
          </w:p>
        </w:tc>
        <w:tc>
          <w:tcPr>
            <w:tcW w:w="850" w:type="dxa"/>
            <w:tcBorders>
              <w:top w:val="nil"/>
              <w:left w:val="nil"/>
              <w:bottom w:val="single" w:sz="4" w:space="0" w:color="auto"/>
              <w:right w:val="single" w:sz="4" w:space="0" w:color="auto"/>
            </w:tcBorders>
            <w:vAlign w:val="center"/>
            <w:hideMark/>
          </w:tcPr>
          <w:p w14:paraId="50DAD8F9"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C0120</w:t>
            </w:r>
          </w:p>
        </w:tc>
        <w:tc>
          <w:tcPr>
            <w:tcW w:w="1276" w:type="dxa"/>
            <w:tcBorders>
              <w:top w:val="nil"/>
              <w:left w:val="nil"/>
              <w:bottom w:val="nil"/>
              <w:right w:val="single" w:sz="4" w:space="0" w:color="auto"/>
            </w:tcBorders>
            <w:shd w:val="clear" w:color="000000" w:fill="3D7AF5"/>
            <w:vAlign w:val="center"/>
            <w:hideMark/>
          </w:tcPr>
          <w:p w14:paraId="76C2A13E"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 xml:space="preserve">AML.05.01 </w:t>
            </w:r>
          </w:p>
        </w:tc>
      </w:tr>
      <w:tr w:rsidR="00476609" w:rsidRPr="0051795D" w14:paraId="22BA650E" w14:textId="77777777" w:rsidTr="00513763">
        <w:trPr>
          <w:trHeight w:val="720"/>
        </w:trPr>
        <w:tc>
          <w:tcPr>
            <w:tcW w:w="1290" w:type="dxa"/>
            <w:vMerge/>
            <w:tcBorders>
              <w:top w:val="single" w:sz="8" w:space="0" w:color="auto"/>
              <w:left w:val="nil"/>
              <w:bottom w:val="single" w:sz="8" w:space="0" w:color="000000"/>
              <w:right w:val="nil"/>
            </w:tcBorders>
            <w:vAlign w:val="center"/>
            <w:hideMark/>
          </w:tcPr>
          <w:p w14:paraId="51524C13"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8" w:space="0" w:color="000000"/>
              <w:right w:val="single" w:sz="4" w:space="0" w:color="auto"/>
            </w:tcBorders>
            <w:vAlign w:val="center"/>
            <w:hideMark/>
          </w:tcPr>
          <w:p w14:paraId="5D3D643F"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nil"/>
              <w:left w:val="nil"/>
              <w:bottom w:val="single" w:sz="4" w:space="0" w:color="auto"/>
              <w:right w:val="nil"/>
            </w:tcBorders>
            <w:vAlign w:val="center"/>
            <w:hideMark/>
          </w:tcPr>
          <w:p w14:paraId="173B9B95"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value of incoming funds moved on behalf of the respondent's clients by country of respondent's establishment</w:t>
            </w:r>
          </w:p>
        </w:tc>
        <w:tc>
          <w:tcPr>
            <w:tcW w:w="2694" w:type="dxa"/>
            <w:tcBorders>
              <w:top w:val="nil"/>
              <w:left w:val="single" w:sz="4" w:space="0" w:color="auto"/>
              <w:bottom w:val="single" w:sz="4" w:space="0" w:color="auto"/>
              <w:right w:val="single" w:sz="4" w:space="0" w:color="auto"/>
            </w:tcBorders>
            <w:vAlign w:val="center"/>
            <w:hideMark/>
          </w:tcPr>
          <w:p w14:paraId="64CC5CAC"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Respondent Client Funds (Incoming) - Value</w:t>
            </w:r>
          </w:p>
        </w:tc>
        <w:tc>
          <w:tcPr>
            <w:tcW w:w="850" w:type="dxa"/>
            <w:tcBorders>
              <w:top w:val="nil"/>
              <w:left w:val="nil"/>
              <w:bottom w:val="single" w:sz="4" w:space="0" w:color="auto"/>
              <w:right w:val="single" w:sz="4" w:space="0" w:color="auto"/>
            </w:tcBorders>
            <w:vAlign w:val="center"/>
            <w:hideMark/>
          </w:tcPr>
          <w:p w14:paraId="0F0C1F82"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C0130</w:t>
            </w:r>
          </w:p>
        </w:tc>
        <w:tc>
          <w:tcPr>
            <w:tcW w:w="1276" w:type="dxa"/>
            <w:tcBorders>
              <w:top w:val="nil"/>
              <w:left w:val="nil"/>
              <w:bottom w:val="nil"/>
              <w:right w:val="single" w:sz="4" w:space="0" w:color="auto"/>
            </w:tcBorders>
            <w:shd w:val="clear" w:color="000000" w:fill="3D7AF5"/>
            <w:vAlign w:val="center"/>
            <w:hideMark/>
          </w:tcPr>
          <w:p w14:paraId="5F217CB7"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 xml:space="preserve">AML.05.01 </w:t>
            </w:r>
          </w:p>
        </w:tc>
      </w:tr>
      <w:tr w:rsidR="00476609" w:rsidRPr="0051795D" w14:paraId="393584CD" w14:textId="77777777" w:rsidTr="00513763">
        <w:trPr>
          <w:trHeight w:val="720"/>
        </w:trPr>
        <w:tc>
          <w:tcPr>
            <w:tcW w:w="1290" w:type="dxa"/>
            <w:vMerge/>
            <w:tcBorders>
              <w:top w:val="single" w:sz="8" w:space="0" w:color="auto"/>
              <w:left w:val="nil"/>
              <w:bottom w:val="single" w:sz="8" w:space="0" w:color="000000"/>
              <w:right w:val="nil"/>
            </w:tcBorders>
            <w:vAlign w:val="center"/>
            <w:hideMark/>
          </w:tcPr>
          <w:p w14:paraId="63C38521"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8" w:space="0" w:color="000000"/>
              <w:right w:val="single" w:sz="4" w:space="0" w:color="auto"/>
            </w:tcBorders>
            <w:vAlign w:val="center"/>
            <w:hideMark/>
          </w:tcPr>
          <w:p w14:paraId="5ED721EC"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nil"/>
              <w:left w:val="nil"/>
              <w:bottom w:val="single" w:sz="4" w:space="0" w:color="auto"/>
              <w:right w:val="nil"/>
            </w:tcBorders>
            <w:vAlign w:val="center"/>
            <w:hideMark/>
          </w:tcPr>
          <w:p w14:paraId="7E3D39E4"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value of outgoing funds moved on behalf of the respondent's clients by country of respondent's establishment</w:t>
            </w:r>
          </w:p>
        </w:tc>
        <w:tc>
          <w:tcPr>
            <w:tcW w:w="2694" w:type="dxa"/>
            <w:tcBorders>
              <w:top w:val="nil"/>
              <w:left w:val="single" w:sz="4" w:space="0" w:color="auto"/>
              <w:bottom w:val="single" w:sz="4" w:space="0" w:color="auto"/>
              <w:right w:val="single" w:sz="4" w:space="0" w:color="auto"/>
            </w:tcBorders>
            <w:vAlign w:val="center"/>
            <w:hideMark/>
          </w:tcPr>
          <w:p w14:paraId="0DE2D3E5"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Respondent Client Funds (Outgoing) - Value</w:t>
            </w:r>
          </w:p>
        </w:tc>
        <w:tc>
          <w:tcPr>
            <w:tcW w:w="850" w:type="dxa"/>
            <w:tcBorders>
              <w:top w:val="nil"/>
              <w:left w:val="nil"/>
              <w:bottom w:val="single" w:sz="4" w:space="0" w:color="auto"/>
              <w:right w:val="single" w:sz="4" w:space="0" w:color="auto"/>
            </w:tcBorders>
            <w:vAlign w:val="center"/>
            <w:hideMark/>
          </w:tcPr>
          <w:p w14:paraId="51E7B99A"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C0140</w:t>
            </w:r>
          </w:p>
        </w:tc>
        <w:tc>
          <w:tcPr>
            <w:tcW w:w="1276" w:type="dxa"/>
            <w:tcBorders>
              <w:top w:val="nil"/>
              <w:left w:val="nil"/>
              <w:bottom w:val="nil"/>
              <w:right w:val="single" w:sz="4" w:space="0" w:color="auto"/>
            </w:tcBorders>
            <w:shd w:val="clear" w:color="000000" w:fill="3D7AF5"/>
            <w:vAlign w:val="center"/>
            <w:hideMark/>
          </w:tcPr>
          <w:p w14:paraId="41C838BD"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 xml:space="preserve">AML.05.01 </w:t>
            </w:r>
          </w:p>
        </w:tc>
      </w:tr>
      <w:tr w:rsidR="00476609" w:rsidRPr="0051795D" w14:paraId="7B763F98" w14:textId="77777777" w:rsidTr="00513763">
        <w:trPr>
          <w:trHeight w:val="720"/>
        </w:trPr>
        <w:tc>
          <w:tcPr>
            <w:tcW w:w="1290" w:type="dxa"/>
            <w:vMerge/>
            <w:tcBorders>
              <w:top w:val="single" w:sz="8" w:space="0" w:color="auto"/>
              <w:left w:val="nil"/>
              <w:bottom w:val="single" w:sz="8" w:space="0" w:color="000000"/>
              <w:right w:val="nil"/>
            </w:tcBorders>
            <w:vAlign w:val="center"/>
            <w:hideMark/>
          </w:tcPr>
          <w:p w14:paraId="553473A7"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8" w:space="0" w:color="000000"/>
              <w:right w:val="single" w:sz="4" w:space="0" w:color="auto"/>
            </w:tcBorders>
            <w:vAlign w:val="center"/>
            <w:hideMark/>
          </w:tcPr>
          <w:p w14:paraId="5845BCEF"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nil"/>
              <w:left w:val="nil"/>
              <w:bottom w:val="single" w:sz="4" w:space="0" w:color="auto"/>
              <w:right w:val="nil"/>
            </w:tcBorders>
            <w:vAlign w:val="center"/>
            <w:hideMark/>
          </w:tcPr>
          <w:p w14:paraId="066E12EA"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Number of branches by country</w:t>
            </w:r>
          </w:p>
        </w:tc>
        <w:tc>
          <w:tcPr>
            <w:tcW w:w="2694" w:type="dxa"/>
            <w:tcBorders>
              <w:top w:val="nil"/>
              <w:left w:val="single" w:sz="4" w:space="0" w:color="auto"/>
              <w:bottom w:val="single" w:sz="4" w:space="0" w:color="auto"/>
              <w:right w:val="single" w:sz="4" w:space="0" w:color="auto"/>
            </w:tcBorders>
            <w:vAlign w:val="center"/>
            <w:hideMark/>
          </w:tcPr>
          <w:p w14:paraId="47D858AC"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Number of branches by country</w:t>
            </w:r>
          </w:p>
        </w:tc>
        <w:tc>
          <w:tcPr>
            <w:tcW w:w="850" w:type="dxa"/>
            <w:tcBorders>
              <w:top w:val="nil"/>
              <w:left w:val="nil"/>
              <w:bottom w:val="single" w:sz="4" w:space="0" w:color="auto"/>
              <w:right w:val="single" w:sz="4" w:space="0" w:color="auto"/>
            </w:tcBorders>
            <w:vAlign w:val="center"/>
            <w:hideMark/>
          </w:tcPr>
          <w:p w14:paraId="51CEAB21"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C0150</w:t>
            </w:r>
          </w:p>
        </w:tc>
        <w:tc>
          <w:tcPr>
            <w:tcW w:w="1276" w:type="dxa"/>
            <w:tcBorders>
              <w:top w:val="nil"/>
              <w:left w:val="nil"/>
              <w:bottom w:val="nil"/>
              <w:right w:val="single" w:sz="4" w:space="0" w:color="auto"/>
            </w:tcBorders>
            <w:shd w:val="clear" w:color="000000" w:fill="3D7AF5"/>
            <w:vAlign w:val="center"/>
            <w:hideMark/>
          </w:tcPr>
          <w:p w14:paraId="0087F95E"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 xml:space="preserve">AML.05.01 </w:t>
            </w:r>
          </w:p>
        </w:tc>
      </w:tr>
      <w:tr w:rsidR="00476609" w:rsidRPr="0051795D" w14:paraId="64FA0B53" w14:textId="77777777" w:rsidTr="00513763">
        <w:trPr>
          <w:trHeight w:val="720"/>
        </w:trPr>
        <w:tc>
          <w:tcPr>
            <w:tcW w:w="1290" w:type="dxa"/>
            <w:vMerge/>
            <w:tcBorders>
              <w:top w:val="single" w:sz="8" w:space="0" w:color="auto"/>
              <w:left w:val="nil"/>
              <w:bottom w:val="single" w:sz="8" w:space="0" w:color="000000"/>
              <w:right w:val="nil"/>
            </w:tcBorders>
            <w:vAlign w:val="center"/>
            <w:hideMark/>
          </w:tcPr>
          <w:p w14:paraId="0272B01F"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8" w:space="0" w:color="000000"/>
              <w:right w:val="single" w:sz="4" w:space="0" w:color="auto"/>
            </w:tcBorders>
            <w:vAlign w:val="center"/>
            <w:hideMark/>
          </w:tcPr>
          <w:p w14:paraId="04DB44B2"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nil"/>
              <w:left w:val="nil"/>
              <w:bottom w:val="single" w:sz="4" w:space="0" w:color="auto"/>
              <w:right w:val="nil"/>
            </w:tcBorders>
            <w:vAlign w:val="center"/>
            <w:hideMark/>
          </w:tcPr>
          <w:p w14:paraId="6AE71351"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Number of subsidiaries by country</w:t>
            </w:r>
          </w:p>
        </w:tc>
        <w:tc>
          <w:tcPr>
            <w:tcW w:w="2694" w:type="dxa"/>
            <w:tcBorders>
              <w:top w:val="nil"/>
              <w:left w:val="single" w:sz="4" w:space="0" w:color="auto"/>
              <w:bottom w:val="single" w:sz="4" w:space="0" w:color="auto"/>
              <w:right w:val="single" w:sz="4" w:space="0" w:color="auto"/>
            </w:tcBorders>
            <w:vAlign w:val="center"/>
            <w:hideMark/>
          </w:tcPr>
          <w:p w14:paraId="3DDCF32B"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Number of subsidiaries by country</w:t>
            </w:r>
          </w:p>
        </w:tc>
        <w:tc>
          <w:tcPr>
            <w:tcW w:w="850" w:type="dxa"/>
            <w:tcBorders>
              <w:top w:val="nil"/>
              <w:left w:val="nil"/>
              <w:bottom w:val="single" w:sz="4" w:space="0" w:color="auto"/>
              <w:right w:val="single" w:sz="4" w:space="0" w:color="auto"/>
            </w:tcBorders>
            <w:vAlign w:val="center"/>
            <w:hideMark/>
          </w:tcPr>
          <w:p w14:paraId="606980C6"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C0160</w:t>
            </w:r>
          </w:p>
        </w:tc>
        <w:tc>
          <w:tcPr>
            <w:tcW w:w="1276" w:type="dxa"/>
            <w:tcBorders>
              <w:top w:val="nil"/>
              <w:left w:val="nil"/>
              <w:bottom w:val="nil"/>
              <w:right w:val="single" w:sz="4" w:space="0" w:color="auto"/>
            </w:tcBorders>
            <w:shd w:val="clear" w:color="000000" w:fill="3D7AF5"/>
            <w:vAlign w:val="center"/>
            <w:hideMark/>
          </w:tcPr>
          <w:p w14:paraId="4A7E290F"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 xml:space="preserve">AML.05.01 </w:t>
            </w:r>
          </w:p>
        </w:tc>
      </w:tr>
      <w:tr w:rsidR="00476609" w:rsidRPr="0051795D" w14:paraId="4B926819" w14:textId="77777777" w:rsidTr="00513763">
        <w:trPr>
          <w:trHeight w:val="720"/>
        </w:trPr>
        <w:tc>
          <w:tcPr>
            <w:tcW w:w="1290" w:type="dxa"/>
            <w:vMerge/>
            <w:tcBorders>
              <w:top w:val="single" w:sz="8" w:space="0" w:color="auto"/>
              <w:left w:val="nil"/>
              <w:bottom w:val="single" w:sz="8" w:space="0" w:color="000000"/>
              <w:right w:val="nil"/>
            </w:tcBorders>
            <w:vAlign w:val="center"/>
            <w:hideMark/>
          </w:tcPr>
          <w:p w14:paraId="6791580D"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8" w:space="0" w:color="000000"/>
              <w:right w:val="single" w:sz="4" w:space="0" w:color="auto"/>
            </w:tcBorders>
            <w:vAlign w:val="center"/>
            <w:hideMark/>
          </w:tcPr>
          <w:p w14:paraId="4DEBCFF3"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nil"/>
              <w:left w:val="nil"/>
              <w:bottom w:val="single" w:sz="8" w:space="0" w:color="auto"/>
              <w:right w:val="nil"/>
            </w:tcBorders>
            <w:vAlign w:val="center"/>
            <w:hideMark/>
          </w:tcPr>
          <w:p w14:paraId="6A958653"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Country where the entities undertaking is located (parent company)</w:t>
            </w:r>
          </w:p>
        </w:tc>
        <w:tc>
          <w:tcPr>
            <w:tcW w:w="2694" w:type="dxa"/>
            <w:tcBorders>
              <w:top w:val="nil"/>
              <w:left w:val="single" w:sz="4" w:space="0" w:color="auto"/>
              <w:bottom w:val="single" w:sz="4" w:space="0" w:color="auto"/>
              <w:right w:val="single" w:sz="4" w:space="0" w:color="auto"/>
            </w:tcBorders>
            <w:vAlign w:val="center"/>
            <w:hideMark/>
          </w:tcPr>
          <w:p w14:paraId="054F1152"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Country of Establishment</w:t>
            </w:r>
          </w:p>
        </w:tc>
        <w:tc>
          <w:tcPr>
            <w:tcW w:w="850" w:type="dxa"/>
            <w:tcBorders>
              <w:top w:val="nil"/>
              <w:left w:val="nil"/>
              <w:bottom w:val="single" w:sz="4" w:space="0" w:color="auto"/>
              <w:right w:val="single" w:sz="4" w:space="0" w:color="auto"/>
            </w:tcBorders>
            <w:vAlign w:val="center"/>
            <w:hideMark/>
          </w:tcPr>
          <w:p w14:paraId="4558313C"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C0060</w:t>
            </w:r>
          </w:p>
        </w:tc>
        <w:tc>
          <w:tcPr>
            <w:tcW w:w="1276" w:type="dxa"/>
            <w:tcBorders>
              <w:top w:val="nil"/>
              <w:left w:val="nil"/>
              <w:bottom w:val="single" w:sz="8" w:space="0" w:color="auto"/>
              <w:right w:val="single" w:sz="4" w:space="0" w:color="auto"/>
            </w:tcBorders>
            <w:shd w:val="clear" w:color="000000" w:fill="3D7AF5"/>
            <w:vAlign w:val="center"/>
            <w:hideMark/>
          </w:tcPr>
          <w:p w14:paraId="63659859"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 xml:space="preserve">AML.01.01 </w:t>
            </w:r>
          </w:p>
        </w:tc>
      </w:tr>
      <w:tr w:rsidR="00476609" w:rsidRPr="0051795D" w14:paraId="120B7FF7" w14:textId="77777777" w:rsidTr="00513763">
        <w:trPr>
          <w:trHeight w:val="720"/>
        </w:trPr>
        <w:tc>
          <w:tcPr>
            <w:tcW w:w="1290" w:type="dxa"/>
            <w:vMerge w:val="restart"/>
            <w:tcBorders>
              <w:top w:val="nil"/>
              <w:left w:val="nil"/>
              <w:bottom w:val="single" w:sz="8" w:space="0" w:color="000000"/>
              <w:right w:val="single" w:sz="4" w:space="0" w:color="auto"/>
            </w:tcBorders>
            <w:shd w:val="clear" w:color="000000" w:fill="0728CB"/>
            <w:vAlign w:val="center"/>
            <w:hideMark/>
          </w:tcPr>
          <w:p w14:paraId="4AB051C9"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Distribution channels</w:t>
            </w:r>
          </w:p>
        </w:tc>
        <w:tc>
          <w:tcPr>
            <w:tcW w:w="1500" w:type="dxa"/>
            <w:vMerge w:val="restart"/>
            <w:tcBorders>
              <w:top w:val="nil"/>
              <w:left w:val="single" w:sz="4" w:space="0" w:color="auto"/>
              <w:bottom w:val="single" w:sz="8" w:space="0" w:color="000000"/>
              <w:right w:val="nil"/>
            </w:tcBorders>
            <w:shd w:val="clear" w:color="000000" w:fill="3D7AF5"/>
            <w:vAlign w:val="center"/>
            <w:hideMark/>
          </w:tcPr>
          <w:p w14:paraId="693E6987"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Distribution channels</w:t>
            </w:r>
          </w:p>
        </w:tc>
        <w:tc>
          <w:tcPr>
            <w:tcW w:w="2308" w:type="dxa"/>
            <w:tcBorders>
              <w:top w:val="nil"/>
              <w:left w:val="single" w:sz="4" w:space="0" w:color="000000"/>
              <w:bottom w:val="single" w:sz="4" w:space="0" w:color="000000"/>
              <w:right w:val="nil"/>
            </w:tcBorders>
            <w:vAlign w:val="center"/>
            <w:hideMark/>
          </w:tcPr>
          <w:p w14:paraId="1A635442"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Number of new customers onboarded remotely in the previous year</w:t>
            </w:r>
          </w:p>
        </w:tc>
        <w:tc>
          <w:tcPr>
            <w:tcW w:w="2694" w:type="dxa"/>
            <w:tcBorders>
              <w:top w:val="nil"/>
              <w:left w:val="single" w:sz="4" w:space="0" w:color="auto"/>
              <w:bottom w:val="single" w:sz="4" w:space="0" w:color="auto"/>
              <w:right w:val="single" w:sz="4" w:space="0" w:color="auto"/>
            </w:tcBorders>
            <w:vAlign w:val="center"/>
            <w:hideMark/>
          </w:tcPr>
          <w:p w14:paraId="6FA43740"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New Customers - Remote Onboarding</w:t>
            </w:r>
          </w:p>
        </w:tc>
        <w:tc>
          <w:tcPr>
            <w:tcW w:w="850" w:type="dxa"/>
            <w:tcBorders>
              <w:top w:val="nil"/>
              <w:left w:val="nil"/>
              <w:bottom w:val="single" w:sz="4" w:space="0" w:color="000000"/>
              <w:right w:val="nil"/>
            </w:tcBorders>
            <w:vAlign w:val="center"/>
            <w:hideMark/>
          </w:tcPr>
          <w:p w14:paraId="09E872D6"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C0080</w:t>
            </w:r>
          </w:p>
        </w:tc>
        <w:tc>
          <w:tcPr>
            <w:tcW w:w="1276" w:type="dxa"/>
            <w:tcBorders>
              <w:top w:val="nil"/>
              <w:left w:val="nil"/>
              <w:bottom w:val="nil"/>
              <w:right w:val="nil"/>
            </w:tcBorders>
            <w:shd w:val="clear" w:color="000000" w:fill="3D7AF5"/>
            <w:vAlign w:val="center"/>
            <w:hideMark/>
          </w:tcPr>
          <w:p w14:paraId="358A3477"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AML.02.01</w:t>
            </w:r>
          </w:p>
        </w:tc>
      </w:tr>
      <w:tr w:rsidR="00476609" w:rsidRPr="0051795D" w14:paraId="111AA8DB" w14:textId="77777777" w:rsidTr="00513763">
        <w:trPr>
          <w:trHeight w:val="720"/>
        </w:trPr>
        <w:tc>
          <w:tcPr>
            <w:tcW w:w="1290" w:type="dxa"/>
            <w:vMerge/>
            <w:tcBorders>
              <w:top w:val="nil"/>
              <w:left w:val="nil"/>
              <w:bottom w:val="single" w:sz="8" w:space="0" w:color="000000"/>
              <w:right w:val="single" w:sz="4" w:space="0" w:color="auto"/>
            </w:tcBorders>
            <w:vAlign w:val="center"/>
            <w:hideMark/>
          </w:tcPr>
          <w:p w14:paraId="5E38EC30"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8" w:space="0" w:color="000000"/>
              <w:right w:val="nil"/>
            </w:tcBorders>
            <w:vAlign w:val="center"/>
            <w:hideMark/>
          </w:tcPr>
          <w:p w14:paraId="48C9D5E3"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nil"/>
              <w:left w:val="single" w:sz="4" w:space="0" w:color="000000"/>
              <w:bottom w:val="single" w:sz="4" w:space="0" w:color="000000"/>
              <w:right w:val="nil"/>
            </w:tcBorders>
            <w:vAlign w:val="center"/>
            <w:hideMark/>
          </w:tcPr>
          <w:p w14:paraId="021F4740"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Number of new customers onboarded in the previous year by third parties</w:t>
            </w:r>
          </w:p>
        </w:tc>
        <w:tc>
          <w:tcPr>
            <w:tcW w:w="2694" w:type="dxa"/>
            <w:tcBorders>
              <w:top w:val="nil"/>
              <w:left w:val="single" w:sz="4" w:space="0" w:color="auto"/>
              <w:bottom w:val="single" w:sz="4" w:space="0" w:color="auto"/>
              <w:right w:val="single" w:sz="4" w:space="0" w:color="auto"/>
            </w:tcBorders>
            <w:vAlign w:val="center"/>
            <w:hideMark/>
          </w:tcPr>
          <w:p w14:paraId="04FD174E"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New Customers - Third Party Onboarding</w:t>
            </w:r>
          </w:p>
        </w:tc>
        <w:tc>
          <w:tcPr>
            <w:tcW w:w="850" w:type="dxa"/>
            <w:tcBorders>
              <w:top w:val="nil"/>
              <w:left w:val="nil"/>
              <w:bottom w:val="single" w:sz="4" w:space="0" w:color="000000"/>
              <w:right w:val="nil"/>
            </w:tcBorders>
            <w:vAlign w:val="center"/>
            <w:hideMark/>
          </w:tcPr>
          <w:p w14:paraId="7C73AF86"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C0090</w:t>
            </w:r>
          </w:p>
        </w:tc>
        <w:tc>
          <w:tcPr>
            <w:tcW w:w="1276" w:type="dxa"/>
            <w:tcBorders>
              <w:top w:val="single" w:sz="8" w:space="0" w:color="auto"/>
              <w:left w:val="nil"/>
              <w:bottom w:val="nil"/>
              <w:right w:val="nil"/>
            </w:tcBorders>
            <w:shd w:val="clear" w:color="000000" w:fill="3D7AF5"/>
            <w:vAlign w:val="center"/>
            <w:hideMark/>
          </w:tcPr>
          <w:p w14:paraId="7D21B49B"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AML.02.01</w:t>
            </w:r>
          </w:p>
        </w:tc>
      </w:tr>
      <w:tr w:rsidR="00476609" w:rsidRPr="0051795D" w14:paraId="029E667B" w14:textId="77777777" w:rsidTr="00513763">
        <w:trPr>
          <w:trHeight w:val="720"/>
        </w:trPr>
        <w:tc>
          <w:tcPr>
            <w:tcW w:w="1290" w:type="dxa"/>
            <w:vMerge/>
            <w:tcBorders>
              <w:top w:val="nil"/>
              <w:left w:val="nil"/>
              <w:bottom w:val="single" w:sz="8" w:space="0" w:color="000000"/>
              <w:right w:val="single" w:sz="4" w:space="0" w:color="auto"/>
            </w:tcBorders>
            <w:vAlign w:val="center"/>
            <w:hideMark/>
          </w:tcPr>
          <w:p w14:paraId="46CC877D"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8" w:space="0" w:color="000000"/>
              <w:right w:val="nil"/>
            </w:tcBorders>
            <w:vAlign w:val="center"/>
            <w:hideMark/>
          </w:tcPr>
          <w:p w14:paraId="2F76AD83"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nil"/>
              <w:left w:val="single" w:sz="4" w:space="0" w:color="000000"/>
              <w:bottom w:val="single" w:sz="4" w:space="0" w:color="000000"/>
              <w:right w:val="nil"/>
            </w:tcBorders>
            <w:vAlign w:val="center"/>
            <w:hideMark/>
          </w:tcPr>
          <w:p w14:paraId="76EB5207"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Number of customers onboarded in the previous year by third parties not directly subject to AML/CFT supervision</w:t>
            </w:r>
          </w:p>
        </w:tc>
        <w:tc>
          <w:tcPr>
            <w:tcW w:w="2694" w:type="dxa"/>
            <w:tcBorders>
              <w:top w:val="nil"/>
              <w:left w:val="single" w:sz="4" w:space="0" w:color="auto"/>
              <w:bottom w:val="single" w:sz="4" w:space="0" w:color="auto"/>
              <w:right w:val="single" w:sz="4" w:space="0" w:color="auto"/>
            </w:tcBorders>
            <w:vAlign w:val="center"/>
            <w:hideMark/>
          </w:tcPr>
          <w:p w14:paraId="3CB6D5C6"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New Customers - Third Party Onboarding (Non-supervised)</w:t>
            </w:r>
          </w:p>
        </w:tc>
        <w:tc>
          <w:tcPr>
            <w:tcW w:w="850" w:type="dxa"/>
            <w:tcBorders>
              <w:top w:val="nil"/>
              <w:left w:val="nil"/>
              <w:bottom w:val="single" w:sz="4" w:space="0" w:color="000000"/>
              <w:right w:val="nil"/>
            </w:tcBorders>
            <w:vAlign w:val="center"/>
            <w:hideMark/>
          </w:tcPr>
          <w:p w14:paraId="4D33D0E4"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C0100</w:t>
            </w:r>
          </w:p>
        </w:tc>
        <w:tc>
          <w:tcPr>
            <w:tcW w:w="1276" w:type="dxa"/>
            <w:tcBorders>
              <w:top w:val="single" w:sz="8" w:space="0" w:color="auto"/>
              <w:left w:val="nil"/>
              <w:bottom w:val="nil"/>
              <w:right w:val="nil"/>
            </w:tcBorders>
            <w:shd w:val="clear" w:color="000000" w:fill="3D7AF5"/>
            <w:vAlign w:val="center"/>
            <w:hideMark/>
          </w:tcPr>
          <w:p w14:paraId="57E18B00"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AML.02.01</w:t>
            </w:r>
          </w:p>
        </w:tc>
      </w:tr>
      <w:tr w:rsidR="00476609" w:rsidRPr="0051795D" w14:paraId="18DF0655" w14:textId="77777777" w:rsidTr="00513763">
        <w:trPr>
          <w:trHeight w:val="720"/>
        </w:trPr>
        <w:tc>
          <w:tcPr>
            <w:tcW w:w="1290" w:type="dxa"/>
            <w:vMerge/>
            <w:tcBorders>
              <w:top w:val="nil"/>
              <w:left w:val="nil"/>
              <w:bottom w:val="single" w:sz="8" w:space="0" w:color="000000"/>
              <w:right w:val="single" w:sz="4" w:space="0" w:color="auto"/>
            </w:tcBorders>
            <w:vAlign w:val="center"/>
            <w:hideMark/>
          </w:tcPr>
          <w:p w14:paraId="11CE2A3E"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8" w:space="0" w:color="000000"/>
              <w:right w:val="nil"/>
            </w:tcBorders>
            <w:vAlign w:val="center"/>
            <w:hideMark/>
          </w:tcPr>
          <w:p w14:paraId="2D3750C9"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nil"/>
              <w:left w:val="single" w:sz="4" w:space="0" w:color="000000"/>
              <w:bottom w:val="single" w:sz="4" w:space="0" w:color="000000"/>
              <w:right w:val="nil"/>
            </w:tcBorders>
            <w:vAlign w:val="center"/>
            <w:hideMark/>
          </w:tcPr>
          <w:p w14:paraId="3E230BB5"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Number of agents by country</w:t>
            </w:r>
          </w:p>
        </w:tc>
        <w:tc>
          <w:tcPr>
            <w:tcW w:w="2694" w:type="dxa"/>
            <w:tcBorders>
              <w:top w:val="nil"/>
              <w:left w:val="single" w:sz="4" w:space="0" w:color="auto"/>
              <w:bottom w:val="single" w:sz="4" w:space="0" w:color="auto"/>
              <w:right w:val="single" w:sz="4" w:space="0" w:color="auto"/>
            </w:tcBorders>
            <w:vAlign w:val="center"/>
            <w:hideMark/>
          </w:tcPr>
          <w:p w14:paraId="6184ECAD"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Number of agents by country</w:t>
            </w:r>
          </w:p>
        </w:tc>
        <w:tc>
          <w:tcPr>
            <w:tcW w:w="850" w:type="dxa"/>
            <w:tcBorders>
              <w:top w:val="nil"/>
              <w:left w:val="nil"/>
              <w:bottom w:val="single" w:sz="4" w:space="0" w:color="000000"/>
              <w:right w:val="nil"/>
            </w:tcBorders>
            <w:vAlign w:val="center"/>
            <w:hideMark/>
          </w:tcPr>
          <w:p w14:paraId="4378A574"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C0020</w:t>
            </w:r>
          </w:p>
        </w:tc>
        <w:tc>
          <w:tcPr>
            <w:tcW w:w="1276" w:type="dxa"/>
            <w:tcBorders>
              <w:top w:val="single" w:sz="8" w:space="0" w:color="auto"/>
              <w:left w:val="nil"/>
              <w:bottom w:val="nil"/>
              <w:right w:val="nil"/>
            </w:tcBorders>
            <w:shd w:val="clear" w:color="000000" w:fill="3D7AF5"/>
            <w:vAlign w:val="center"/>
            <w:hideMark/>
          </w:tcPr>
          <w:p w14:paraId="06702F9B"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AML.06.01</w:t>
            </w:r>
          </w:p>
        </w:tc>
      </w:tr>
      <w:tr w:rsidR="00476609" w:rsidRPr="0051795D" w14:paraId="7D814133" w14:textId="77777777" w:rsidTr="00513763">
        <w:trPr>
          <w:trHeight w:val="720"/>
        </w:trPr>
        <w:tc>
          <w:tcPr>
            <w:tcW w:w="1290" w:type="dxa"/>
            <w:vMerge/>
            <w:tcBorders>
              <w:top w:val="nil"/>
              <w:left w:val="nil"/>
              <w:bottom w:val="single" w:sz="8" w:space="0" w:color="000000"/>
              <w:right w:val="single" w:sz="4" w:space="0" w:color="auto"/>
            </w:tcBorders>
            <w:vAlign w:val="center"/>
            <w:hideMark/>
          </w:tcPr>
          <w:p w14:paraId="3F02A71F"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8" w:space="0" w:color="000000"/>
              <w:right w:val="nil"/>
            </w:tcBorders>
            <w:vAlign w:val="center"/>
            <w:hideMark/>
          </w:tcPr>
          <w:p w14:paraId="63D22B99"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nil"/>
              <w:left w:val="single" w:sz="4" w:space="0" w:color="000000"/>
              <w:bottom w:val="single" w:sz="4" w:space="0" w:color="000000"/>
              <w:right w:val="nil"/>
            </w:tcBorders>
            <w:vAlign w:val="center"/>
            <w:hideMark/>
          </w:tcPr>
          <w:p w14:paraId="10DF7689"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Number of distributors by country</w:t>
            </w:r>
          </w:p>
        </w:tc>
        <w:tc>
          <w:tcPr>
            <w:tcW w:w="2694" w:type="dxa"/>
            <w:tcBorders>
              <w:top w:val="nil"/>
              <w:left w:val="single" w:sz="4" w:space="0" w:color="auto"/>
              <w:bottom w:val="single" w:sz="4" w:space="0" w:color="auto"/>
              <w:right w:val="single" w:sz="4" w:space="0" w:color="auto"/>
            </w:tcBorders>
            <w:vAlign w:val="center"/>
            <w:hideMark/>
          </w:tcPr>
          <w:p w14:paraId="67D31319"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Number of distributors by country</w:t>
            </w:r>
          </w:p>
        </w:tc>
        <w:tc>
          <w:tcPr>
            <w:tcW w:w="850" w:type="dxa"/>
            <w:tcBorders>
              <w:top w:val="nil"/>
              <w:left w:val="nil"/>
              <w:bottom w:val="single" w:sz="4" w:space="0" w:color="auto"/>
              <w:right w:val="single" w:sz="4" w:space="0" w:color="auto"/>
            </w:tcBorders>
            <w:vAlign w:val="center"/>
            <w:hideMark/>
          </w:tcPr>
          <w:p w14:paraId="2790A22A"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C0030</w:t>
            </w:r>
          </w:p>
        </w:tc>
        <w:tc>
          <w:tcPr>
            <w:tcW w:w="1276" w:type="dxa"/>
            <w:tcBorders>
              <w:top w:val="single" w:sz="8" w:space="0" w:color="auto"/>
              <w:left w:val="nil"/>
              <w:bottom w:val="nil"/>
              <w:right w:val="nil"/>
            </w:tcBorders>
            <w:shd w:val="clear" w:color="000000" w:fill="3D7AF5"/>
            <w:vAlign w:val="center"/>
            <w:hideMark/>
          </w:tcPr>
          <w:p w14:paraId="72A9F74D"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AML.06.01</w:t>
            </w:r>
          </w:p>
        </w:tc>
      </w:tr>
      <w:tr w:rsidR="00476609" w:rsidRPr="0051795D" w14:paraId="104D53CD" w14:textId="77777777" w:rsidTr="00513763">
        <w:trPr>
          <w:trHeight w:val="720"/>
        </w:trPr>
        <w:tc>
          <w:tcPr>
            <w:tcW w:w="1290" w:type="dxa"/>
            <w:vMerge/>
            <w:tcBorders>
              <w:top w:val="nil"/>
              <w:left w:val="nil"/>
              <w:bottom w:val="single" w:sz="8" w:space="0" w:color="000000"/>
              <w:right w:val="single" w:sz="4" w:space="0" w:color="auto"/>
            </w:tcBorders>
            <w:vAlign w:val="center"/>
            <w:hideMark/>
          </w:tcPr>
          <w:p w14:paraId="62AF4806"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8" w:space="0" w:color="000000"/>
              <w:right w:val="nil"/>
            </w:tcBorders>
            <w:vAlign w:val="center"/>
            <w:hideMark/>
          </w:tcPr>
          <w:p w14:paraId="796AE9D0"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nil"/>
              <w:left w:val="single" w:sz="4" w:space="0" w:color="000000"/>
              <w:bottom w:val="single" w:sz="4" w:space="0" w:color="000000"/>
              <w:right w:val="nil"/>
            </w:tcBorders>
            <w:vAlign w:val="center"/>
            <w:hideMark/>
          </w:tcPr>
          <w:p w14:paraId="1598D663"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Total value of gross written premiums through insurance contracts issued through brokers, broken down by country the brokers are established</w:t>
            </w:r>
          </w:p>
        </w:tc>
        <w:tc>
          <w:tcPr>
            <w:tcW w:w="2694" w:type="dxa"/>
            <w:tcBorders>
              <w:top w:val="nil"/>
              <w:left w:val="single" w:sz="4" w:space="0" w:color="auto"/>
              <w:bottom w:val="single" w:sz="4" w:space="0" w:color="auto"/>
              <w:right w:val="single" w:sz="4" w:space="0" w:color="auto"/>
            </w:tcBorders>
            <w:vAlign w:val="center"/>
            <w:hideMark/>
          </w:tcPr>
          <w:p w14:paraId="23655754"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Gross Written Premiums through Brokers - Value</w:t>
            </w:r>
          </w:p>
        </w:tc>
        <w:tc>
          <w:tcPr>
            <w:tcW w:w="850" w:type="dxa"/>
            <w:tcBorders>
              <w:top w:val="nil"/>
              <w:left w:val="nil"/>
              <w:bottom w:val="single" w:sz="4" w:space="0" w:color="auto"/>
              <w:right w:val="single" w:sz="4" w:space="0" w:color="auto"/>
            </w:tcBorders>
            <w:vAlign w:val="center"/>
            <w:hideMark/>
          </w:tcPr>
          <w:p w14:paraId="01D3F04F"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C0040</w:t>
            </w:r>
          </w:p>
        </w:tc>
        <w:tc>
          <w:tcPr>
            <w:tcW w:w="1276" w:type="dxa"/>
            <w:tcBorders>
              <w:top w:val="single" w:sz="8" w:space="0" w:color="auto"/>
              <w:left w:val="nil"/>
              <w:bottom w:val="nil"/>
              <w:right w:val="nil"/>
            </w:tcBorders>
            <w:shd w:val="clear" w:color="000000" w:fill="3D7AF5"/>
            <w:vAlign w:val="center"/>
            <w:hideMark/>
          </w:tcPr>
          <w:p w14:paraId="3AB6C26B"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AML.06.01</w:t>
            </w:r>
          </w:p>
        </w:tc>
      </w:tr>
      <w:tr w:rsidR="00476609" w:rsidRPr="0051795D" w14:paraId="3F1CCECD" w14:textId="77777777" w:rsidTr="00513763">
        <w:trPr>
          <w:trHeight w:val="720"/>
        </w:trPr>
        <w:tc>
          <w:tcPr>
            <w:tcW w:w="1290" w:type="dxa"/>
            <w:vMerge/>
            <w:tcBorders>
              <w:top w:val="nil"/>
              <w:left w:val="nil"/>
              <w:bottom w:val="single" w:sz="8" w:space="0" w:color="000000"/>
              <w:right w:val="single" w:sz="4" w:space="0" w:color="auto"/>
            </w:tcBorders>
            <w:vAlign w:val="center"/>
            <w:hideMark/>
          </w:tcPr>
          <w:p w14:paraId="01948A30"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1500" w:type="dxa"/>
            <w:vMerge/>
            <w:tcBorders>
              <w:top w:val="nil"/>
              <w:left w:val="single" w:sz="4" w:space="0" w:color="auto"/>
              <w:bottom w:val="single" w:sz="8" w:space="0" w:color="000000"/>
              <w:right w:val="nil"/>
            </w:tcBorders>
            <w:vAlign w:val="center"/>
            <w:hideMark/>
          </w:tcPr>
          <w:p w14:paraId="3A85F515" w14:textId="77777777" w:rsidR="0051795D" w:rsidRPr="0051795D" w:rsidRDefault="0051795D" w:rsidP="0051795D">
            <w:pPr>
              <w:spacing w:before="0" w:after="0" w:line="240" w:lineRule="auto"/>
              <w:rPr>
                <w:rFonts w:ascii="Aptos Display" w:eastAsia="Times New Roman" w:hAnsi="Aptos Display"/>
                <w:b/>
                <w:bCs/>
                <w:color w:val="FFFFFF"/>
                <w:kern w:val="0"/>
                <w:sz w:val="20"/>
                <w:lang w:val="en-IE" w:eastAsia="en-IE"/>
              </w:rPr>
            </w:pPr>
          </w:p>
        </w:tc>
        <w:tc>
          <w:tcPr>
            <w:tcW w:w="2308" w:type="dxa"/>
            <w:tcBorders>
              <w:top w:val="nil"/>
              <w:left w:val="single" w:sz="4" w:space="0" w:color="auto"/>
              <w:bottom w:val="single" w:sz="8" w:space="0" w:color="auto"/>
              <w:right w:val="nil"/>
            </w:tcBorders>
            <w:vAlign w:val="center"/>
            <w:hideMark/>
          </w:tcPr>
          <w:p w14:paraId="4017EF76"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Number of white labelling partners by country of establishment</w:t>
            </w:r>
          </w:p>
        </w:tc>
        <w:tc>
          <w:tcPr>
            <w:tcW w:w="2694" w:type="dxa"/>
            <w:tcBorders>
              <w:top w:val="nil"/>
              <w:left w:val="single" w:sz="4" w:space="0" w:color="auto"/>
              <w:bottom w:val="single" w:sz="4" w:space="0" w:color="auto"/>
              <w:right w:val="single" w:sz="4" w:space="0" w:color="auto"/>
            </w:tcBorders>
            <w:vAlign w:val="center"/>
            <w:hideMark/>
          </w:tcPr>
          <w:p w14:paraId="714A5615"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White Labelling Partners</w:t>
            </w:r>
          </w:p>
        </w:tc>
        <w:tc>
          <w:tcPr>
            <w:tcW w:w="850" w:type="dxa"/>
            <w:tcBorders>
              <w:top w:val="nil"/>
              <w:left w:val="nil"/>
              <w:bottom w:val="single" w:sz="4" w:space="0" w:color="auto"/>
              <w:right w:val="single" w:sz="4" w:space="0" w:color="auto"/>
            </w:tcBorders>
            <w:vAlign w:val="center"/>
            <w:hideMark/>
          </w:tcPr>
          <w:p w14:paraId="4BD56A20" w14:textId="77777777" w:rsidR="0051795D" w:rsidRPr="0051795D" w:rsidRDefault="0051795D" w:rsidP="0051795D">
            <w:pPr>
              <w:spacing w:before="0" w:after="0" w:line="240" w:lineRule="auto"/>
              <w:rPr>
                <w:rFonts w:ascii="Aptos Narrow" w:eastAsia="Times New Roman" w:hAnsi="Aptos Narrow"/>
                <w:b/>
                <w:bCs/>
                <w:color w:val="000000"/>
                <w:kern w:val="0"/>
                <w:sz w:val="20"/>
                <w:lang w:val="en-IE" w:eastAsia="en-IE"/>
              </w:rPr>
            </w:pPr>
            <w:r w:rsidRPr="0051795D">
              <w:rPr>
                <w:rFonts w:ascii="Aptos Narrow" w:eastAsia="Times New Roman" w:hAnsi="Aptos Narrow"/>
                <w:b/>
                <w:bCs/>
                <w:color w:val="000000"/>
                <w:kern w:val="0"/>
                <w:sz w:val="20"/>
                <w:lang w:val="en-IE" w:eastAsia="en-IE"/>
              </w:rPr>
              <w:t>C0050</w:t>
            </w:r>
          </w:p>
        </w:tc>
        <w:tc>
          <w:tcPr>
            <w:tcW w:w="1276" w:type="dxa"/>
            <w:tcBorders>
              <w:top w:val="single" w:sz="8" w:space="0" w:color="auto"/>
              <w:left w:val="nil"/>
              <w:bottom w:val="nil"/>
              <w:right w:val="nil"/>
            </w:tcBorders>
            <w:shd w:val="clear" w:color="000000" w:fill="3D7AF5"/>
            <w:vAlign w:val="center"/>
            <w:hideMark/>
          </w:tcPr>
          <w:p w14:paraId="55552943"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r w:rsidRPr="0051795D">
              <w:rPr>
                <w:rFonts w:ascii="Aptos Display" w:eastAsia="Times New Roman" w:hAnsi="Aptos Display"/>
                <w:b/>
                <w:bCs/>
                <w:color w:val="FFFFFF"/>
                <w:kern w:val="0"/>
                <w:sz w:val="20"/>
                <w:lang w:val="en-IE" w:eastAsia="en-IE"/>
              </w:rPr>
              <w:t>AML.06.01</w:t>
            </w:r>
          </w:p>
        </w:tc>
      </w:tr>
      <w:tr w:rsidR="0051795D" w:rsidRPr="0051795D" w14:paraId="4D8C4381" w14:textId="77777777" w:rsidTr="00513763">
        <w:trPr>
          <w:trHeight w:val="292"/>
        </w:trPr>
        <w:tc>
          <w:tcPr>
            <w:tcW w:w="1290" w:type="dxa"/>
            <w:tcBorders>
              <w:top w:val="nil"/>
              <w:left w:val="nil"/>
              <w:bottom w:val="nil"/>
              <w:right w:val="nil"/>
            </w:tcBorders>
            <w:noWrap/>
            <w:vAlign w:val="bottom"/>
            <w:hideMark/>
          </w:tcPr>
          <w:p w14:paraId="4F3651AF" w14:textId="77777777" w:rsidR="0051795D" w:rsidRPr="0051795D" w:rsidRDefault="0051795D" w:rsidP="0051795D">
            <w:pPr>
              <w:spacing w:before="0" w:after="0" w:line="240" w:lineRule="auto"/>
              <w:jc w:val="center"/>
              <w:rPr>
                <w:rFonts w:ascii="Aptos Display" w:eastAsia="Times New Roman" w:hAnsi="Aptos Display"/>
                <w:b/>
                <w:bCs/>
                <w:color w:val="FFFFFF"/>
                <w:kern w:val="0"/>
                <w:sz w:val="20"/>
                <w:lang w:val="en-IE" w:eastAsia="en-IE"/>
              </w:rPr>
            </w:pPr>
          </w:p>
        </w:tc>
        <w:tc>
          <w:tcPr>
            <w:tcW w:w="1500" w:type="dxa"/>
            <w:tcBorders>
              <w:top w:val="nil"/>
              <w:left w:val="nil"/>
              <w:bottom w:val="nil"/>
              <w:right w:val="nil"/>
            </w:tcBorders>
            <w:noWrap/>
            <w:vAlign w:val="bottom"/>
            <w:hideMark/>
          </w:tcPr>
          <w:p w14:paraId="71E87DCA" w14:textId="77777777" w:rsidR="0051795D" w:rsidRPr="0051795D" w:rsidRDefault="0051795D" w:rsidP="0051795D">
            <w:pPr>
              <w:spacing w:before="0" w:after="0" w:line="240" w:lineRule="auto"/>
              <w:rPr>
                <w:rFonts w:ascii="Times New Roman" w:eastAsia="Times New Roman" w:hAnsi="Times New Roman"/>
                <w:color w:val="auto"/>
                <w:kern w:val="0"/>
                <w:sz w:val="20"/>
                <w:lang w:val="en-IE" w:eastAsia="en-IE"/>
              </w:rPr>
            </w:pPr>
          </w:p>
        </w:tc>
        <w:tc>
          <w:tcPr>
            <w:tcW w:w="2308" w:type="dxa"/>
            <w:tcBorders>
              <w:top w:val="nil"/>
              <w:left w:val="nil"/>
              <w:bottom w:val="nil"/>
              <w:right w:val="nil"/>
            </w:tcBorders>
            <w:vAlign w:val="center"/>
            <w:hideMark/>
          </w:tcPr>
          <w:p w14:paraId="7F2E98B4" w14:textId="77777777" w:rsidR="0051795D" w:rsidRPr="0051795D" w:rsidRDefault="0051795D" w:rsidP="0051795D">
            <w:pPr>
              <w:spacing w:before="0" w:after="0" w:line="240" w:lineRule="auto"/>
              <w:rPr>
                <w:rFonts w:ascii="Times New Roman" w:eastAsia="Times New Roman" w:hAnsi="Times New Roman"/>
                <w:color w:val="auto"/>
                <w:kern w:val="0"/>
                <w:sz w:val="20"/>
                <w:lang w:val="en-IE" w:eastAsia="en-IE"/>
              </w:rPr>
            </w:pPr>
          </w:p>
        </w:tc>
        <w:tc>
          <w:tcPr>
            <w:tcW w:w="2694" w:type="dxa"/>
            <w:tcBorders>
              <w:top w:val="nil"/>
              <w:left w:val="nil"/>
              <w:bottom w:val="nil"/>
              <w:right w:val="nil"/>
            </w:tcBorders>
            <w:vAlign w:val="center"/>
            <w:hideMark/>
          </w:tcPr>
          <w:p w14:paraId="39A52801" w14:textId="77777777" w:rsidR="0051795D" w:rsidRPr="0051795D" w:rsidRDefault="0051795D" w:rsidP="0051795D">
            <w:pPr>
              <w:spacing w:before="0" w:after="0" w:line="240" w:lineRule="auto"/>
              <w:rPr>
                <w:rFonts w:ascii="Times New Roman" w:eastAsia="Times New Roman" w:hAnsi="Times New Roman"/>
                <w:color w:val="auto"/>
                <w:kern w:val="0"/>
                <w:sz w:val="20"/>
                <w:lang w:val="en-IE" w:eastAsia="en-IE"/>
              </w:rPr>
            </w:pPr>
          </w:p>
        </w:tc>
        <w:tc>
          <w:tcPr>
            <w:tcW w:w="850" w:type="dxa"/>
            <w:tcBorders>
              <w:top w:val="nil"/>
              <w:left w:val="nil"/>
              <w:bottom w:val="nil"/>
              <w:right w:val="nil"/>
            </w:tcBorders>
            <w:vAlign w:val="center"/>
            <w:hideMark/>
          </w:tcPr>
          <w:p w14:paraId="0FFC7686" w14:textId="77777777" w:rsidR="0051795D" w:rsidRPr="0051795D" w:rsidRDefault="0051795D" w:rsidP="0051795D">
            <w:pPr>
              <w:spacing w:before="0" w:after="0" w:line="240" w:lineRule="auto"/>
              <w:rPr>
                <w:rFonts w:ascii="Times New Roman" w:eastAsia="Times New Roman" w:hAnsi="Times New Roman"/>
                <w:color w:val="auto"/>
                <w:kern w:val="0"/>
                <w:sz w:val="20"/>
                <w:lang w:val="en-IE" w:eastAsia="en-IE"/>
              </w:rPr>
            </w:pPr>
          </w:p>
        </w:tc>
        <w:tc>
          <w:tcPr>
            <w:tcW w:w="1276" w:type="dxa"/>
            <w:tcBorders>
              <w:top w:val="nil"/>
              <w:left w:val="nil"/>
              <w:bottom w:val="nil"/>
              <w:right w:val="nil"/>
            </w:tcBorders>
            <w:noWrap/>
            <w:vAlign w:val="bottom"/>
            <w:hideMark/>
          </w:tcPr>
          <w:p w14:paraId="635BA315" w14:textId="77777777" w:rsidR="0051795D" w:rsidRPr="0051795D" w:rsidRDefault="0051795D" w:rsidP="0051795D">
            <w:pPr>
              <w:spacing w:before="0" w:after="0" w:line="240" w:lineRule="auto"/>
              <w:rPr>
                <w:rFonts w:ascii="Times New Roman" w:eastAsia="Times New Roman" w:hAnsi="Times New Roman"/>
                <w:color w:val="auto"/>
                <w:kern w:val="0"/>
                <w:sz w:val="20"/>
                <w:lang w:val="en-IE" w:eastAsia="en-IE"/>
              </w:rPr>
            </w:pPr>
          </w:p>
        </w:tc>
      </w:tr>
      <w:tr w:rsidR="0051795D" w:rsidRPr="0051795D" w14:paraId="73E735DE" w14:textId="77777777" w:rsidTr="00513763">
        <w:trPr>
          <w:trHeight w:val="2030"/>
        </w:trPr>
        <w:tc>
          <w:tcPr>
            <w:tcW w:w="1290" w:type="dxa"/>
            <w:tcBorders>
              <w:top w:val="nil"/>
              <w:left w:val="nil"/>
              <w:bottom w:val="nil"/>
              <w:right w:val="nil"/>
            </w:tcBorders>
            <w:noWrap/>
            <w:vAlign w:val="bottom"/>
            <w:hideMark/>
          </w:tcPr>
          <w:p w14:paraId="190694C4" w14:textId="77777777" w:rsidR="0051795D" w:rsidRPr="0051795D" w:rsidRDefault="0051795D" w:rsidP="0051795D">
            <w:pPr>
              <w:spacing w:before="0" w:after="0" w:line="240" w:lineRule="auto"/>
              <w:rPr>
                <w:rFonts w:ascii="Times New Roman" w:eastAsia="Times New Roman" w:hAnsi="Times New Roman"/>
                <w:color w:val="auto"/>
                <w:kern w:val="0"/>
                <w:sz w:val="20"/>
                <w:lang w:val="en-IE" w:eastAsia="en-IE"/>
              </w:rPr>
            </w:pPr>
          </w:p>
        </w:tc>
        <w:tc>
          <w:tcPr>
            <w:tcW w:w="1500" w:type="dxa"/>
            <w:tcBorders>
              <w:top w:val="nil"/>
              <w:left w:val="nil"/>
              <w:bottom w:val="nil"/>
              <w:right w:val="nil"/>
            </w:tcBorders>
            <w:noWrap/>
            <w:vAlign w:val="bottom"/>
            <w:hideMark/>
          </w:tcPr>
          <w:p w14:paraId="2C85E212" w14:textId="77777777" w:rsidR="0051795D" w:rsidRPr="0051795D" w:rsidRDefault="0051795D" w:rsidP="0051795D">
            <w:pPr>
              <w:spacing w:before="0" w:after="0" w:line="240" w:lineRule="auto"/>
              <w:rPr>
                <w:rFonts w:ascii="Times New Roman" w:eastAsia="Times New Roman" w:hAnsi="Times New Roman"/>
                <w:color w:val="auto"/>
                <w:kern w:val="0"/>
                <w:sz w:val="20"/>
                <w:lang w:val="en-IE" w:eastAsia="en-IE"/>
              </w:rPr>
            </w:pPr>
          </w:p>
        </w:tc>
        <w:tc>
          <w:tcPr>
            <w:tcW w:w="2308" w:type="dxa"/>
            <w:tcBorders>
              <w:top w:val="nil"/>
              <w:left w:val="nil"/>
              <w:bottom w:val="nil"/>
              <w:right w:val="nil"/>
            </w:tcBorders>
            <w:vAlign w:val="center"/>
            <w:hideMark/>
          </w:tcPr>
          <w:p w14:paraId="273E8F3A" w14:textId="77777777" w:rsidR="0051795D" w:rsidRPr="0051795D" w:rsidRDefault="0051795D" w:rsidP="0051795D">
            <w:pPr>
              <w:spacing w:before="0" w:after="0" w:line="240" w:lineRule="auto"/>
              <w:rPr>
                <w:rFonts w:ascii="Times New Roman" w:eastAsia="Times New Roman" w:hAnsi="Times New Roman"/>
                <w:color w:val="auto"/>
                <w:kern w:val="0"/>
                <w:sz w:val="20"/>
                <w:lang w:val="en-IE" w:eastAsia="en-IE"/>
              </w:rPr>
            </w:pPr>
          </w:p>
        </w:tc>
        <w:tc>
          <w:tcPr>
            <w:tcW w:w="2694" w:type="dxa"/>
            <w:tcBorders>
              <w:top w:val="nil"/>
              <w:left w:val="nil"/>
              <w:bottom w:val="nil"/>
              <w:right w:val="nil"/>
            </w:tcBorders>
            <w:vAlign w:val="center"/>
            <w:hideMark/>
          </w:tcPr>
          <w:p w14:paraId="260970E0" w14:textId="77777777" w:rsidR="0051795D" w:rsidRPr="0051795D" w:rsidRDefault="0051795D" w:rsidP="0051795D">
            <w:pPr>
              <w:spacing w:before="0" w:after="0" w:line="240" w:lineRule="auto"/>
              <w:rPr>
                <w:rFonts w:ascii="Times New Roman" w:eastAsia="Times New Roman" w:hAnsi="Times New Roman"/>
                <w:color w:val="auto"/>
                <w:kern w:val="0"/>
                <w:sz w:val="20"/>
                <w:lang w:val="en-IE" w:eastAsia="en-IE"/>
              </w:rPr>
            </w:pPr>
          </w:p>
        </w:tc>
        <w:tc>
          <w:tcPr>
            <w:tcW w:w="850" w:type="dxa"/>
            <w:tcBorders>
              <w:top w:val="nil"/>
              <w:left w:val="nil"/>
              <w:bottom w:val="nil"/>
              <w:right w:val="nil"/>
            </w:tcBorders>
            <w:vAlign w:val="center"/>
            <w:hideMark/>
          </w:tcPr>
          <w:p w14:paraId="533BFBD1" w14:textId="77777777" w:rsidR="0051795D" w:rsidRPr="0051795D" w:rsidRDefault="0051795D" w:rsidP="0051795D">
            <w:pPr>
              <w:spacing w:before="0" w:after="0" w:line="240" w:lineRule="auto"/>
              <w:rPr>
                <w:rFonts w:ascii="Times New Roman" w:eastAsia="Times New Roman" w:hAnsi="Times New Roman"/>
                <w:color w:val="auto"/>
                <w:kern w:val="0"/>
                <w:sz w:val="20"/>
                <w:lang w:val="en-IE" w:eastAsia="en-IE"/>
              </w:rPr>
            </w:pPr>
          </w:p>
        </w:tc>
        <w:tc>
          <w:tcPr>
            <w:tcW w:w="1276" w:type="dxa"/>
            <w:tcBorders>
              <w:top w:val="nil"/>
              <w:left w:val="nil"/>
              <w:bottom w:val="nil"/>
              <w:right w:val="nil"/>
            </w:tcBorders>
            <w:noWrap/>
            <w:vAlign w:val="bottom"/>
            <w:hideMark/>
          </w:tcPr>
          <w:p w14:paraId="3F3874D7" w14:textId="77777777" w:rsidR="0051795D" w:rsidRPr="0051795D" w:rsidRDefault="0051795D" w:rsidP="0051795D">
            <w:pPr>
              <w:spacing w:before="0" w:after="0" w:line="240" w:lineRule="auto"/>
              <w:rPr>
                <w:rFonts w:ascii="Times New Roman" w:eastAsia="Times New Roman" w:hAnsi="Times New Roman"/>
                <w:color w:val="auto"/>
                <w:kern w:val="0"/>
                <w:sz w:val="20"/>
                <w:lang w:val="en-IE" w:eastAsia="en-IE"/>
              </w:rPr>
            </w:pPr>
          </w:p>
        </w:tc>
      </w:tr>
      <w:tr w:rsidR="0051795D" w:rsidRPr="0051795D" w14:paraId="6DE3DE3D" w14:textId="77777777" w:rsidTr="00513763">
        <w:trPr>
          <w:trHeight w:val="292"/>
        </w:trPr>
        <w:tc>
          <w:tcPr>
            <w:tcW w:w="1290" w:type="dxa"/>
            <w:tcBorders>
              <w:top w:val="nil"/>
              <w:left w:val="nil"/>
              <w:bottom w:val="nil"/>
              <w:right w:val="nil"/>
            </w:tcBorders>
            <w:noWrap/>
            <w:vAlign w:val="bottom"/>
            <w:hideMark/>
          </w:tcPr>
          <w:p w14:paraId="080A76B8" w14:textId="77777777" w:rsidR="0051795D" w:rsidRPr="0051795D" w:rsidRDefault="0051795D" w:rsidP="0051795D">
            <w:pPr>
              <w:spacing w:before="0" w:after="0" w:line="240" w:lineRule="auto"/>
              <w:rPr>
                <w:rFonts w:ascii="Times New Roman" w:eastAsia="Times New Roman" w:hAnsi="Times New Roman"/>
                <w:color w:val="auto"/>
                <w:kern w:val="0"/>
                <w:sz w:val="20"/>
                <w:lang w:val="en-IE" w:eastAsia="en-IE"/>
              </w:rPr>
            </w:pPr>
          </w:p>
        </w:tc>
        <w:tc>
          <w:tcPr>
            <w:tcW w:w="1500" w:type="dxa"/>
            <w:tcBorders>
              <w:top w:val="nil"/>
              <w:left w:val="nil"/>
              <w:bottom w:val="nil"/>
              <w:right w:val="nil"/>
            </w:tcBorders>
            <w:noWrap/>
            <w:vAlign w:val="bottom"/>
            <w:hideMark/>
          </w:tcPr>
          <w:p w14:paraId="14792812" w14:textId="77777777" w:rsidR="0051795D" w:rsidRPr="0051795D" w:rsidRDefault="0051795D" w:rsidP="0051795D">
            <w:pPr>
              <w:spacing w:before="0" w:after="0" w:line="240" w:lineRule="auto"/>
              <w:rPr>
                <w:rFonts w:ascii="Times New Roman" w:eastAsia="Times New Roman" w:hAnsi="Times New Roman"/>
                <w:color w:val="auto"/>
                <w:kern w:val="0"/>
                <w:sz w:val="20"/>
                <w:lang w:val="en-IE" w:eastAsia="en-IE"/>
              </w:rPr>
            </w:pPr>
          </w:p>
        </w:tc>
        <w:tc>
          <w:tcPr>
            <w:tcW w:w="2308" w:type="dxa"/>
            <w:tcBorders>
              <w:top w:val="nil"/>
              <w:left w:val="nil"/>
              <w:bottom w:val="nil"/>
              <w:right w:val="nil"/>
            </w:tcBorders>
            <w:vAlign w:val="center"/>
            <w:hideMark/>
          </w:tcPr>
          <w:p w14:paraId="0702E900" w14:textId="77777777" w:rsidR="0051795D" w:rsidRPr="0051795D" w:rsidRDefault="0051795D" w:rsidP="0051795D">
            <w:pPr>
              <w:spacing w:before="0" w:after="0" w:line="240" w:lineRule="auto"/>
              <w:rPr>
                <w:rFonts w:ascii="Times New Roman" w:eastAsia="Times New Roman" w:hAnsi="Times New Roman"/>
                <w:color w:val="auto"/>
                <w:kern w:val="0"/>
                <w:sz w:val="20"/>
                <w:lang w:val="en-IE" w:eastAsia="en-IE"/>
              </w:rPr>
            </w:pPr>
          </w:p>
        </w:tc>
        <w:tc>
          <w:tcPr>
            <w:tcW w:w="2694" w:type="dxa"/>
            <w:tcBorders>
              <w:top w:val="nil"/>
              <w:left w:val="nil"/>
              <w:bottom w:val="nil"/>
              <w:right w:val="nil"/>
            </w:tcBorders>
            <w:vAlign w:val="center"/>
            <w:hideMark/>
          </w:tcPr>
          <w:p w14:paraId="15B149CB" w14:textId="77777777" w:rsidR="0051795D" w:rsidRPr="0051795D" w:rsidRDefault="0051795D" w:rsidP="0051795D">
            <w:pPr>
              <w:spacing w:before="0" w:after="0" w:line="240" w:lineRule="auto"/>
              <w:rPr>
                <w:rFonts w:ascii="Times New Roman" w:eastAsia="Times New Roman" w:hAnsi="Times New Roman"/>
                <w:color w:val="auto"/>
                <w:kern w:val="0"/>
                <w:sz w:val="20"/>
                <w:lang w:val="en-IE" w:eastAsia="en-IE"/>
              </w:rPr>
            </w:pPr>
          </w:p>
        </w:tc>
        <w:tc>
          <w:tcPr>
            <w:tcW w:w="850" w:type="dxa"/>
            <w:tcBorders>
              <w:top w:val="nil"/>
              <w:left w:val="nil"/>
              <w:bottom w:val="nil"/>
              <w:right w:val="nil"/>
            </w:tcBorders>
            <w:vAlign w:val="center"/>
            <w:hideMark/>
          </w:tcPr>
          <w:p w14:paraId="4D68AB57" w14:textId="77777777" w:rsidR="0051795D" w:rsidRPr="0051795D" w:rsidRDefault="0051795D" w:rsidP="0051795D">
            <w:pPr>
              <w:spacing w:before="0" w:after="0" w:line="240" w:lineRule="auto"/>
              <w:rPr>
                <w:rFonts w:ascii="Times New Roman" w:eastAsia="Times New Roman" w:hAnsi="Times New Roman"/>
                <w:color w:val="auto"/>
                <w:kern w:val="0"/>
                <w:sz w:val="20"/>
                <w:lang w:val="en-IE" w:eastAsia="en-IE"/>
              </w:rPr>
            </w:pPr>
          </w:p>
        </w:tc>
        <w:tc>
          <w:tcPr>
            <w:tcW w:w="1276" w:type="dxa"/>
            <w:tcBorders>
              <w:top w:val="nil"/>
              <w:left w:val="nil"/>
              <w:bottom w:val="nil"/>
              <w:right w:val="nil"/>
            </w:tcBorders>
            <w:noWrap/>
            <w:vAlign w:val="bottom"/>
            <w:hideMark/>
          </w:tcPr>
          <w:p w14:paraId="43820418" w14:textId="77777777" w:rsidR="0051795D" w:rsidRPr="0051795D" w:rsidRDefault="0051795D" w:rsidP="0051795D">
            <w:pPr>
              <w:spacing w:before="0" w:after="0" w:line="240" w:lineRule="auto"/>
              <w:rPr>
                <w:rFonts w:ascii="Times New Roman" w:eastAsia="Times New Roman" w:hAnsi="Times New Roman"/>
                <w:color w:val="auto"/>
                <w:kern w:val="0"/>
                <w:sz w:val="20"/>
                <w:lang w:val="en-IE" w:eastAsia="en-IE"/>
              </w:rPr>
            </w:pPr>
          </w:p>
        </w:tc>
      </w:tr>
      <w:tr w:rsidR="0051795D" w:rsidRPr="0051795D" w14:paraId="1CE28095" w14:textId="77777777" w:rsidTr="00513763">
        <w:trPr>
          <w:trHeight w:val="292"/>
        </w:trPr>
        <w:tc>
          <w:tcPr>
            <w:tcW w:w="1290" w:type="dxa"/>
            <w:tcBorders>
              <w:top w:val="nil"/>
              <w:left w:val="nil"/>
              <w:bottom w:val="nil"/>
              <w:right w:val="nil"/>
            </w:tcBorders>
            <w:noWrap/>
            <w:vAlign w:val="bottom"/>
            <w:hideMark/>
          </w:tcPr>
          <w:p w14:paraId="59D1BBFA" w14:textId="77777777" w:rsidR="0051795D" w:rsidRPr="0051795D" w:rsidRDefault="0051795D" w:rsidP="0051795D">
            <w:pPr>
              <w:spacing w:before="0" w:after="0" w:line="240" w:lineRule="auto"/>
              <w:rPr>
                <w:rFonts w:ascii="Times New Roman" w:eastAsia="Times New Roman" w:hAnsi="Times New Roman"/>
                <w:color w:val="auto"/>
                <w:kern w:val="0"/>
                <w:sz w:val="20"/>
                <w:lang w:val="en-IE" w:eastAsia="en-IE"/>
              </w:rPr>
            </w:pPr>
          </w:p>
        </w:tc>
        <w:tc>
          <w:tcPr>
            <w:tcW w:w="1500" w:type="dxa"/>
            <w:tcBorders>
              <w:top w:val="nil"/>
              <w:left w:val="nil"/>
              <w:bottom w:val="nil"/>
              <w:right w:val="nil"/>
            </w:tcBorders>
            <w:noWrap/>
            <w:vAlign w:val="bottom"/>
            <w:hideMark/>
          </w:tcPr>
          <w:p w14:paraId="5E253C5C" w14:textId="77777777" w:rsidR="0051795D" w:rsidRPr="0051795D" w:rsidRDefault="0051795D" w:rsidP="0051795D">
            <w:pPr>
              <w:spacing w:before="0" w:after="0" w:line="240" w:lineRule="auto"/>
              <w:rPr>
                <w:rFonts w:ascii="Times New Roman" w:eastAsia="Times New Roman" w:hAnsi="Times New Roman"/>
                <w:color w:val="auto"/>
                <w:kern w:val="0"/>
                <w:sz w:val="20"/>
                <w:lang w:val="en-IE" w:eastAsia="en-IE"/>
              </w:rPr>
            </w:pPr>
          </w:p>
        </w:tc>
        <w:tc>
          <w:tcPr>
            <w:tcW w:w="2308" w:type="dxa"/>
            <w:tcBorders>
              <w:top w:val="nil"/>
              <w:left w:val="nil"/>
              <w:bottom w:val="nil"/>
              <w:right w:val="nil"/>
            </w:tcBorders>
            <w:vAlign w:val="center"/>
            <w:hideMark/>
          </w:tcPr>
          <w:p w14:paraId="55898DC1" w14:textId="77777777" w:rsidR="0051795D" w:rsidRPr="0051795D" w:rsidRDefault="0051795D" w:rsidP="0051795D">
            <w:pPr>
              <w:spacing w:before="0" w:after="0" w:line="240" w:lineRule="auto"/>
              <w:rPr>
                <w:rFonts w:ascii="Times New Roman" w:eastAsia="Times New Roman" w:hAnsi="Times New Roman"/>
                <w:color w:val="auto"/>
                <w:kern w:val="0"/>
                <w:sz w:val="20"/>
                <w:lang w:val="en-IE" w:eastAsia="en-IE"/>
              </w:rPr>
            </w:pPr>
          </w:p>
        </w:tc>
        <w:tc>
          <w:tcPr>
            <w:tcW w:w="2694" w:type="dxa"/>
            <w:tcBorders>
              <w:top w:val="nil"/>
              <w:left w:val="nil"/>
              <w:bottom w:val="nil"/>
              <w:right w:val="nil"/>
            </w:tcBorders>
            <w:vAlign w:val="center"/>
            <w:hideMark/>
          </w:tcPr>
          <w:p w14:paraId="19101A61" w14:textId="77777777" w:rsidR="0051795D" w:rsidRPr="0051795D" w:rsidRDefault="0051795D" w:rsidP="0051795D">
            <w:pPr>
              <w:spacing w:before="0" w:after="0" w:line="240" w:lineRule="auto"/>
              <w:rPr>
                <w:rFonts w:ascii="Times New Roman" w:eastAsia="Times New Roman" w:hAnsi="Times New Roman"/>
                <w:color w:val="auto"/>
                <w:kern w:val="0"/>
                <w:sz w:val="20"/>
                <w:lang w:val="en-IE" w:eastAsia="en-IE"/>
              </w:rPr>
            </w:pPr>
          </w:p>
        </w:tc>
        <w:tc>
          <w:tcPr>
            <w:tcW w:w="850" w:type="dxa"/>
            <w:tcBorders>
              <w:top w:val="nil"/>
              <w:left w:val="nil"/>
              <w:bottom w:val="nil"/>
              <w:right w:val="nil"/>
            </w:tcBorders>
            <w:vAlign w:val="center"/>
            <w:hideMark/>
          </w:tcPr>
          <w:p w14:paraId="19D0B8FB" w14:textId="77777777" w:rsidR="0051795D" w:rsidRPr="0051795D" w:rsidRDefault="0051795D" w:rsidP="0051795D">
            <w:pPr>
              <w:spacing w:before="0" w:after="0" w:line="240" w:lineRule="auto"/>
              <w:rPr>
                <w:rFonts w:ascii="Times New Roman" w:eastAsia="Times New Roman" w:hAnsi="Times New Roman"/>
                <w:color w:val="auto"/>
                <w:kern w:val="0"/>
                <w:sz w:val="20"/>
                <w:lang w:val="en-IE" w:eastAsia="en-IE"/>
              </w:rPr>
            </w:pPr>
          </w:p>
        </w:tc>
        <w:tc>
          <w:tcPr>
            <w:tcW w:w="1276" w:type="dxa"/>
            <w:tcBorders>
              <w:top w:val="nil"/>
              <w:left w:val="nil"/>
              <w:bottom w:val="nil"/>
              <w:right w:val="nil"/>
            </w:tcBorders>
            <w:noWrap/>
            <w:vAlign w:val="bottom"/>
            <w:hideMark/>
          </w:tcPr>
          <w:p w14:paraId="7755426E" w14:textId="77777777" w:rsidR="0051795D" w:rsidRPr="0051795D" w:rsidRDefault="0051795D" w:rsidP="0051795D">
            <w:pPr>
              <w:spacing w:before="0" w:after="0" w:line="240" w:lineRule="auto"/>
              <w:rPr>
                <w:rFonts w:ascii="Times New Roman" w:eastAsia="Times New Roman" w:hAnsi="Times New Roman"/>
                <w:color w:val="auto"/>
                <w:kern w:val="0"/>
                <w:sz w:val="20"/>
                <w:lang w:val="en-IE" w:eastAsia="en-IE"/>
              </w:rPr>
            </w:pPr>
          </w:p>
        </w:tc>
      </w:tr>
    </w:tbl>
    <w:p w14:paraId="28F75361" w14:textId="67AB9A58" w:rsidR="00DA3087" w:rsidRDefault="00DA3087" w:rsidP="00404030">
      <w:pPr>
        <w:rPr>
          <w:rFonts w:asciiTheme="minorHAnsi" w:hAnsiTheme="minorHAnsi"/>
          <w:b/>
          <w:bCs/>
        </w:rPr>
      </w:pPr>
    </w:p>
    <w:p w14:paraId="700DA456" w14:textId="77777777" w:rsidR="00DA3087" w:rsidRDefault="00DA3087" w:rsidP="00404030">
      <w:pPr>
        <w:rPr>
          <w:rFonts w:asciiTheme="minorHAnsi" w:hAnsiTheme="minorHAnsi"/>
          <w:b/>
          <w:bCs/>
        </w:rPr>
      </w:pPr>
    </w:p>
    <w:tbl>
      <w:tblPr>
        <w:tblW w:w="9923" w:type="dxa"/>
        <w:tblCellMar>
          <w:top w:w="15" w:type="dxa"/>
          <w:bottom w:w="15" w:type="dxa"/>
        </w:tblCellMar>
        <w:tblLook w:val="04A0" w:firstRow="1" w:lastRow="0" w:firstColumn="1" w:lastColumn="0" w:noHBand="0" w:noVBand="1"/>
      </w:tblPr>
      <w:tblGrid>
        <w:gridCol w:w="1726"/>
        <w:gridCol w:w="3848"/>
        <w:gridCol w:w="2074"/>
        <w:gridCol w:w="938"/>
        <w:gridCol w:w="1337"/>
      </w:tblGrid>
      <w:tr w:rsidR="00831277" w:rsidRPr="00831277" w14:paraId="050DA2BE" w14:textId="77777777" w:rsidTr="00624C6F">
        <w:trPr>
          <w:trHeight w:val="297"/>
        </w:trPr>
        <w:tc>
          <w:tcPr>
            <w:tcW w:w="1731" w:type="dxa"/>
            <w:tcBorders>
              <w:top w:val="single" w:sz="4" w:space="0" w:color="000000"/>
              <w:left w:val="nil"/>
              <w:bottom w:val="single" w:sz="4" w:space="0" w:color="000000"/>
              <w:right w:val="single" w:sz="4" w:space="0" w:color="000000"/>
            </w:tcBorders>
            <w:shd w:val="clear" w:color="000000" w:fill="006600"/>
            <w:vAlign w:val="center"/>
            <w:hideMark/>
          </w:tcPr>
          <w:p w14:paraId="759DB0A3" w14:textId="77777777" w:rsidR="00831277" w:rsidRPr="00831277" w:rsidRDefault="00831277" w:rsidP="00831277">
            <w:pPr>
              <w:spacing w:before="0" w:after="0" w:line="240" w:lineRule="auto"/>
              <w:jc w:val="center"/>
              <w:rPr>
                <w:rFonts w:ascii="Aptos Display" w:eastAsia="Times New Roman" w:hAnsi="Aptos Display"/>
                <w:b/>
                <w:bCs/>
                <w:color w:val="FFFFFF"/>
                <w:kern w:val="0"/>
                <w:szCs w:val="22"/>
                <w:lang w:val="en-IE" w:eastAsia="en-IE"/>
              </w:rPr>
            </w:pPr>
            <w:r w:rsidRPr="00831277">
              <w:rPr>
                <w:rFonts w:ascii="Aptos Display" w:eastAsia="Times New Roman" w:hAnsi="Aptos Display"/>
                <w:b/>
                <w:bCs/>
                <w:color w:val="FFFFFF"/>
                <w:kern w:val="0"/>
                <w:szCs w:val="22"/>
                <w:lang w:val="en-IE" w:eastAsia="en-IE"/>
              </w:rPr>
              <w:t>Category</w:t>
            </w:r>
          </w:p>
        </w:tc>
        <w:tc>
          <w:tcPr>
            <w:tcW w:w="4081" w:type="dxa"/>
            <w:tcBorders>
              <w:top w:val="single" w:sz="4" w:space="0" w:color="000000"/>
              <w:left w:val="single" w:sz="4" w:space="0" w:color="000000"/>
              <w:bottom w:val="single" w:sz="4" w:space="0" w:color="000000"/>
              <w:right w:val="single" w:sz="4" w:space="0" w:color="000000"/>
            </w:tcBorders>
            <w:shd w:val="clear" w:color="000000" w:fill="006600"/>
            <w:vAlign w:val="center"/>
            <w:hideMark/>
          </w:tcPr>
          <w:p w14:paraId="3D8E576C" w14:textId="77777777" w:rsidR="00831277" w:rsidRPr="00831277" w:rsidRDefault="00831277" w:rsidP="00831277">
            <w:pPr>
              <w:spacing w:before="0" w:after="0" w:line="240" w:lineRule="auto"/>
              <w:jc w:val="center"/>
              <w:rPr>
                <w:rFonts w:ascii="Aptos Display" w:eastAsia="Times New Roman" w:hAnsi="Aptos Display"/>
                <w:b/>
                <w:bCs/>
                <w:color w:val="FFFFFF"/>
                <w:kern w:val="0"/>
                <w:szCs w:val="22"/>
                <w:lang w:val="en-IE" w:eastAsia="en-IE"/>
              </w:rPr>
            </w:pPr>
            <w:r w:rsidRPr="00831277">
              <w:rPr>
                <w:rFonts w:ascii="Aptos Display" w:eastAsia="Times New Roman" w:hAnsi="Aptos Display"/>
                <w:b/>
                <w:bCs/>
                <w:color w:val="FFFFFF"/>
                <w:kern w:val="0"/>
                <w:szCs w:val="22"/>
                <w:lang w:val="en-IE" w:eastAsia="en-IE"/>
              </w:rPr>
              <w:t>Data Points</w:t>
            </w:r>
          </w:p>
        </w:tc>
        <w:tc>
          <w:tcPr>
            <w:tcW w:w="1821" w:type="dxa"/>
            <w:tcBorders>
              <w:top w:val="single" w:sz="4" w:space="0" w:color="000000"/>
              <w:left w:val="single" w:sz="4" w:space="0" w:color="000000"/>
              <w:bottom w:val="single" w:sz="4" w:space="0" w:color="000000"/>
              <w:right w:val="single" w:sz="4" w:space="0" w:color="000000"/>
            </w:tcBorders>
            <w:shd w:val="clear" w:color="000000" w:fill="006600"/>
            <w:vAlign w:val="center"/>
            <w:hideMark/>
          </w:tcPr>
          <w:p w14:paraId="18BCADF7" w14:textId="77777777" w:rsidR="00831277" w:rsidRPr="00831277" w:rsidRDefault="00831277" w:rsidP="00831277">
            <w:pPr>
              <w:spacing w:before="0" w:after="0" w:line="240" w:lineRule="auto"/>
              <w:rPr>
                <w:rFonts w:ascii="Aptos Narrow" w:eastAsia="Times New Roman" w:hAnsi="Aptos Narrow"/>
                <w:b/>
                <w:bCs/>
                <w:color w:val="FFFFFF"/>
                <w:kern w:val="0"/>
                <w:szCs w:val="22"/>
                <w:lang w:val="en-IE" w:eastAsia="en-IE"/>
              </w:rPr>
            </w:pPr>
            <w:r w:rsidRPr="00831277">
              <w:rPr>
                <w:rFonts w:ascii="Aptos Narrow" w:eastAsia="Times New Roman" w:hAnsi="Aptos Narrow"/>
                <w:b/>
                <w:bCs/>
                <w:color w:val="FFFFFF"/>
                <w:kern w:val="0"/>
                <w:szCs w:val="22"/>
                <w:lang w:val="en-IE" w:eastAsia="en-IE"/>
              </w:rPr>
              <w:t>Labels in template</w:t>
            </w:r>
          </w:p>
        </w:tc>
        <w:tc>
          <w:tcPr>
            <w:tcW w:w="938" w:type="dxa"/>
            <w:tcBorders>
              <w:top w:val="single" w:sz="4" w:space="0" w:color="000000"/>
              <w:left w:val="single" w:sz="4" w:space="0" w:color="000000"/>
              <w:bottom w:val="single" w:sz="4" w:space="0" w:color="000000"/>
              <w:right w:val="single" w:sz="4" w:space="0" w:color="000000"/>
            </w:tcBorders>
            <w:shd w:val="clear" w:color="000000" w:fill="006600"/>
            <w:vAlign w:val="center"/>
            <w:hideMark/>
          </w:tcPr>
          <w:p w14:paraId="196AAD81" w14:textId="77777777" w:rsidR="00831277" w:rsidRPr="00831277" w:rsidRDefault="00831277" w:rsidP="00831277">
            <w:pPr>
              <w:spacing w:before="0" w:after="0" w:line="240" w:lineRule="auto"/>
              <w:jc w:val="center"/>
              <w:rPr>
                <w:rFonts w:ascii="Aptos Narrow" w:eastAsia="Times New Roman" w:hAnsi="Aptos Narrow"/>
                <w:b/>
                <w:bCs/>
                <w:color w:val="FFFFFF"/>
                <w:kern w:val="0"/>
                <w:szCs w:val="22"/>
                <w:lang w:val="en-IE" w:eastAsia="en-IE"/>
              </w:rPr>
            </w:pPr>
            <w:r w:rsidRPr="00831277">
              <w:rPr>
                <w:rFonts w:ascii="Aptos Narrow" w:eastAsia="Times New Roman" w:hAnsi="Aptos Narrow"/>
                <w:b/>
                <w:bCs/>
                <w:color w:val="FFFFFF"/>
                <w:kern w:val="0"/>
                <w:szCs w:val="22"/>
                <w:lang w:val="en-IE" w:eastAsia="en-IE"/>
              </w:rPr>
              <w:t>Column</w:t>
            </w:r>
          </w:p>
        </w:tc>
        <w:tc>
          <w:tcPr>
            <w:tcW w:w="1352" w:type="dxa"/>
            <w:tcBorders>
              <w:top w:val="single" w:sz="4" w:space="0" w:color="000000"/>
              <w:left w:val="single" w:sz="4" w:space="0" w:color="000000"/>
              <w:bottom w:val="single" w:sz="4" w:space="0" w:color="000000"/>
              <w:right w:val="single" w:sz="4" w:space="0" w:color="000000"/>
            </w:tcBorders>
            <w:shd w:val="clear" w:color="000000" w:fill="006600"/>
            <w:vAlign w:val="center"/>
            <w:hideMark/>
          </w:tcPr>
          <w:p w14:paraId="2C8F005C" w14:textId="77777777" w:rsidR="00831277" w:rsidRPr="00831277" w:rsidRDefault="00831277" w:rsidP="00831277">
            <w:pPr>
              <w:spacing w:before="0" w:after="0" w:line="240" w:lineRule="auto"/>
              <w:jc w:val="center"/>
              <w:rPr>
                <w:rFonts w:ascii="Aptos Narrow" w:eastAsia="Times New Roman" w:hAnsi="Aptos Narrow"/>
                <w:b/>
                <w:bCs/>
                <w:color w:val="FFFFFF"/>
                <w:kern w:val="0"/>
                <w:szCs w:val="22"/>
                <w:lang w:val="en-IE" w:eastAsia="en-IE"/>
              </w:rPr>
            </w:pPr>
            <w:r w:rsidRPr="00831277">
              <w:rPr>
                <w:rFonts w:ascii="Aptos Narrow" w:eastAsia="Times New Roman" w:hAnsi="Aptos Narrow"/>
                <w:b/>
                <w:bCs/>
                <w:color w:val="FFFFFF"/>
                <w:kern w:val="0"/>
                <w:szCs w:val="22"/>
                <w:lang w:val="en-IE" w:eastAsia="en-IE"/>
              </w:rPr>
              <w:t>Template</w:t>
            </w:r>
          </w:p>
        </w:tc>
      </w:tr>
      <w:tr w:rsidR="00624C6F" w:rsidRPr="00831277" w14:paraId="0BEB3302" w14:textId="77777777" w:rsidTr="00624C6F">
        <w:trPr>
          <w:trHeight w:val="2005"/>
        </w:trPr>
        <w:tc>
          <w:tcPr>
            <w:tcW w:w="1731" w:type="dxa"/>
            <w:vMerge w:val="restart"/>
            <w:tcBorders>
              <w:top w:val="single" w:sz="4" w:space="0" w:color="000000"/>
              <w:left w:val="single" w:sz="4" w:space="0" w:color="auto"/>
              <w:bottom w:val="nil"/>
              <w:right w:val="nil"/>
            </w:tcBorders>
            <w:shd w:val="clear" w:color="000000" w:fill="339933"/>
            <w:vAlign w:val="center"/>
            <w:hideMark/>
          </w:tcPr>
          <w:p w14:paraId="7728F3EA" w14:textId="0A360BB1" w:rsidR="00831277" w:rsidRPr="00831277" w:rsidRDefault="00831277" w:rsidP="00831277">
            <w:pPr>
              <w:spacing w:before="0" w:after="0" w:line="240" w:lineRule="auto"/>
              <w:jc w:val="center"/>
              <w:rPr>
                <w:rFonts w:ascii="Aptos Narrow" w:eastAsia="Times New Roman" w:hAnsi="Aptos Narrow"/>
                <w:b/>
                <w:bCs/>
                <w:color w:val="FFFFFF"/>
                <w:kern w:val="0"/>
                <w:sz w:val="24"/>
                <w:szCs w:val="24"/>
                <w:lang w:val="en-IE" w:eastAsia="en-IE"/>
              </w:rPr>
            </w:pPr>
            <w:r w:rsidRPr="00831277">
              <w:rPr>
                <w:rFonts w:ascii="Aptos Narrow" w:eastAsia="Times New Roman" w:hAnsi="Aptos Narrow"/>
                <w:b/>
                <w:bCs/>
                <w:color w:val="FFFFFF"/>
                <w:kern w:val="0"/>
                <w:sz w:val="24"/>
                <w:szCs w:val="24"/>
                <w:lang w:val="en-IE" w:eastAsia="en-IE"/>
              </w:rPr>
              <w:t>1 - Governance, Culture &amp; Complaince function</w:t>
            </w:r>
            <w:r w:rsidRPr="00831277">
              <w:rPr>
                <w:rFonts w:ascii="Aptos Narrow" w:eastAsia="Times New Roman" w:hAnsi="Aptos Narrow"/>
                <w:b/>
                <w:bCs/>
                <w:color w:val="FFFFFF"/>
                <w:kern w:val="0"/>
                <w:sz w:val="24"/>
                <w:szCs w:val="24"/>
                <w:lang w:val="en-IE" w:eastAsia="en-IE"/>
              </w:rPr>
              <w:br/>
            </w:r>
            <w:r w:rsidRPr="00831277">
              <w:rPr>
                <w:rFonts w:ascii="Aptos Narrow" w:eastAsia="Times New Roman" w:hAnsi="Aptos Narrow"/>
                <w:color w:val="FFFFFF"/>
                <w:kern w:val="0"/>
                <w:sz w:val="24"/>
                <w:szCs w:val="24"/>
                <w:lang w:val="en-IE" w:eastAsia="en-IE"/>
              </w:rPr>
              <w:t>(Role and responsibilities of the management body,</w:t>
            </w:r>
            <w:r w:rsidR="00162DD2">
              <w:rPr>
                <w:rFonts w:ascii="Aptos Narrow" w:eastAsia="Times New Roman" w:hAnsi="Aptos Narrow"/>
                <w:color w:val="FFFFFF"/>
                <w:kern w:val="0"/>
                <w:sz w:val="24"/>
                <w:szCs w:val="24"/>
                <w:lang w:val="en-IE" w:eastAsia="en-IE"/>
              </w:rPr>
              <w:t xml:space="preserve"> </w:t>
            </w:r>
            <w:r w:rsidRPr="00831277">
              <w:rPr>
                <w:rFonts w:ascii="Aptos Narrow" w:eastAsia="Times New Roman" w:hAnsi="Aptos Narrow"/>
                <w:color w:val="FFFFFF"/>
                <w:kern w:val="0"/>
                <w:sz w:val="24"/>
                <w:szCs w:val="24"/>
                <w:lang w:val="en-IE" w:eastAsia="en-IE"/>
              </w:rPr>
              <w:t xml:space="preserve">AML/CFT risk culture, AML/CFT Compliance Function and Resources, </w:t>
            </w:r>
            <w:r w:rsidRPr="00831277">
              <w:rPr>
                <w:rFonts w:ascii="Aptos Narrow" w:eastAsia="Times New Roman" w:hAnsi="Aptos Narrow"/>
                <w:color w:val="FFFFFF"/>
                <w:kern w:val="0"/>
                <w:sz w:val="24"/>
                <w:szCs w:val="24"/>
                <w:lang w:val="en-IE" w:eastAsia="en-IE"/>
              </w:rPr>
              <w:br/>
              <w:t>AML/CFT training</w:t>
            </w:r>
            <w:r w:rsidRPr="00831277">
              <w:rPr>
                <w:rFonts w:ascii="Aptos Narrow" w:eastAsia="Times New Roman" w:hAnsi="Aptos Narrow"/>
                <w:b/>
                <w:bCs/>
                <w:color w:val="FFFFFF"/>
                <w:kern w:val="0"/>
                <w:sz w:val="24"/>
                <w:szCs w:val="24"/>
                <w:lang w:val="en-IE" w:eastAsia="en-IE"/>
              </w:rPr>
              <w:t>)</w:t>
            </w:r>
          </w:p>
        </w:tc>
        <w:tc>
          <w:tcPr>
            <w:tcW w:w="4081"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9224E3E" w14:textId="566B3674" w:rsidR="00831277" w:rsidRPr="00831277" w:rsidRDefault="00831277" w:rsidP="00831277">
            <w:pPr>
              <w:spacing w:before="0" w:after="0" w:line="240" w:lineRule="auto"/>
              <w:rPr>
                <w:rFonts w:ascii="Aptos Narrow" w:eastAsia="Times New Roman" w:hAnsi="Aptos Narrow"/>
                <w:color w:val="000000"/>
                <w:kern w:val="0"/>
                <w:szCs w:val="22"/>
                <w:lang w:val="en-IE" w:eastAsia="en-IE"/>
              </w:rPr>
            </w:pPr>
            <w:r w:rsidRPr="00831277">
              <w:rPr>
                <w:rFonts w:ascii="Aptos Narrow" w:eastAsia="Times New Roman" w:hAnsi="Aptos Narrow"/>
                <w:color w:val="000000"/>
                <w:kern w:val="0"/>
                <w:szCs w:val="22"/>
                <w:lang w:val="en-IE" w:eastAsia="en-IE"/>
              </w:rPr>
              <w:t>Date at which the procedures covering the entirety of the AML/CFT framework (including initial and ongoing CDD, transaction and business relationship monitoring, STR, and financial sanction screening)</w:t>
            </w:r>
            <w:r w:rsidR="00162DD2">
              <w:rPr>
                <w:rFonts w:ascii="Aptos Narrow" w:eastAsia="Times New Roman" w:hAnsi="Aptos Narrow"/>
                <w:color w:val="000000"/>
                <w:kern w:val="0"/>
                <w:szCs w:val="22"/>
                <w:lang w:val="en-IE" w:eastAsia="en-IE"/>
              </w:rPr>
              <w:t xml:space="preserve"> </w:t>
            </w:r>
            <w:r w:rsidRPr="00831277">
              <w:rPr>
                <w:rFonts w:ascii="Aptos Narrow" w:eastAsia="Times New Roman" w:hAnsi="Aptos Narrow"/>
                <w:color w:val="000000"/>
                <w:kern w:val="0"/>
                <w:szCs w:val="22"/>
                <w:lang w:val="en-IE" w:eastAsia="en-IE"/>
              </w:rPr>
              <w:t>were checked as being in compliance with existing laws and regulations applicable at that date</w:t>
            </w:r>
          </w:p>
        </w:tc>
        <w:tc>
          <w:tcPr>
            <w:tcW w:w="1821" w:type="dxa"/>
            <w:tcBorders>
              <w:top w:val="nil"/>
              <w:left w:val="nil"/>
              <w:bottom w:val="nil"/>
              <w:right w:val="nil"/>
            </w:tcBorders>
            <w:noWrap/>
            <w:vAlign w:val="center"/>
            <w:hideMark/>
          </w:tcPr>
          <w:p w14:paraId="342092A4" w14:textId="77777777" w:rsidR="00831277" w:rsidRPr="00831277" w:rsidRDefault="00831277" w:rsidP="00831277">
            <w:pPr>
              <w:spacing w:before="0" w:after="0" w:line="240" w:lineRule="auto"/>
              <w:rPr>
                <w:rFonts w:ascii="Aptos" w:eastAsia="Times New Roman" w:hAnsi="Aptos"/>
                <w:b/>
                <w:bCs/>
                <w:color w:val="000000"/>
                <w:kern w:val="0"/>
                <w:szCs w:val="22"/>
                <w:lang w:val="en-IE" w:eastAsia="en-IE"/>
              </w:rPr>
            </w:pPr>
            <w:r w:rsidRPr="00831277">
              <w:rPr>
                <w:rFonts w:ascii="Aptos" w:eastAsia="Times New Roman" w:hAnsi="Aptos"/>
                <w:b/>
                <w:bCs/>
                <w:color w:val="000000"/>
                <w:kern w:val="0"/>
                <w:szCs w:val="22"/>
                <w:lang w:val="en-IE" w:eastAsia="en-IE"/>
              </w:rPr>
              <w:t>Last AML/CFT Compliance Check</w:t>
            </w:r>
          </w:p>
        </w:tc>
        <w:tc>
          <w:tcPr>
            <w:tcW w:w="938" w:type="dxa"/>
            <w:tcBorders>
              <w:top w:val="single" w:sz="4" w:space="0" w:color="000000"/>
              <w:left w:val="single" w:sz="4" w:space="0" w:color="000000"/>
              <w:bottom w:val="single" w:sz="4" w:space="0" w:color="000000"/>
              <w:right w:val="single" w:sz="4" w:space="0" w:color="000000"/>
            </w:tcBorders>
            <w:vAlign w:val="center"/>
            <w:hideMark/>
          </w:tcPr>
          <w:p w14:paraId="60A669A1" w14:textId="77777777" w:rsidR="00831277" w:rsidRPr="00831277" w:rsidRDefault="00831277" w:rsidP="00831277">
            <w:pPr>
              <w:spacing w:before="0" w:after="0" w:line="240" w:lineRule="auto"/>
              <w:jc w:val="center"/>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C0010</w:t>
            </w:r>
          </w:p>
        </w:tc>
        <w:tc>
          <w:tcPr>
            <w:tcW w:w="1352" w:type="dxa"/>
            <w:tcBorders>
              <w:top w:val="single" w:sz="4" w:space="0" w:color="000000"/>
              <w:left w:val="single" w:sz="4" w:space="0" w:color="000000"/>
              <w:bottom w:val="single" w:sz="4" w:space="0" w:color="000000"/>
              <w:right w:val="single" w:sz="4" w:space="0" w:color="000000"/>
            </w:tcBorders>
            <w:shd w:val="clear" w:color="000000" w:fill="4EA72E"/>
            <w:vAlign w:val="center"/>
            <w:hideMark/>
          </w:tcPr>
          <w:p w14:paraId="6B2F2D56" w14:textId="77777777" w:rsidR="00831277" w:rsidRPr="00831277" w:rsidRDefault="00831277" w:rsidP="00831277">
            <w:pPr>
              <w:spacing w:before="0" w:after="0" w:line="240" w:lineRule="auto"/>
              <w:jc w:val="center"/>
              <w:rPr>
                <w:rFonts w:ascii="Aptos Narrow" w:eastAsia="Times New Roman" w:hAnsi="Aptos Narrow"/>
                <w:b/>
                <w:bCs/>
                <w:color w:val="FFFFFF"/>
                <w:kern w:val="0"/>
                <w:szCs w:val="22"/>
                <w:lang w:val="en-IE" w:eastAsia="en-IE"/>
              </w:rPr>
            </w:pPr>
            <w:r w:rsidRPr="00831277">
              <w:rPr>
                <w:rFonts w:ascii="Aptos Narrow" w:eastAsia="Times New Roman" w:hAnsi="Aptos Narrow"/>
                <w:b/>
                <w:bCs/>
                <w:color w:val="FFFFFF"/>
                <w:kern w:val="0"/>
                <w:szCs w:val="22"/>
                <w:lang w:val="en-IE" w:eastAsia="en-IE"/>
              </w:rPr>
              <w:t xml:space="preserve">AML.07.01 </w:t>
            </w:r>
          </w:p>
        </w:tc>
      </w:tr>
      <w:tr w:rsidR="00624C6F" w:rsidRPr="00831277" w14:paraId="6A523ED2" w14:textId="77777777" w:rsidTr="00624C6F">
        <w:trPr>
          <w:trHeight w:val="297"/>
        </w:trPr>
        <w:tc>
          <w:tcPr>
            <w:tcW w:w="1731" w:type="dxa"/>
            <w:vMerge/>
            <w:tcBorders>
              <w:top w:val="single" w:sz="4" w:space="0" w:color="000000"/>
              <w:left w:val="single" w:sz="4" w:space="0" w:color="auto"/>
              <w:bottom w:val="nil"/>
              <w:right w:val="nil"/>
            </w:tcBorders>
            <w:vAlign w:val="center"/>
            <w:hideMark/>
          </w:tcPr>
          <w:p w14:paraId="59108374" w14:textId="77777777" w:rsidR="00831277" w:rsidRPr="00831277" w:rsidRDefault="00831277" w:rsidP="00831277">
            <w:pPr>
              <w:spacing w:before="0" w:after="0" w:line="240" w:lineRule="auto"/>
              <w:rPr>
                <w:rFonts w:ascii="Aptos Narrow" w:eastAsia="Times New Roman" w:hAnsi="Aptos Narrow"/>
                <w:b/>
                <w:bCs/>
                <w:color w:val="FFFFFF"/>
                <w:kern w:val="0"/>
                <w:sz w:val="24"/>
                <w:szCs w:val="24"/>
                <w:lang w:val="en-IE" w:eastAsia="en-IE"/>
              </w:rPr>
            </w:pPr>
          </w:p>
        </w:tc>
        <w:tc>
          <w:tcPr>
            <w:tcW w:w="4081"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98FEE07" w14:textId="77777777" w:rsidR="00831277" w:rsidRPr="00831277" w:rsidRDefault="00831277" w:rsidP="00831277">
            <w:pPr>
              <w:spacing w:before="0" w:after="0" w:line="240" w:lineRule="auto"/>
              <w:rPr>
                <w:rFonts w:ascii="Aptos Narrow" w:eastAsia="Times New Roman" w:hAnsi="Aptos Narrow"/>
                <w:color w:val="000000"/>
                <w:kern w:val="0"/>
                <w:szCs w:val="22"/>
                <w:lang w:val="en-IE" w:eastAsia="en-IE"/>
              </w:rPr>
            </w:pPr>
            <w:r w:rsidRPr="00831277">
              <w:rPr>
                <w:rFonts w:ascii="Aptos Narrow" w:eastAsia="Times New Roman" w:hAnsi="Aptos Narrow"/>
                <w:color w:val="000000"/>
                <w:kern w:val="0"/>
                <w:szCs w:val="22"/>
                <w:lang w:val="en-IE" w:eastAsia="en-IE"/>
              </w:rPr>
              <w:t>Number of dedicated AML/CFT compliance staff (in FTE)</w:t>
            </w:r>
          </w:p>
        </w:tc>
        <w:tc>
          <w:tcPr>
            <w:tcW w:w="1821" w:type="dxa"/>
            <w:tcBorders>
              <w:top w:val="single" w:sz="4" w:space="0" w:color="000000"/>
              <w:left w:val="single" w:sz="4" w:space="0" w:color="000000"/>
              <w:bottom w:val="single" w:sz="4" w:space="0" w:color="000000"/>
              <w:right w:val="single" w:sz="4" w:space="0" w:color="000000"/>
            </w:tcBorders>
            <w:vAlign w:val="center"/>
            <w:hideMark/>
          </w:tcPr>
          <w:p w14:paraId="51AB6A2B" w14:textId="77777777" w:rsidR="00831277" w:rsidRPr="00831277" w:rsidRDefault="00831277" w:rsidP="00831277">
            <w:pPr>
              <w:spacing w:before="0" w:after="0" w:line="240" w:lineRule="auto"/>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Dedicated AML/CFT Staff (FTE)</w:t>
            </w:r>
          </w:p>
        </w:tc>
        <w:tc>
          <w:tcPr>
            <w:tcW w:w="938" w:type="dxa"/>
            <w:tcBorders>
              <w:top w:val="single" w:sz="4" w:space="0" w:color="000000"/>
              <w:left w:val="single" w:sz="4" w:space="0" w:color="000000"/>
              <w:bottom w:val="single" w:sz="4" w:space="0" w:color="000000"/>
              <w:right w:val="single" w:sz="4" w:space="0" w:color="000000"/>
            </w:tcBorders>
            <w:vAlign w:val="center"/>
            <w:hideMark/>
          </w:tcPr>
          <w:p w14:paraId="3814D57A" w14:textId="77777777" w:rsidR="00831277" w:rsidRPr="00831277" w:rsidRDefault="00831277" w:rsidP="00831277">
            <w:pPr>
              <w:spacing w:before="0" w:after="0" w:line="240" w:lineRule="auto"/>
              <w:jc w:val="center"/>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C0020</w:t>
            </w:r>
          </w:p>
        </w:tc>
        <w:tc>
          <w:tcPr>
            <w:tcW w:w="1352" w:type="dxa"/>
            <w:tcBorders>
              <w:top w:val="single" w:sz="4" w:space="0" w:color="000000"/>
              <w:left w:val="single" w:sz="4" w:space="0" w:color="000000"/>
              <w:bottom w:val="single" w:sz="4" w:space="0" w:color="000000"/>
              <w:right w:val="single" w:sz="4" w:space="0" w:color="000000"/>
            </w:tcBorders>
            <w:shd w:val="clear" w:color="000000" w:fill="4EA72E"/>
            <w:vAlign w:val="center"/>
            <w:hideMark/>
          </w:tcPr>
          <w:p w14:paraId="124E8BB4" w14:textId="77777777" w:rsidR="00831277" w:rsidRPr="00831277" w:rsidRDefault="00831277" w:rsidP="00831277">
            <w:pPr>
              <w:spacing w:before="0" w:after="0" w:line="240" w:lineRule="auto"/>
              <w:jc w:val="center"/>
              <w:rPr>
                <w:rFonts w:ascii="Aptos Narrow" w:eastAsia="Times New Roman" w:hAnsi="Aptos Narrow"/>
                <w:b/>
                <w:bCs/>
                <w:color w:val="FFFFFF"/>
                <w:kern w:val="0"/>
                <w:szCs w:val="22"/>
                <w:lang w:val="en-IE" w:eastAsia="en-IE"/>
              </w:rPr>
            </w:pPr>
            <w:r w:rsidRPr="00831277">
              <w:rPr>
                <w:rFonts w:ascii="Aptos Narrow" w:eastAsia="Times New Roman" w:hAnsi="Aptos Narrow"/>
                <w:b/>
                <w:bCs/>
                <w:color w:val="FFFFFF"/>
                <w:kern w:val="0"/>
                <w:szCs w:val="22"/>
                <w:lang w:val="en-IE" w:eastAsia="en-IE"/>
              </w:rPr>
              <w:t xml:space="preserve">AML.07.01 </w:t>
            </w:r>
          </w:p>
        </w:tc>
      </w:tr>
      <w:tr w:rsidR="00624C6F" w:rsidRPr="00831277" w14:paraId="2DF3F827" w14:textId="77777777" w:rsidTr="00624C6F">
        <w:trPr>
          <w:trHeight w:val="297"/>
        </w:trPr>
        <w:tc>
          <w:tcPr>
            <w:tcW w:w="1731" w:type="dxa"/>
            <w:vMerge/>
            <w:tcBorders>
              <w:top w:val="single" w:sz="4" w:space="0" w:color="000000"/>
              <w:left w:val="single" w:sz="4" w:space="0" w:color="auto"/>
              <w:bottom w:val="nil"/>
              <w:right w:val="nil"/>
            </w:tcBorders>
            <w:vAlign w:val="center"/>
            <w:hideMark/>
          </w:tcPr>
          <w:p w14:paraId="7040F499" w14:textId="77777777" w:rsidR="00831277" w:rsidRPr="00831277" w:rsidRDefault="00831277" w:rsidP="00831277">
            <w:pPr>
              <w:spacing w:before="0" w:after="0" w:line="240" w:lineRule="auto"/>
              <w:rPr>
                <w:rFonts w:ascii="Aptos Narrow" w:eastAsia="Times New Roman" w:hAnsi="Aptos Narrow"/>
                <w:b/>
                <w:bCs/>
                <w:color w:val="FFFFFF"/>
                <w:kern w:val="0"/>
                <w:sz w:val="24"/>
                <w:szCs w:val="24"/>
                <w:lang w:val="en-IE" w:eastAsia="en-IE"/>
              </w:rPr>
            </w:pPr>
          </w:p>
        </w:tc>
        <w:tc>
          <w:tcPr>
            <w:tcW w:w="4081" w:type="dxa"/>
            <w:vMerge w:val="restart"/>
            <w:tcBorders>
              <w:top w:val="single" w:sz="4" w:space="0" w:color="000000"/>
              <w:left w:val="single" w:sz="4" w:space="0" w:color="000000"/>
              <w:bottom w:val="nil"/>
              <w:right w:val="single" w:sz="4" w:space="0" w:color="000000"/>
            </w:tcBorders>
            <w:hideMark/>
          </w:tcPr>
          <w:p w14:paraId="06F48A85" w14:textId="77777777" w:rsidR="00831277" w:rsidRPr="00831277" w:rsidRDefault="00831277" w:rsidP="00831277">
            <w:pPr>
              <w:spacing w:before="0" w:after="0" w:line="240" w:lineRule="auto"/>
              <w:rPr>
                <w:rFonts w:ascii="Calibri" w:eastAsia="Times New Roman" w:hAnsi="Calibri" w:cs="Calibri"/>
                <w:color w:val="auto"/>
                <w:kern w:val="0"/>
                <w:szCs w:val="22"/>
                <w:lang w:val="en-IE" w:eastAsia="en-IE"/>
              </w:rPr>
            </w:pPr>
            <w:r w:rsidRPr="00831277">
              <w:rPr>
                <w:rFonts w:ascii="Calibri" w:eastAsia="Times New Roman" w:hAnsi="Calibri" w:cs="Calibri"/>
                <w:color w:val="auto"/>
                <w:kern w:val="0"/>
                <w:szCs w:val="22"/>
                <w:lang w:val="en-IE" w:eastAsia="en-IE"/>
              </w:rPr>
              <w:t>% of personnel per category who have received AML training during the last calendar year:</w:t>
            </w:r>
            <w:r w:rsidRPr="00831277">
              <w:rPr>
                <w:rFonts w:ascii="Calibri" w:eastAsia="Times New Roman" w:hAnsi="Calibri" w:cs="Calibri"/>
                <w:color w:val="auto"/>
                <w:kern w:val="0"/>
                <w:szCs w:val="22"/>
                <w:lang w:val="en-IE" w:eastAsia="en-IE"/>
              </w:rPr>
              <w:br/>
              <w:t>a) AML/CFT compliance staff</w:t>
            </w:r>
            <w:r w:rsidRPr="00831277">
              <w:rPr>
                <w:rFonts w:ascii="Calibri" w:eastAsia="Times New Roman" w:hAnsi="Calibri" w:cs="Calibri"/>
                <w:color w:val="auto"/>
                <w:kern w:val="0"/>
                <w:szCs w:val="22"/>
                <w:lang w:val="en-IE" w:eastAsia="en-IE"/>
              </w:rPr>
              <w:br/>
              <w:t xml:space="preserve">b) non-AML/CFT compliance staff (e.g. customer facing staff) </w:t>
            </w:r>
            <w:r w:rsidRPr="00831277">
              <w:rPr>
                <w:rFonts w:ascii="Calibri" w:eastAsia="Times New Roman" w:hAnsi="Calibri" w:cs="Calibri"/>
                <w:color w:val="auto"/>
                <w:kern w:val="0"/>
                <w:szCs w:val="22"/>
                <w:lang w:val="en-IE" w:eastAsia="en-IE"/>
              </w:rPr>
              <w:br/>
              <w:t>c) agents and distributors</w:t>
            </w:r>
            <w:r w:rsidRPr="00831277">
              <w:rPr>
                <w:rFonts w:ascii="Calibri" w:eastAsia="Times New Roman" w:hAnsi="Calibri" w:cs="Calibri"/>
                <w:color w:val="auto"/>
                <w:kern w:val="0"/>
                <w:szCs w:val="22"/>
                <w:lang w:val="en-IE" w:eastAsia="en-IE"/>
              </w:rPr>
              <w:br/>
              <w:t>d) Board members / non-executive directors</w:t>
            </w:r>
          </w:p>
        </w:tc>
        <w:tc>
          <w:tcPr>
            <w:tcW w:w="1821" w:type="dxa"/>
            <w:tcBorders>
              <w:top w:val="single" w:sz="4" w:space="0" w:color="000000"/>
              <w:left w:val="single" w:sz="4" w:space="0" w:color="000000"/>
              <w:bottom w:val="single" w:sz="4" w:space="0" w:color="000000"/>
              <w:right w:val="single" w:sz="4" w:space="0" w:color="000000"/>
            </w:tcBorders>
            <w:vAlign w:val="center"/>
            <w:hideMark/>
          </w:tcPr>
          <w:p w14:paraId="6E72CA62" w14:textId="77777777" w:rsidR="00831277" w:rsidRPr="00831277" w:rsidRDefault="00831277" w:rsidP="00831277">
            <w:pPr>
              <w:spacing w:before="0" w:after="0" w:line="240" w:lineRule="auto"/>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AML Training - Compliance Staff (%)</w:t>
            </w:r>
          </w:p>
        </w:tc>
        <w:tc>
          <w:tcPr>
            <w:tcW w:w="938" w:type="dxa"/>
            <w:tcBorders>
              <w:top w:val="single" w:sz="4" w:space="0" w:color="000000"/>
              <w:left w:val="single" w:sz="4" w:space="0" w:color="000000"/>
              <w:bottom w:val="single" w:sz="4" w:space="0" w:color="000000"/>
              <w:right w:val="single" w:sz="4" w:space="0" w:color="000000"/>
            </w:tcBorders>
            <w:vAlign w:val="center"/>
            <w:hideMark/>
          </w:tcPr>
          <w:p w14:paraId="44CB090A" w14:textId="77777777" w:rsidR="00831277" w:rsidRPr="00831277" w:rsidRDefault="00831277" w:rsidP="00831277">
            <w:pPr>
              <w:spacing w:before="0" w:after="0" w:line="240" w:lineRule="auto"/>
              <w:jc w:val="center"/>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C0030</w:t>
            </w:r>
          </w:p>
        </w:tc>
        <w:tc>
          <w:tcPr>
            <w:tcW w:w="1352" w:type="dxa"/>
            <w:tcBorders>
              <w:top w:val="single" w:sz="4" w:space="0" w:color="000000"/>
              <w:left w:val="single" w:sz="4" w:space="0" w:color="000000"/>
              <w:bottom w:val="single" w:sz="4" w:space="0" w:color="000000"/>
              <w:right w:val="single" w:sz="4" w:space="0" w:color="000000"/>
            </w:tcBorders>
            <w:shd w:val="clear" w:color="000000" w:fill="4EA72E"/>
            <w:vAlign w:val="center"/>
            <w:hideMark/>
          </w:tcPr>
          <w:p w14:paraId="3C268CCA" w14:textId="77777777" w:rsidR="00831277" w:rsidRPr="00831277" w:rsidRDefault="00831277" w:rsidP="00831277">
            <w:pPr>
              <w:spacing w:before="0" w:after="0" w:line="240" w:lineRule="auto"/>
              <w:jc w:val="center"/>
              <w:rPr>
                <w:rFonts w:ascii="Aptos Narrow" w:eastAsia="Times New Roman" w:hAnsi="Aptos Narrow"/>
                <w:b/>
                <w:bCs/>
                <w:color w:val="FFFFFF"/>
                <w:kern w:val="0"/>
                <w:szCs w:val="22"/>
                <w:lang w:val="en-IE" w:eastAsia="en-IE"/>
              </w:rPr>
            </w:pPr>
            <w:r w:rsidRPr="00831277">
              <w:rPr>
                <w:rFonts w:ascii="Aptos Narrow" w:eastAsia="Times New Roman" w:hAnsi="Aptos Narrow"/>
                <w:b/>
                <w:bCs/>
                <w:color w:val="FFFFFF"/>
                <w:kern w:val="0"/>
                <w:szCs w:val="22"/>
                <w:lang w:val="en-IE" w:eastAsia="en-IE"/>
              </w:rPr>
              <w:t xml:space="preserve">AML.07.01 </w:t>
            </w:r>
          </w:p>
        </w:tc>
      </w:tr>
      <w:tr w:rsidR="00624C6F" w:rsidRPr="00831277" w14:paraId="0D558460" w14:textId="77777777" w:rsidTr="00624C6F">
        <w:trPr>
          <w:trHeight w:val="297"/>
        </w:trPr>
        <w:tc>
          <w:tcPr>
            <w:tcW w:w="1731" w:type="dxa"/>
            <w:vMerge/>
            <w:tcBorders>
              <w:top w:val="single" w:sz="4" w:space="0" w:color="000000"/>
              <w:left w:val="single" w:sz="4" w:space="0" w:color="auto"/>
              <w:bottom w:val="nil"/>
              <w:right w:val="nil"/>
            </w:tcBorders>
            <w:vAlign w:val="center"/>
            <w:hideMark/>
          </w:tcPr>
          <w:p w14:paraId="0383B0AF" w14:textId="77777777" w:rsidR="00831277" w:rsidRPr="00831277" w:rsidRDefault="00831277" w:rsidP="00831277">
            <w:pPr>
              <w:spacing w:before="0" w:after="0" w:line="240" w:lineRule="auto"/>
              <w:rPr>
                <w:rFonts w:ascii="Aptos Narrow" w:eastAsia="Times New Roman" w:hAnsi="Aptos Narrow"/>
                <w:b/>
                <w:bCs/>
                <w:color w:val="FFFFFF"/>
                <w:kern w:val="0"/>
                <w:sz w:val="24"/>
                <w:szCs w:val="24"/>
                <w:lang w:val="en-IE" w:eastAsia="en-IE"/>
              </w:rPr>
            </w:pPr>
          </w:p>
        </w:tc>
        <w:tc>
          <w:tcPr>
            <w:tcW w:w="4081" w:type="dxa"/>
            <w:vMerge/>
            <w:tcBorders>
              <w:top w:val="single" w:sz="4" w:space="0" w:color="000000"/>
              <w:left w:val="single" w:sz="4" w:space="0" w:color="000000"/>
              <w:bottom w:val="nil"/>
              <w:right w:val="single" w:sz="4" w:space="0" w:color="000000"/>
            </w:tcBorders>
            <w:vAlign w:val="center"/>
            <w:hideMark/>
          </w:tcPr>
          <w:p w14:paraId="6E1DEC1C" w14:textId="77777777" w:rsidR="00831277" w:rsidRPr="00831277" w:rsidRDefault="00831277" w:rsidP="00831277">
            <w:pPr>
              <w:spacing w:before="0" w:after="0" w:line="240" w:lineRule="auto"/>
              <w:rPr>
                <w:rFonts w:ascii="Calibri" w:eastAsia="Times New Roman" w:hAnsi="Calibri" w:cs="Calibri"/>
                <w:color w:val="auto"/>
                <w:kern w:val="0"/>
                <w:szCs w:val="22"/>
                <w:lang w:val="en-IE" w:eastAsia="en-IE"/>
              </w:rPr>
            </w:pPr>
          </w:p>
        </w:tc>
        <w:tc>
          <w:tcPr>
            <w:tcW w:w="1821" w:type="dxa"/>
            <w:tcBorders>
              <w:top w:val="single" w:sz="4" w:space="0" w:color="000000"/>
              <w:left w:val="single" w:sz="4" w:space="0" w:color="000000"/>
              <w:bottom w:val="single" w:sz="4" w:space="0" w:color="000000"/>
              <w:right w:val="single" w:sz="4" w:space="0" w:color="000000"/>
            </w:tcBorders>
            <w:vAlign w:val="center"/>
            <w:hideMark/>
          </w:tcPr>
          <w:p w14:paraId="0CF7D367" w14:textId="77777777" w:rsidR="00831277" w:rsidRPr="00831277" w:rsidRDefault="00831277" w:rsidP="00831277">
            <w:pPr>
              <w:spacing w:before="0" w:after="0" w:line="240" w:lineRule="auto"/>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 xml:space="preserve">AML Training - Non-AML/CFT Compliance Personnel </w:t>
            </w:r>
          </w:p>
        </w:tc>
        <w:tc>
          <w:tcPr>
            <w:tcW w:w="938" w:type="dxa"/>
            <w:tcBorders>
              <w:top w:val="single" w:sz="4" w:space="0" w:color="000000"/>
              <w:left w:val="single" w:sz="4" w:space="0" w:color="000000"/>
              <w:bottom w:val="single" w:sz="4" w:space="0" w:color="000000"/>
              <w:right w:val="single" w:sz="4" w:space="0" w:color="000000"/>
            </w:tcBorders>
            <w:vAlign w:val="center"/>
            <w:hideMark/>
          </w:tcPr>
          <w:p w14:paraId="1A75D92F" w14:textId="77777777" w:rsidR="00831277" w:rsidRPr="00831277" w:rsidRDefault="00831277" w:rsidP="00831277">
            <w:pPr>
              <w:spacing w:before="0" w:after="0" w:line="240" w:lineRule="auto"/>
              <w:jc w:val="center"/>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C0040</w:t>
            </w:r>
          </w:p>
        </w:tc>
        <w:tc>
          <w:tcPr>
            <w:tcW w:w="1352" w:type="dxa"/>
            <w:tcBorders>
              <w:top w:val="single" w:sz="4" w:space="0" w:color="000000"/>
              <w:left w:val="single" w:sz="4" w:space="0" w:color="000000"/>
              <w:bottom w:val="single" w:sz="4" w:space="0" w:color="000000"/>
              <w:right w:val="single" w:sz="4" w:space="0" w:color="000000"/>
            </w:tcBorders>
            <w:shd w:val="clear" w:color="000000" w:fill="4EA72E"/>
            <w:vAlign w:val="center"/>
            <w:hideMark/>
          </w:tcPr>
          <w:p w14:paraId="36198D7B" w14:textId="77777777" w:rsidR="00831277" w:rsidRPr="00831277" w:rsidRDefault="00831277" w:rsidP="00831277">
            <w:pPr>
              <w:spacing w:before="0" w:after="0" w:line="240" w:lineRule="auto"/>
              <w:jc w:val="center"/>
              <w:rPr>
                <w:rFonts w:ascii="Aptos Narrow" w:eastAsia="Times New Roman" w:hAnsi="Aptos Narrow"/>
                <w:b/>
                <w:bCs/>
                <w:color w:val="FFFFFF"/>
                <w:kern w:val="0"/>
                <w:szCs w:val="22"/>
                <w:lang w:val="en-IE" w:eastAsia="en-IE"/>
              </w:rPr>
            </w:pPr>
            <w:r w:rsidRPr="00831277">
              <w:rPr>
                <w:rFonts w:ascii="Aptos Narrow" w:eastAsia="Times New Roman" w:hAnsi="Aptos Narrow"/>
                <w:b/>
                <w:bCs/>
                <w:color w:val="FFFFFF"/>
                <w:kern w:val="0"/>
                <w:szCs w:val="22"/>
                <w:lang w:val="en-IE" w:eastAsia="en-IE"/>
              </w:rPr>
              <w:t xml:space="preserve">AML.07.01 </w:t>
            </w:r>
          </w:p>
        </w:tc>
      </w:tr>
      <w:tr w:rsidR="00624C6F" w:rsidRPr="00831277" w14:paraId="4A1EF412" w14:textId="77777777" w:rsidTr="00624C6F">
        <w:trPr>
          <w:trHeight w:val="297"/>
        </w:trPr>
        <w:tc>
          <w:tcPr>
            <w:tcW w:w="1731" w:type="dxa"/>
            <w:vMerge/>
            <w:tcBorders>
              <w:top w:val="single" w:sz="4" w:space="0" w:color="000000"/>
              <w:left w:val="single" w:sz="4" w:space="0" w:color="auto"/>
              <w:bottom w:val="nil"/>
              <w:right w:val="nil"/>
            </w:tcBorders>
            <w:vAlign w:val="center"/>
            <w:hideMark/>
          </w:tcPr>
          <w:p w14:paraId="24C3FE70" w14:textId="77777777" w:rsidR="00831277" w:rsidRPr="00831277" w:rsidRDefault="00831277" w:rsidP="00831277">
            <w:pPr>
              <w:spacing w:before="0" w:after="0" w:line="240" w:lineRule="auto"/>
              <w:rPr>
                <w:rFonts w:ascii="Aptos Narrow" w:eastAsia="Times New Roman" w:hAnsi="Aptos Narrow"/>
                <w:b/>
                <w:bCs/>
                <w:color w:val="FFFFFF"/>
                <w:kern w:val="0"/>
                <w:sz w:val="24"/>
                <w:szCs w:val="24"/>
                <w:lang w:val="en-IE" w:eastAsia="en-IE"/>
              </w:rPr>
            </w:pPr>
          </w:p>
        </w:tc>
        <w:tc>
          <w:tcPr>
            <w:tcW w:w="4081" w:type="dxa"/>
            <w:vMerge/>
            <w:tcBorders>
              <w:top w:val="single" w:sz="4" w:space="0" w:color="000000"/>
              <w:left w:val="single" w:sz="4" w:space="0" w:color="000000"/>
              <w:bottom w:val="nil"/>
              <w:right w:val="single" w:sz="4" w:space="0" w:color="000000"/>
            </w:tcBorders>
            <w:vAlign w:val="center"/>
            <w:hideMark/>
          </w:tcPr>
          <w:p w14:paraId="0E04E4EF" w14:textId="77777777" w:rsidR="00831277" w:rsidRPr="00831277" w:rsidRDefault="00831277" w:rsidP="00831277">
            <w:pPr>
              <w:spacing w:before="0" w:after="0" w:line="240" w:lineRule="auto"/>
              <w:rPr>
                <w:rFonts w:ascii="Calibri" w:eastAsia="Times New Roman" w:hAnsi="Calibri" w:cs="Calibri"/>
                <w:color w:val="auto"/>
                <w:kern w:val="0"/>
                <w:szCs w:val="22"/>
                <w:lang w:val="en-IE" w:eastAsia="en-IE"/>
              </w:rPr>
            </w:pPr>
          </w:p>
        </w:tc>
        <w:tc>
          <w:tcPr>
            <w:tcW w:w="1821" w:type="dxa"/>
            <w:tcBorders>
              <w:top w:val="single" w:sz="4" w:space="0" w:color="000000"/>
              <w:left w:val="single" w:sz="4" w:space="0" w:color="000000"/>
              <w:bottom w:val="single" w:sz="4" w:space="0" w:color="000000"/>
              <w:right w:val="single" w:sz="4" w:space="0" w:color="000000"/>
            </w:tcBorders>
            <w:vAlign w:val="center"/>
            <w:hideMark/>
          </w:tcPr>
          <w:p w14:paraId="6CCF5AEC" w14:textId="77777777" w:rsidR="00831277" w:rsidRPr="00831277" w:rsidRDefault="00831277" w:rsidP="00831277">
            <w:pPr>
              <w:spacing w:before="0" w:after="0" w:line="240" w:lineRule="auto"/>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AML Training - Agents and Distributors (%)</w:t>
            </w:r>
          </w:p>
        </w:tc>
        <w:tc>
          <w:tcPr>
            <w:tcW w:w="938" w:type="dxa"/>
            <w:tcBorders>
              <w:top w:val="single" w:sz="4" w:space="0" w:color="000000"/>
              <w:left w:val="single" w:sz="4" w:space="0" w:color="000000"/>
              <w:bottom w:val="single" w:sz="4" w:space="0" w:color="000000"/>
              <w:right w:val="single" w:sz="4" w:space="0" w:color="000000"/>
            </w:tcBorders>
            <w:vAlign w:val="center"/>
            <w:hideMark/>
          </w:tcPr>
          <w:p w14:paraId="69DFEF1E" w14:textId="77777777" w:rsidR="00831277" w:rsidRPr="00831277" w:rsidRDefault="00831277" w:rsidP="00831277">
            <w:pPr>
              <w:spacing w:before="0" w:after="0" w:line="240" w:lineRule="auto"/>
              <w:jc w:val="center"/>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C0050</w:t>
            </w:r>
          </w:p>
        </w:tc>
        <w:tc>
          <w:tcPr>
            <w:tcW w:w="1352" w:type="dxa"/>
            <w:tcBorders>
              <w:top w:val="single" w:sz="4" w:space="0" w:color="000000"/>
              <w:left w:val="single" w:sz="4" w:space="0" w:color="000000"/>
              <w:bottom w:val="single" w:sz="4" w:space="0" w:color="000000"/>
              <w:right w:val="single" w:sz="4" w:space="0" w:color="000000"/>
            </w:tcBorders>
            <w:shd w:val="clear" w:color="000000" w:fill="4EA72E"/>
            <w:vAlign w:val="center"/>
            <w:hideMark/>
          </w:tcPr>
          <w:p w14:paraId="4EE53494" w14:textId="77777777" w:rsidR="00831277" w:rsidRPr="00831277" w:rsidRDefault="00831277" w:rsidP="00831277">
            <w:pPr>
              <w:spacing w:before="0" w:after="0" w:line="240" w:lineRule="auto"/>
              <w:jc w:val="center"/>
              <w:rPr>
                <w:rFonts w:ascii="Aptos Narrow" w:eastAsia="Times New Roman" w:hAnsi="Aptos Narrow"/>
                <w:b/>
                <w:bCs/>
                <w:color w:val="FFFFFF"/>
                <w:kern w:val="0"/>
                <w:szCs w:val="22"/>
                <w:lang w:val="en-IE" w:eastAsia="en-IE"/>
              </w:rPr>
            </w:pPr>
            <w:r w:rsidRPr="00831277">
              <w:rPr>
                <w:rFonts w:ascii="Aptos Narrow" w:eastAsia="Times New Roman" w:hAnsi="Aptos Narrow"/>
                <w:b/>
                <w:bCs/>
                <w:color w:val="FFFFFF"/>
                <w:kern w:val="0"/>
                <w:szCs w:val="22"/>
                <w:lang w:val="en-IE" w:eastAsia="en-IE"/>
              </w:rPr>
              <w:t xml:space="preserve">AML.07.01 </w:t>
            </w:r>
          </w:p>
        </w:tc>
      </w:tr>
      <w:tr w:rsidR="00624C6F" w:rsidRPr="00831277" w14:paraId="47F5CBD6" w14:textId="77777777" w:rsidTr="00624C6F">
        <w:trPr>
          <w:trHeight w:val="297"/>
        </w:trPr>
        <w:tc>
          <w:tcPr>
            <w:tcW w:w="1731" w:type="dxa"/>
            <w:vMerge/>
            <w:tcBorders>
              <w:top w:val="single" w:sz="4" w:space="0" w:color="000000"/>
              <w:left w:val="single" w:sz="4" w:space="0" w:color="auto"/>
              <w:bottom w:val="nil"/>
              <w:right w:val="nil"/>
            </w:tcBorders>
            <w:vAlign w:val="center"/>
            <w:hideMark/>
          </w:tcPr>
          <w:p w14:paraId="20863C5E" w14:textId="77777777" w:rsidR="00831277" w:rsidRPr="00831277" w:rsidRDefault="00831277" w:rsidP="00831277">
            <w:pPr>
              <w:spacing w:before="0" w:after="0" w:line="240" w:lineRule="auto"/>
              <w:rPr>
                <w:rFonts w:ascii="Aptos Narrow" w:eastAsia="Times New Roman" w:hAnsi="Aptos Narrow"/>
                <w:b/>
                <w:bCs/>
                <w:color w:val="FFFFFF"/>
                <w:kern w:val="0"/>
                <w:sz w:val="24"/>
                <w:szCs w:val="24"/>
                <w:lang w:val="en-IE" w:eastAsia="en-IE"/>
              </w:rPr>
            </w:pPr>
          </w:p>
        </w:tc>
        <w:tc>
          <w:tcPr>
            <w:tcW w:w="4081" w:type="dxa"/>
            <w:vMerge/>
            <w:tcBorders>
              <w:top w:val="single" w:sz="4" w:space="0" w:color="000000"/>
              <w:left w:val="single" w:sz="4" w:space="0" w:color="000000"/>
              <w:bottom w:val="nil"/>
              <w:right w:val="single" w:sz="4" w:space="0" w:color="000000"/>
            </w:tcBorders>
            <w:vAlign w:val="center"/>
            <w:hideMark/>
          </w:tcPr>
          <w:p w14:paraId="58C6B637" w14:textId="77777777" w:rsidR="00831277" w:rsidRPr="00831277" w:rsidRDefault="00831277" w:rsidP="00831277">
            <w:pPr>
              <w:spacing w:before="0" w:after="0" w:line="240" w:lineRule="auto"/>
              <w:rPr>
                <w:rFonts w:ascii="Calibri" w:eastAsia="Times New Roman" w:hAnsi="Calibri" w:cs="Calibri"/>
                <w:color w:val="auto"/>
                <w:kern w:val="0"/>
                <w:szCs w:val="22"/>
                <w:lang w:val="en-IE" w:eastAsia="en-IE"/>
              </w:rPr>
            </w:pPr>
          </w:p>
        </w:tc>
        <w:tc>
          <w:tcPr>
            <w:tcW w:w="1821" w:type="dxa"/>
            <w:tcBorders>
              <w:top w:val="single" w:sz="4" w:space="0" w:color="000000"/>
              <w:left w:val="single" w:sz="4" w:space="0" w:color="000000"/>
              <w:bottom w:val="single" w:sz="4" w:space="0" w:color="000000"/>
              <w:right w:val="single" w:sz="4" w:space="0" w:color="000000"/>
            </w:tcBorders>
            <w:vAlign w:val="center"/>
            <w:hideMark/>
          </w:tcPr>
          <w:p w14:paraId="5A49548A" w14:textId="77777777" w:rsidR="00831277" w:rsidRPr="00831277" w:rsidRDefault="00831277" w:rsidP="00831277">
            <w:pPr>
              <w:spacing w:before="0" w:after="0" w:line="240" w:lineRule="auto"/>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AML Training - Members of the management body (%)</w:t>
            </w:r>
          </w:p>
        </w:tc>
        <w:tc>
          <w:tcPr>
            <w:tcW w:w="938" w:type="dxa"/>
            <w:tcBorders>
              <w:top w:val="single" w:sz="4" w:space="0" w:color="000000"/>
              <w:left w:val="single" w:sz="4" w:space="0" w:color="000000"/>
              <w:bottom w:val="single" w:sz="4" w:space="0" w:color="000000"/>
              <w:right w:val="single" w:sz="4" w:space="0" w:color="000000"/>
            </w:tcBorders>
            <w:vAlign w:val="center"/>
            <w:hideMark/>
          </w:tcPr>
          <w:p w14:paraId="4A3D15F0" w14:textId="77777777" w:rsidR="00831277" w:rsidRPr="00831277" w:rsidRDefault="00831277" w:rsidP="00831277">
            <w:pPr>
              <w:spacing w:before="0" w:after="0" w:line="240" w:lineRule="auto"/>
              <w:jc w:val="center"/>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C0060</w:t>
            </w:r>
          </w:p>
        </w:tc>
        <w:tc>
          <w:tcPr>
            <w:tcW w:w="1352" w:type="dxa"/>
            <w:tcBorders>
              <w:top w:val="single" w:sz="4" w:space="0" w:color="000000"/>
              <w:left w:val="single" w:sz="4" w:space="0" w:color="000000"/>
              <w:bottom w:val="single" w:sz="4" w:space="0" w:color="000000"/>
              <w:right w:val="single" w:sz="4" w:space="0" w:color="000000"/>
            </w:tcBorders>
            <w:shd w:val="clear" w:color="000000" w:fill="4EA72E"/>
            <w:vAlign w:val="center"/>
            <w:hideMark/>
          </w:tcPr>
          <w:p w14:paraId="247F6FEE" w14:textId="77777777" w:rsidR="00831277" w:rsidRPr="00831277" w:rsidRDefault="00831277" w:rsidP="00831277">
            <w:pPr>
              <w:spacing w:before="0" w:after="0" w:line="240" w:lineRule="auto"/>
              <w:jc w:val="center"/>
              <w:rPr>
                <w:rFonts w:ascii="Aptos Narrow" w:eastAsia="Times New Roman" w:hAnsi="Aptos Narrow"/>
                <w:b/>
                <w:bCs/>
                <w:color w:val="FFFFFF"/>
                <w:kern w:val="0"/>
                <w:szCs w:val="22"/>
                <w:lang w:val="en-IE" w:eastAsia="en-IE"/>
              </w:rPr>
            </w:pPr>
            <w:r w:rsidRPr="00831277">
              <w:rPr>
                <w:rFonts w:ascii="Aptos Narrow" w:eastAsia="Times New Roman" w:hAnsi="Aptos Narrow"/>
                <w:b/>
                <w:bCs/>
                <w:color w:val="FFFFFF"/>
                <w:kern w:val="0"/>
                <w:szCs w:val="22"/>
                <w:lang w:val="en-IE" w:eastAsia="en-IE"/>
              </w:rPr>
              <w:t xml:space="preserve">AML.07.01 </w:t>
            </w:r>
          </w:p>
        </w:tc>
      </w:tr>
      <w:tr w:rsidR="00624C6F" w:rsidRPr="00831277" w14:paraId="195DC723" w14:textId="77777777" w:rsidTr="00624C6F">
        <w:trPr>
          <w:trHeight w:val="712"/>
        </w:trPr>
        <w:tc>
          <w:tcPr>
            <w:tcW w:w="1731" w:type="dxa"/>
            <w:vMerge w:val="restart"/>
            <w:tcBorders>
              <w:top w:val="single" w:sz="4" w:space="0" w:color="auto"/>
              <w:left w:val="single" w:sz="4" w:space="0" w:color="auto"/>
              <w:bottom w:val="nil"/>
              <w:right w:val="nil"/>
            </w:tcBorders>
            <w:shd w:val="clear" w:color="000000" w:fill="339933"/>
            <w:vAlign w:val="center"/>
            <w:hideMark/>
          </w:tcPr>
          <w:p w14:paraId="3B99AA6F" w14:textId="77777777" w:rsidR="00831277" w:rsidRPr="00831277" w:rsidRDefault="00831277" w:rsidP="00831277">
            <w:pPr>
              <w:spacing w:before="0" w:after="0" w:line="240" w:lineRule="auto"/>
              <w:jc w:val="center"/>
              <w:rPr>
                <w:rFonts w:ascii="Aptos Narrow" w:eastAsia="Times New Roman" w:hAnsi="Aptos Narrow"/>
                <w:b/>
                <w:bCs/>
                <w:color w:val="FFFFFF"/>
                <w:kern w:val="0"/>
                <w:sz w:val="24"/>
                <w:szCs w:val="24"/>
                <w:lang w:val="en-IE" w:eastAsia="en-IE"/>
              </w:rPr>
            </w:pPr>
            <w:r w:rsidRPr="00831277">
              <w:rPr>
                <w:rFonts w:ascii="Aptos Narrow" w:eastAsia="Times New Roman" w:hAnsi="Aptos Narrow"/>
                <w:b/>
                <w:bCs/>
                <w:color w:val="FFFFFF"/>
                <w:kern w:val="0"/>
                <w:sz w:val="24"/>
                <w:szCs w:val="24"/>
                <w:lang w:val="en-IE" w:eastAsia="en-IE"/>
              </w:rPr>
              <w:t xml:space="preserve">2 - Internal Controls &amp; Outsourcing </w:t>
            </w:r>
            <w:r w:rsidRPr="00831277">
              <w:rPr>
                <w:rFonts w:ascii="Aptos Narrow" w:eastAsia="Times New Roman" w:hAnsi="Aptos Narrow"/>
                <w:color w:val="FFFFFF"/>
                <w:kern w:val="0"/>
                <w:sz w:val="24"/>
                <w:szCs w:val="24"/>
                <w:lang w:val="en-IE" w:eastAsia="en-IE"/>
              </w:rPr>
              <w:t>(Internal controls and reporting systems, Outsourcing and reliance on third parties, Internal audit function / external expert, Record keeping)</w:t>
            </w:r>
          </w:p>
        </w:tc>
        <w:tc>
          <w:tcPr>
            <w:tcW w:w="4081"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12C2810" w14:textId="005BFBDF" w:rsidR="00831277" w:rsidRPr="00831277" w:rsidRDefault="00831277" w:rsidP="00831277">
            <w:pPr>
              <w:spacing w:before="0" w:after="0" w:line="240" w:lineRule="auto"/>
              <w:rPr>
                <w:rFonts w:ascii="Aptos Narrow" w:eastAsia="Times New Roman" w:hAnsi="Aptos Narrow"/>
                <w:color w:val="000000"/>
                <w:kern w:val="0"/>
                <w:szCs w:val="22"/>
                <w:lang w:val="en-IE" w:eastAsia="en-IE"/>
              </w:rPr>
            </w:pPr>
            <w:r w:rsidRPr="00831277">
              <w:rPr>
                <w:rFonts w:ascii="Aptos Narrow" w:eastAsia="Times New Roman" w:hAnsi="Aptos Narrow"/>
                <w:color w:val="000000"/>
                <w:kern w:val="0"/>
                <w:szCs w:val="22"/>
                <w:lang w:val="en-IE" w:eastAsia="en-IE"/>
              </w:rPr>
              <w:t xml:space="preserve">Frequency of reporting by the AML compliance officer to the management body (never, monthly, </w:t>
            </w:r>
            <w:r w:rsidR="002D5801" w:rsidRPr="00831277">
              <w:rPr>
                <w:rFonts w:ascii="Aptos Narrow" w:eastAsia="Times New Roman" w:hAnsi="Aptos Narrow"/>
                <w:color w:val="000000"/>
                <w:kern w:val="0"/>
                <w:szCs w:val="22"/>
                <w:lang w:val="en-IE" w:eastAsia="en-IE"/>
              </w:rPr>
              <w:t>quarterly</w:t>
            </w:r>
            <w:r w:rsidRPr="00831277">
              <w:rPr>
                <w:rFonts w:ascii="Aptos Narrow" w:eastAsia="Times New Roman" w:hAnsi="Aptos Narrow"/>
                <w:color w:val="000000"/>
                <w:kern w:val="0"/>
                <w:szCs w:val="22"/>
                <w:lang w:val="en-IE" w:eastAsia="en-IE"/>
              </w:rPr>
              <w:t>, half-</w:t>
            </w:r>
            <w:r w:rsidR="002D5801" w:rsidRPr="00831277">
              <w:rPr>
                <w:rFonts w:ascii="Aptos Narrow" w:eastAsia="Times New Roman" w:hAnsi="Aptos Narrow"/>
                <w:color w:val="000000"/>
                <w:kern w:val="0"/>
                <w:szCs w:val="22"/>
                <w:lang w:val="en-IE" w:eastAsia="en-IE"/>
              </w:rPr>
              <w:t>yearly</w:t>
            </w:r>
            <w:r w:rsidRPr="00831277">
              <w:rPr>
                <w:rFonts w:ascii="Aptos Narrow" w:eastAsia="Times New Roman" w:hAnsi="Aptos Narrow"/>
                <w:color w:val="000000"/>
                <w:kern w:val="0"/>
                <w:szCs w:val="22"/>
                <w:lang w:val="en-IE" w:eastAsia="en-IE"/>
              </w:rPr>
              <w:t>, yearly)</w:t>
            </w:r>
          </w:p>
        </w:tc>
        <w:tc>
          <w:tcPr>
            <w:tcW w:w="1821" w:type="dxa"/>
            <w:tcBorders>
              <w:top w:val="single" w:sz="4" w:space="0" w:color="000000"/>
              <w:left w:val="single" w:sz="4" w:space="0" w:color="000000"/>
              <w:bottom w:val="single" w:sz="4" w:space="0" w:color="000000"/>
              <w:right w:val="single" w:sz="4" w:space="0" w:color="000000"/>
            </w:tcBorders>
            <w:vAlign w:val="center"/>
            <w:hideMark/>
          </w:tcPr>
          <w:p w14:paraId="6609A914" w14:textId="77777777" w:rsidR="00831277" w:rsidRPr="00831277" w:rsidRDefault="00831277" w:rsidP="00831277">
            <w:pPr>
              <w:spacing w:before="0" w:after="0" w:line="240" w:lineRule="auto"/>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Frequency of AML reporting to the management body</w:t>
            </w:r>
          </w:p>
        </w:tc>
        <w:tc>
          <w:tcPr>
            <w:tcW w:w="938" w:type="dxa"/>
            <w:tcBorders>
              <w:top w:val="single" w:sz="4" w:space="0" w:color="000000"/>
              <w:left w:val="single" w:sz="4" w:space="0" w:color="000000"/>
              <w:bottom w:val="single" w:sz="4" w:space="0" w:color="000000"/>
              <w:right w:val="single" w:sz="4" w:space="0" w:color="000000"/>
            </w:tcBorders>
            <w:vAlign w:val="center"/>
            <w:hideMark/>
          </w:tcPr>
          <w:p w14:paraId="1BA8581B" w14:textId="77777777" w:rsidR="00831277" w:rsidRPr="00831277" w:rsidRDefault="00831277" w:rsidP="00831277">
            <w:pPr>
              <w:spacing w:before="0" w:after="0" w:line="240" w:lineRule="auto"/>
              <w:jc w:val="center"/>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C0010</w:t>
            </w:r>
          </w:p>
        </w:tc>
        <w:tc>
          <w:tcPr>
            <w:tcW w:w="1352" w:type="dxa"/>
            <w:tcBorders>
              <w:top w:val="single" w:sz="4" w:space="0" w:color="000000"/>
              <w:left w:val="single" w:sz="4" w:space="0" w:color="000000"/>
              <w:bottom w:val="single" w:sz="4" w:space="0" w:color="000000"/>
              <w:right w:val="single" w:sz="4" w:space="0" w:color="000000"/>
            </w:tcBorders>
            <w:shd w:val="clear" w:color="000000" w:fill="4EA72E"/>
            <w:vAlign w:val="center"/>
            <w:hideMark/>
          </w:tcPr>
          <w:p w14:paraId="2448D69B" w14:textId="77777777" w:rsidR="00831277" w:rsidRPr="00831277" w:rsidRDefault="00831277" w:rsidP="00831277">
            <w:pPr>
              <w:spacing w:before="0" w:after="0" w:line="240" w:lineRule="auto"/>
              <w:jc w:val="center"/>
              <w:rPr>
                <w:rFonts w:ascii="Aptos Narrow" w:eastAsia="Times New Roman" w:hAnsi="Aptos Narrow"/>
                <w:b/>
                <w:bCs/>
                <w:color w:val="FFFFFF"/>
                <w:kern w:val="0"/>
                <w:szCs w:val="22"/>
                <w:lang w:val="en-IE" w:eastAsia="en-IE"/>
              </w:rPr>
            </w:pPr>
            <w:r w:rsidRPr="00831277">
              <w:rPr>
                <w:rFonts w:ascii="Aptos Narrow" w:eastAsia="Times New Roman" w:hAnsi="Aptos Narrow"/>
                <w:b/>
                <w:bCs/>
                <w:color w:val="FFFFFF"/>
                <w:kern w:val="0"/>
                <w:szCs w:val="22"/>
                <w:lang w:val="en-IE" w:eastAsia="en-IE"/>
              </w:rPr>
              <w:t xml:space="preserve">AML.07.02 </w:t>
            </w:r>
          </w:p>
        </w:tc>
      </w:tr>
      <w:tr w:rsidR="00624C6F" w:rsidRPr="00831277" w14:paraId="298F1741" w14:textId="77777777" w:rsidTr="00624C6F">
        <w:trPr>
          <w:trHeight w:val="712"/>
        </w:trPr>
        <w:tc>
          <w:tcPr>
            <w:tcW w:w="1731" w:type="dxa"/>
            <w:vMerge/>
            <w:tcBorders>
              <w:top w:val="single" w:sz="4" w:space="0" w:color="auto"/>
              <w:left w:val="single" w:sz="4" w:space="0" w:color="auto"/>
              <w:bottom w:val="nil"/>
              <w:right w:val="nil"/>
            </w:tcBorders>
            <w:vAlign w:val="center"/>
            <w:hideMark/>
          </w:tcPr>
          <w:p w14:paraId="3DAD407D" w14:textId="77777777" w:rsidR="00831277" w:rsidRPr="00831277" w:rsidRDefault="00831277" w:rsidP="00831277">
            <w:pPr>
              <w:spacing w:before="0" w:after="0" w:line="240" w:lineRule="auto"/>
              <w:rPr>
                <w:rFonts w:ascii="Aptos Narrow" w:eastAsia="Times New Roman" w:hAnsi="Aptos Narrow"/>
                <w:b/>
                <w:bCs/>
                <w:color w:val="FFFFFF"/>
                <w:kern w:val="0"/>
                <w:sz w:val="24"/>
                <w:szCs w:val="24"/>
                <w:lang w:val="en-IE" w:eastAsia="en-IE"/>
              </w:rPr>
            </w:pPr>
          </w:p>
        </w:tc>
        <w:tc>
          <w:tcPr>
            <w:tcW w:w="4081" w:type="dxa"/>
            <w:vMerge w:val="restart"/>
            <w:tcBorders>
              <w:top w:val="single" w:sz="4" w:space="0" w:color="000000"/>
              <w:left w:val="single" w:sz="4" w:space="0" w:color="000000"/>
              <w:bottom w:val="nil"/>
              <w:right w:val="single" w:sz="4" w:space="0" w:color="000000"/>
            </w:tcBorders>
            <w:shd w:val="clear" w:color="000000" w:fill="FFFFFF"/>
            <w:vAlign w:val="center"/>
            <w:hideMark/>
          </w:tcPr>
          <w:p w14:paraId="3A8FCCC8" w14:textId="77777777" w:rsidR="00831277" w:rsidRPr="00831277" w:rsidRDefault="00831277" w:rsidP="00831277">
            <w:pPr>
              <w:spacing w:before="0" w:after="0" w:line="240" w:lineRule="auto"/>
              <w:rPr>
                <w:rFonts w:ascii="Aptos Narrow" w:eastAsia="Times New Roman" w:hAnsi="Aptos Narrow"/>
                <w:color w:val="000000"/>
                <w:kern w:val="0"/>
                <w:szCs w:val="22"/>
                <w:lang w:val="en-IE" w:eastAsia="en-IE"/>
              </w:rPr>
            </w:pPr>
            <w:r w:rsidRPr="00831277">
              <w:rPr>
                <w:rFonts w:ascii="Aptos Narrow" w:eastAsia="Times New Roman" w:hAnsi="Aptos Narrow"/>
                <w:color w:val="000000"/>
                <w:kern w:val="0"/>
                <w:szCs w:val="22"/>
                <w:lang w:val="en-IE" w:eastAsia="en-IE"/>
              </w:rPr>
              <w:t>Tasks outsourced by the obliged entity (in total or in part) to service providers:</w:t>
            </w:r>
            <w:r w:rsidRPr="00831277">
              <w:rPr>
                <w:rFonts w:ascii="Aptos Narrow" w:eastAsia="Times New Roman" w:hAnsi="Aptos Narrow"/>
                <w:color w:val="000000"/>
                <w:kern w:val="0"/>
                <w:szCs w:val="22"/>
                <w:lang w:val="en-IE" w:eastAsia="en-IE"/>
              </w:rPr>
              <w:br/>
              <w:t>CDD</w:t>
            </w:r>
            <w:r w:rsidRPr="00831277">
              <w:rPr>
                <w:rFonts w:ascii="Aptos Narrow" w:eastAsia="Times New Roman" w:hAnsi="Aptos Narrow"/>
                <w:color w:val="000000"/>
                <w:kern w:val="0"/>
                <w:szCs w:val="22"/>
                <w:lang w:val="en-IE" w:eastAsia="en-IE"/>
              </w:rPr>
              <w:br/>
              <w:t>Training</w:t>
            </w:r>
            <w:r w:rsidRPr="00831277">
              <w:rPr>
                <w:rFonts w:ascii="Aptos Narrow" w:eastAsia="Times New Roman" w:hAnsi="Aptos Narrow"/>
                <w:color w:val="000000"/>
                <w:kern w:val="0"/>
                <w:szCs w:val="22"/>
                <w:lang w:val="en-IE" w:eastAsia="en-IE"/>
              </w:rPr>
              <w:br/>
              <w:t>Transaction Monitoring</w:t>
            </w:r>
            <w:r w:rsidRPr="00831277">
              <w:rPr>
                <w:rFonts w:ascii="Aptos Narrow" w:eastAsia="Times New Roman" w:hAnsi="Aptos Narrow"/>
                <w:color w:val="000000"/>
                <w:kern w:val="0"/>
                <w:szCs w:val="22"/>
                <w:lang w:val="en-IE" w:eastAsia="en-IE"/>
              </w:rPr>
              <w:br/>
              <w:t>Suspicious Transaction Reports</w:t>
            </w:r>
            <w:r w:rsidRPr="00831277">
              <w:rPr>
                <w:rFonts w:ascii="Aptos Narrow" w:eastAsia="Times New Roman" w:hAnsi="Aptos Narrow"/>
                <w:color w:val="000000"/>
                <w:kern w:val="0"/>
                <w:szCs w:val="22"/>
                <w:lang w:val="en-IE" w:eastAsia="en-IE"/>
              </w:rPr>
              <w:br/>
              <w:t>Sanctions Screening</w:t>
            </w:r>
            <w:r w:rsidRPr="00831277">
              <w:rPr>
                <w:rFonts w:ascii="Aptos Narrow" w:eastAsia="Times New Roman" w:hAnsi="Aptos Narrow"/>
                <w:color w:val="000000"/>
                <w:kern w:val="0"/>
                <w:szCs w:val="22"/>
                <w:lang w:val="en-IE" w:eastAsia="en-IE"/>
              </w:rPr>
              <w:br/>
              <w:t>PEP detection</w:t>
            </w:r>
            <w:r w:rsidRPr="00831277">
              <w:rPr>
                <w:rFonts w:ascii="Aptos Narrow" w:eastAsia="Times New Roman" w:hAnsi="Aptos Narrow"/>
                <w:color w:val="000000"/>
                <w:kern w:val="0"/>
                <w:szCs w:val="22"/>
                <w:lang w:val="en-IE" w:eastAsia="en-IE"/>
              </w:rPr>
              <w:br/>
              <w:t>Compliance Monitoring Checks</w:t>
            </w:r>
          </w:p>
        </w:tc>
        <w:tc>
          <w:tcPr>
            <w:tcW w:w="1821" w:type="dxa"/>
            <w:tcBorders>
              <w:top w:val="single" w:sz="4" w:space="0" w:color="000000"/>
              <w:left w:val="single" w:sz="4" w:space="0" w:color="000000"/>
              <w:bottom w:val="single" w:sz="4" w:space="0" w:color="000000"/>
              <w:right w:val="single" w:sz="4" w:space="0" w:color="000000"/>
            </w:tcBorders>
            <w:vAlign w:val="center"/>
            <w:hideMark/>
          </w:tcPr>
          <w:p w14:paraId="39AFF889" w14:textId="77777777" w:rsidR="00831277" w:rsidRPr="00831277" w:rsidRDefault="00831277" w:rsidP="00831277">
            <w:pPr>
              <w:spacing w:before="0" w:after="0" w:line="240" w:lineRule="auto"/>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Outsourcing CDD</w:t>
            </w:r>
          </w:p>
        </w:tc>
        <w:tc>
          <w:tcPr>
            <w:tcW w:w="938" w:type="dxa"/>
            <w:tcBorders>
              <w:top w:val="single" w:sz="4" w:space="0" w:color="000000"/>
              <w:left w:val="single" w:sz="4" w:space="0" w:color="000000"/>
              <w:bottom w:val="single" w:sz="4" w:space="0" w:color="000000"/>
              <w:right w:val="single" w:sz="4" w:space="0" w:color="000000"/>
            </w:tcBorders>
            <w:vAlign w:val="center"/>
            <w:hideMark/>
          </w:tcPr>
          <w:p w14:paraId="2EDE7E7B" w14:textId="77777777" w:rsidR="00831277" w:rsidRPr="00831277" w:rsidRDefault="00831277" w:rsidP="00831277">
            <w:pPr>
              <w:spacing w:before="0" w:after="0" w:line="240" w:lineRule="auto"/>
              <w:jc w:val="center"/>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C0020</w:t>
            </w:r>
          </w:p>
        </w:tc>
        <w:tc>
          <w:tcPr>
            <w:tcW w:w="1352" w:type="dxa"/>
            <w:tcBorders>
              <w:top w:val="single" w:sz="4" w:space="0" w:color="000000"/>
              <w:left w:val="single" w:sz="4" w:space="0" w:color="000000"/>
              <w:bottom w:val="single" w:sz="4" w:space="0" w:color="000000"/>
              <w:right w:val="single" w:sz="4" w:space="0" w:color="000000"/>
            </w:tcBorders>
            <w:shd w:val="clear" w:color="000000" w:fill="4EA72E"/>
            <w:vAlign w:val="center"/>
            <w:hideMark/>
          </w:tcPr>
          <w:p w14:paraId="28A6FEF0" w14:textId="77777777" w:rsidR="00831277" w:rsidRPr="00831277" w:rsidRDefault="00831277" w:rsidP="00831277">
            <w:pPr>
              <w:spacing w:before="0" w:after="0" w:line="240" w:lineRule="auto"/>
              <w:jc w:val="center"/>
              <w:rPr>
                <w:rFonts w:ascii="Aptos Narrow" w:eastAsia="Times New Roman" w:hAnsi="Aptos Narrow"/>
                <w:b/>
                <w:bCs/>
                <w:color w:val="FFFFFF"/>
                <w:kern w:val="0"/>
                <w:szCs w:val="22"/>
                <w:lang w:val="en-IE" w:eastAsia="en-IE"/>
              </w:rPr>
            </w:pPr>
            <w:r w:rsidRPr="00831277">
              <w:rPr>
                <w:rFonts w:ascii="Aptos Narrow" w:eastAsia="Times New Roman" w:hAnsi="Aptos Narrow"/>
                <w:b/>
                <w:bCs/>
                <w:color w:val="FFFFFF"/>
                <w:kern w:val="0"/>
                <w:szCs w:val="22"/>
                <w:lang w:val="en-IE" w:eastAsia="en-IE"/>
              </w:rPr>
              <w:t xml:space="preserve">AML.07.02 </w:t>
            </w:r>
          </w:p>
        </w:tc>
      </w:tr>
      <w:tr w:rsidR="00624C6F" w:rsidRPr="00831277" w14:paraId="79633864" w14:textId="77777777" w:rsidTr="00624C6F">
        <w:trPr>
          <w:trHeight w:val="712"/>
        </w:trPr>
        <w:tc>
          <w:tcPr>
            <w:tcW w:w="1731" w:type="dxa"/>
            <w:vMerge/>
            <w:tcBorders>
              <w:top w:val="single" w:sz="4" w:space="0" w:color="auto"/>
              <w:left w:val="single" w:sz="4" w:space="0" w:color="auto"/>
              <w:bottom w:val="nil"/>
              <w:right w:val="nil"/>
            </w:tcBorders>
            <w:vAlign w:val="center"/>
            <w:hideMark/>
          </w:tcPr>
          <w:p w14:paraId="717BD8D3" w14:textId="77777777" w:rsidR="00831277" w:rsidRPr="00831277" w:rsidRDefault="00831277" w:rsidP="00831277">
            <w:pPr>
              <w:spacing w:before="0" w:after="0" w:line="240" w:lineRule="auto"/>
              <w:rPr>
                <w:rFonts w:ascii="Aptos Narrow" w:eastAsia="Times New Roman" w:hAnsi="Aptos Narrow"/>
                <w:b/>
                <w:bCs/>
                <w:color w:val="FFFFFF"/>
                <w:kern w:val="0"/>
                <w:sz w:val="24"/>
                <w:szCs w:val="24"/>
                <w:lang w:val="en-IE" w:eastAsia="en-IE"/>
              </w:rPr>
            </w:pPr>
          </w:p>
        </w:tc>
        <w:tc>
          <w:tcPr>
            <w:tcW w:w="4081" w:type="dxa"/>
            <w:vMerge/>
            <w:tcBorders>
              <w:top w:val="single" w:sz="4" w:space="0" w:color="000000"/>
              <w:left w:val="single" w:sz="4" w:space="0" w:color="000000"/>
              <w:bottom w:val="nil"/>
              <w:right w:val="single" w:sz="4" w:space="0" w:color="000000"/>
            </w:tcBorders>
            <w:vAlign w:val="center"/>
            <w:hideMark/>
          </w:tcPr>
          <w:p w14:paraId="373A0A0B" w14:textId="77777777" w:rsidR="00831277" w:rsidRPr="00831277" w:rsidRDefault="00831277" w:rsidP="00831277">
            <w:pPr>
              <w:spacing w:before="0" w:after="0" w:line="240" w:lineRule="auto"/>
              <w:rPr>
                <w:rFonts w:ascii="Aptos Narrow" w:eastAsia="Times New Roman" w:hAnsi="Aptos Narrow"/>
                <w:color w:val="000000"/>
                <w:kern w:val="0"/>
                <w:szCs w:val="22"/>
                <w:lang w:val="en-IE" w:eastAsia="en-IE"/>
              </w:rPr>
            </w:pPr>
          </w:p>
        </w:tc>
        <w:tc>
          <w:tcPr>
            <w:tcW w:w="1821" w:type="dxa"/>
            <w:tcBorders>
              <w:top w:val="single" w:sz="4" w:space="0" w:color="000000"/>
              <w:left w:val="single" w:sz="4" w:space="0" w:color="000000"/>
              <w:bottom w:val="single" w:sz="4" w:space="0" w:color="000000"/>
              <w:right w:val="single" w:sz="4" w:space="0" w:color="000000"/>
            </w:tcBorders>
            <w:vAlign w:val="center"/>
            <w:hideMark/>
          </w:tcPr>
          <w:p w14:paraId="48A01758" w14:textId="77777777" w:rsidR="00831277" w:rsidRPr="00831277" w:rsidRDefault="00831277" w:rsidP="00831277">
            <w:pPr>
              <w:spacing w:before="0" w:after="0" w:line="240" w:lineRule="auto"/>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Outsourcing - Training</w:t>
            </w:r>
          </w:p>
        </w:tc>
        <w:tc>
          <w:tcPr>
            <w:tcW w:w="938" w:type="dxa"/>
            <w:tcBorders>
              <w:top w:val="single" w:sz="4" w:space="0" w:color="000000"/>
              <w:left w:val="single" w:sz="4" w:space="0" w:color="000000"/>
              <w:bottom w:val="single" w:sz="4" w:space="0" w:color="000000"/>
              <w:right w:val="single" w:sz="4" w:space="0" w:color="000000"/>
            </w:tcBorders>
            <w:vAlign w:val="center"/>
            <w:hideMark/>
          </w:tcPr>
          <w:p w14:paraId="40AC7285" w14:textId="77777777" w:rsidR="00831277" w:rsidRPr="00831277" w:rsidRDefault="00831277" w:rsidP="00831277">
            <w:pPr>
              <w:spacing w:before="0" w:after="0" w:line="240" w:lineRule="auto"/>
              <w:jc w:val="center"/>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C0030</w:t>
            </w:r>
          </w:p>
        </w:tc>
        <w:tc>
          <w:tcPr>
            <w:tcW w:w="1352" w:type="dxa"/>
            <w:tcBorders>
              <w:top w:val="single" w:sz="4" w:space="0" w:color="000000"/>
              <w:left w:val="single" w:sz="4" w:space="0" w:color="000000"/>
              <w:bottom w:val="single" w:sz="4" w:space="0" w:color="000000"/>
              <w:right w:val="single" w:sz="4" w:space="0" w:color="000000"/>
            </w:tcBorders>
            <w:shd w:val="clear" w:color="000000" w:fill="4EA72E"/>
            <w:vAlign w:val="center"/>
            <w:hideMark/>
          </w:tcPr>
          <w:p w14:paraId="32B23335" w14:textId="77777777" w:rsidR="00831277" w:rsidRPr="00831277" w:rsidRDefault="00831277" w:rsidP="00831277">
            <w:pPr>
              <w:spacing w:before="0" w:after="0" w:line="240" w:lineRule="auto"/>
              <w:jc w:val="center"/>
              <w:rPr>
                <w:rFonts w:ascii="Aptos Narrow" w:eastAsia="Times New Roman" w:hAnsi="Aptos Narrow"/>
                <w:b/>
                <w:bCs/>
                <w:color w:val="FFFFFF"/>
                <w:kern w:val="0"/>
                <w:szCs w:val="22"/>
                <w:lang w:val="en-IE" w:eastAsia="en-IE"/>
              </w:rPr>
            </w:pPr>
            <w:r w:rsidRPr="00831277">
              <w:rPr>
                <w:rFonts w:ascii="Aptos Narrow" w:eastAsia="Times New Roman" w:hAnsi="Aptos Narrow"/>
                <w:b/>
                <w:bCs/>
                <w:color w:val="FFFFFF"/>
                <w:kern w:val="0"/>
                <w:szCs w:val="22"/>
                <w:lang w:val="en-IE" w:eastAsia="en-IE"/>
              </w:rPr>
              <w:t xml:space="preserve">AML.07.02 </w:t>
            </w:r>
          </w:p>
        </w:tc>
      </w:tr>
      <w:tr w:rsidR="00624C6F" w:rsidRPr="00831277" w14:paraId="0F17A914" w14:textId="77777777" w:rsidTr="00624C6F">
        <w:trPr>
          <w:trHeight w:val="712"/>
        </w:trPr>
        <w:tc>
          <w:tcPr>
            <w:tcW w:w="1731" w:type="dxa"/>
            <w:vMerge/>
            <w:tcBorders>
              <w:top w:val="single" w:sz="4" w:space="0" w:color="auto"/>
              <w:left w:val="single" w:sz="4" w:space="0" w:color="auto"/>
              <w:bottom w:val="nil"/>
              <w:right w:val="nil"/>
            </w:tcBorders>
            <w:vAlign w:val="center"/>
            <w:hideMark/>
          </w:tcPr>
          <w:p w14:paraId="6E7740BF" w14:textId="77777777" w:rsidR="00831277" w:rsidRPr="00831277" w:rsidRDefault="00831277" w:rsidP="00831277">
            <w:pPr>
              <w:spacing w:before="0" w:after="0" w:line="240" w:lineRule="auto"/>
              <w:rPr>
                <w:rFonts w:ascii="Aptos Narrow" w:eastAsia="Times New Roman" w:hAnsi="Aptos Narrow"/>
                <w:b/>
                <w:bCs/>
                <w:color w:val="FFFFFF"/>
                <w:kern w:val="0"/>
                <w:sz w:val="24"/>
                <w:szCs w:val="24"/>
                <w:lang w:val="en-IE" w:eastAsia="en-IE"/>
              </w:rPr>
            </w:pPr>
          </w:p>
        </w:tc>
        <w:tc>
          <w:tcPr>
            <w:tcW w:w="4081" w:type="dxa"/>
            <w:vMerge/>
            <w:tcBorders>
              <w:top w:val="single" w:sz="4" w:space="0" w:color="000000"/>
              <w:left w:val="single" w:sz="4" w:space="0" w:color="000000"/>
              <w:bottom w:val="nil"/>
              <w:right w:val="single" w:sz="4" w:space="0" w:color="000000"/>
            </w:tcBorders>
            <w:vAlign w:val="center"/>
            <w:hideMark/>
          </w:tcPr>
          <w:p w14:paraId="6FFBD94B" w14:textId="77777777" w:rsidR="00831277" w:rsidRPr="00831277" w:rsidRDefault="00831277" w:rsidP="00831277">
            <w:pPr>
              <w:spacing w:before="0" w:after="0" w:line="240" w:lineRule="auto"/>
              <w:rPr>
                <w:rFonts w:ascii="Aptos Narrow" w:eastAsia="Times New Roman" w:hAnsi="Aptos Narrow"/>
                <w:color w:val="000000"/>
                <w:kern w:val="0"/>
                <w:szCs w:val="22"/>
                <w:lang w:val="en-IE" w:eastAsia="en-IE"/>
              </w:rPr>
            </w:pPr>
          </w:p>
        </w:tc>
        <w:tc>
          <w:tcPr>
            <w:tcW w:w="1821" w:type="dxa"/>
            <w:tcBorders>
              <w:top w:val="single" w:sz="4" w:space="0" w:color="000000"/>
              <w:left w:val="single" w:sz="4" w:space="0" w:color="000000"/>
              <w:bottom w:val="single" w:sz="4" w:space="0" w:color="000000"/>
              <w:right w:val="single" w:sz="4" w:space="0" w:color="000000"/>
            </w:tcBorders>
            <w:vAlign w:val="center"/>
            <w:hideMark/>
          </w:tcPr>
          <w:p w14:paraId="2BCC0078" w14:textId="77777777" w:rsidR="00831277" w:rsidRPr="00831277" w:rsidRDefault="00831277" w:rsidP="00831277">
            <w:pPr>
              <w:spacing w:before="0" w:after="0" w:line="240" w:lineRule="auto"/>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Outsourcing - Transaction Monitoring</w:t>
            </w:r>
          </w:p>
        </w:tc>
        <w:tc>
          <w:tcPr>
            <w:tcW w:w="938" w:type="dxa"/>
            <w:tcBorders>
              <w:top w:val="single" w:sz="4" w:space="0" w:color="000000"/>
              <w:left w:val="single" w:sz="4" w:space="0" w:color="000000"/>
              <w:bottom w:val="single" w:sz="4" w:space="0" w:color="000000"/>
              <w:right w:val="single" w:sz="4" w:space="0" w:color="000000"/>
            </w:tcBorders>
            <w:vAlign w:val="center"/>
            <w:hideMark/>
          </w:tcPr>
          <w:p w14:paraId="4C3AB690" w14:textId="77777777" w:rsidR="00831277" w:rsidRPr="00831277" w:rsidRDefault="00831277" w:rsidP="00831277">
            <w:pPr>
              <w:spacing w:before="0" w:after="0" w:line="240" w:lineRule="auto"/>
              <w:jc w:val="center"/>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C0040</w:t>
            </w:r>
          </w:p>
        </w:tc>
        <w:tc>
          <w:tcPr>
            <w:tcW w:w="1352" w:type="dxa"/>
            <w:tcBorders>
              <w:top w:val="single" w:sz="4" w:space="0" w:color="000000"/>
              <w:left w:val="single" w:sz="4" w:space="0" w:color="000000"/>
              <w:bottom w:val="single" w:sz="4" w:space="0" w:color="000000"/>
              <w:right w:val="single" w:sz="4" w:space="0" w:color="000000"/>
            </w:tcBorders>
            <w:shd w:val="clear" w:color="000000" w:fill="4EA72E"/>
            <w:vAlign w:val="center"/>
            <w:hideMark/>
          </w:tcPr>
          <w:p w14:paraId="037A8A48" w14:textId="77777777" w:rsidR="00831277" w:rsidRPr="00831277" w:rsidRDefault="00831277" w:rsidP="00831277">
            <w:pPr>
              <w:spacing w:before="0" w:after="0" w:line="240" w:lineRule="auto"/>
              <w:jc w:val="center"/>
              <w:rPr>
                <w:rFonts w:ascii="Aptos Narrow" w:eastAsia="Times New Roman" w:hAnsi="Aptos Narrow"/>
                <w:b/>
                <w:bCs/>
                <w:color w:val="FFFFFF"/>
                <w:kern w:val="0"/>
                <w:szCs w:val="22"/>
                <w:lang w:val="en-IE" w:eastAsia="en-IE"/>
              </w:rPr>
            </w:pPr>
            <w:r w:rsidRPr="00831277">
              <w:rPr>
                <w:rFonts w:ascii="Aptos Narrow" w:eastAsia="Times New Roman" w:hAnsi="Aptos Narrow"/>
                <w:b/>
                <w:bCs/>
                <w:color w:val="FFFFFF"/>
                <w:kern w:val="0"/>
                <w:szCs w:val="22"/>
                <w:lang w:val="en-IE" w:eastAsia="en-IE"/>
              </w:rPr>
              <w:t xml:space="preserve">AML.07.02 </w:t>
            </w:r>
          </w:p>
        </w:tc>
      </w:tr>
      <w:tr w:rsidR="00624C6F" w:rsidRPr="00831277" w14:paraId="7235D286" w14:textId="77777777" w:rsidTr="00624C6F">
        <w:trPr>
          <w:trHeight w:val="712"/>
        </w:trPr>
        <w:tc>
          <w:tcPr>
            <w:tcW w:w="1731" w:type="dxa"/>
            <w:vMerge/>
            <w:tcBorders>
              <w:top w:val="single" w:sz="4" w:space="0" w:color="auto"/>
              <w:left w:val="single" w:sz="4" w:space="0" w:color="auto"/>
              <w:bottom w:val="nil"/>
              <w:right w:val="nil"/>
            </w:tcBorders>
            <w:vAlign w:val="center"/>
            <w:hideMark/>
          </w:tcPr>
          <w:p w14:paraId="19BE0B3B" w14:textId="77777777" w:rsidR="00831277" w:rsidRPr="00831277" w:rsidRDefault="00831277" w:rsidP="00831277">
            <w:pPr>
              <w:spacing w:before="0" w:after="0" w:line="240" w:lineRule="auto"/>
              <w:rPr>
                <w:rFonts w:ascii="Aptos Narrow" w:eastAsia="Times New Roman" w:hAnsi="Aptos Narrow"/>
                <w:b/>
                <w:bCs/>
                <w:color w:val="FFFFFF"/>
                <w:kern w:val="0"/>
                <w:sz w:val="24"/>
                <w:szCs w:val="24"/>
                <w:lang w:val="en-IE" w:eastAsia="en-IE"/>
              </w:rPr>
            </w:pPr>
          </w:p>
        </w:tc>
        <w:tc>
          <w:tcPr>
            <w:tcW w:w="4081" w:type="dxa"/>
            <w:vMerge/>
            <w:tcBorders>
              <w:top w:val="single" w:sz="4" w:space="0" w:color="000000"/>
              <w:left w:val="single" w:sz="4" w:space="0" w:color="000000"/>
              <w:bottom w:val="nil"/>
              <w:right w:val="single" w:sz="4" w:space="0" w:color="000000"/>
            </w:tcBorders>
            <w:vAlign w:val="center"/>
            <w:hideMark/>
          </w:tcPr>
          <w:p w14:paraId="2AC19B4B" w14:textId="77777777" w:rsidR="00831277" w:rsidRPr="00831277" w:rsidRDefault="00831277" w:rsidP="00831277">
            <w:pPr>
              <w:spacing w:before="0" w:after="0" w:line="240" w:lineRule="auto"/>
              <w:rPr>
                <w:rFonts w:ascii="Aptos Narrow" w:eastAsia="Times New Roman" w:hAnsi="Aptos Narrow"/>
                <w:color w:val="000000"/>
                <w:kern w:val="0"/>
                <w:szCs w:val="22"/>
                <w:lang w:val="en-IE" w:eastAsia="en-IE"/>
              </w:rPr>
            </w:pPr>
          </w:p>
        </w:tc>
        <w:tc>
          <w:tcPr>
            <w:tcW w:w="1821" w:type="dxa"/>
            <w:tcBorders>
              <w:top w:val="single" w:sz="4" w:space="0" w:color="000000"/>
              <w:left w:val="single" w:sz="4" w:space="0" w:color="000000"/>
              <w:bottom w:val="single" w:sz="4" w:space="0" w:color="000000"/>
              <w:right w:val="single" w:sz="4" w:space="0" w:color="000000"/>
            </w:tcBorders>
            <w:vAlign w:val="center"/>
            <w:hideMark/>
          </w:tcPr>
          <w:p w14:paraId="606F6350" w14:textId="77777777" w:rsidR="00831277" w:rsidRPr="00831277" w:rsidRDefault="00831277" w:rsidP="00831277">
            <w:pPr>
              <w:spacing w:before="0" w:after="0" w:line="240" w:lineRule="auto"/>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Outsourcing - Suspicious Transaction Reports</w:t>
            </w:r>
          </w:p>
        </w:tc>
        <w:tc>
          <w:tcPr>
            <w:tcW w:w="938" w:type="dxa"/>
            <w:tcBorders>
              <w:top w:val="single" w:sz="4" w:space="0" w:color="000000"/>
              <w:left w:val="single" w:sz="4" w:space="0" w:color="000000"/>
              <w:bottom w:val="single" w:sz="4" w:space="0" w:color="000000"/>
              <w:right w:val="single" w:sz="4" w:space="0" w:color="000000"/>
            </w:tcBorders>
            <w:vAlign w:val="center"/>
            <w:hideMark/>
          </w:tcPr>
          <w:p w14:paraId="2C41D073" w14:textId="77777777" w:rsidR="00831277" w:rsidRPr="00831277" w:rsidRDefault="00831277" w:rsidP="00831277">
            <w:pPr>
              <w:spacing w:before="0" w:after="0" w:line="240" w:lineRule="auto"/>
              <w:jc w:val="center"/>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C0050</w:t>
            </w:r>
          </w:p>
        </w:tc>
        <w:tc>
          <w:tcPr>
            <w:tcW w:w="1352" w:type="dxa"/>
            <w:tcBorders>
              <w:top w:val="single" w:sz="4" w:space="0" w:color="000000"/>
              <w:left w:val="single" w:sz="4" w:space="0" w:color="000000"/>
              <w:bottom w:val="single" w:sz="4" w:space="0" w:color="000000"/>
              <w:right w:val="single" w:sz="4" w:space="0" w:color="000000"/>
            </w:tcBorders>
            <w:shd w:val="clear" w:color="000000" w:fill="4EA72E"/>
            <w:vAlign w:val="center"/>
            <w:hideMark/>
          </w:tcPr>
          <w:p w14:paraId="73E6A431" w14:textId="77777777" w:rsidR="00831277" w:rsidRPr="00831277" w:rsidRDefault="00831277" w:rsidP="00831277">
            <w:pPr>
              <w:spacing w:before="0" w:after="0" w:line="240" w:lineRule="auto"/>
              <w:jc w:val="center"/>
              <w:rPr>
                <w:rFonts w:ascii="Aptos Narrow" w:eastAsia="Times New Roman" w:hAnsi="Aptos Narrow"/>
                <w:b/>
                <w:bCs/>
                <w:color w:val="FFFFFF"/>
                <w:kern w:val="0"/>
                <w:szCs w:val="22"/>
                <w:lang w:val="en-IE" w:eastAsia="en-IE"/>
              </w:rPr>
            </w:pPr>
            <w:r w:rsidRPr="00831277">
              <w:rPr>
                <w:rFonts w:ascii="Aptos Narrow" w:eastAsia="Times New Roman" w:hAnsi="Aptos Narrow"/>
                <w:b/>
                <w:bCs/>
                <w:color w:val="FFFFFF"/>
                <w:kern w:val="0"/>
                <w:szCs w:val="22"/>
                <w:lang w:val="en-IE" w:eastAsia="en-IE"/>
              </w:rPr>
              <w:t xml:space="preserve">AML.07.02 </w:t>
            </w:r>
          </w:p>
        </w:tc>
      </w:tr>
      <w:tr w:rsidR="00624C6F" w:rsidRPr="00831277" w14:paraId="3F619DE3" w14:textId="77777777" w:rsidTr="00624C6F">
        <w:trPr>
          <w:trHeight w:val="712"/>
        </w:trPr>
        <w:tc>
          <w:tcPr>
            <w:tcW w:w="1731" w:type="dxa"/>
            <w:vMerge/>
            <w:tcBorders>
              <w:top w:val="single" w:sz="4" w:space="0" w:color="auto"/>
              <w:left w:val="single" w:sz="4" w:space="0" w:color="auto"/>
              <w:bottom w:val="nil"/>
              <w:right w:val="nil"/>
            </w:tcBorders>
            <w:vAlign w:val="center"/>
            <w:hideMark/>
          </w:tcPr>
          <w:p w14:paraId="15DA6015" w14:textId="77777777" w:rsidR="00831277" w:rsidRPr="00831277" w:rsidRDefault="00831277" w:rsidP="00831277">
            <w:pPr>
              <w:spacing w:before="0" w:after="0" w:line="240" w:lineRule="auto"/>
              <w:rPr>
                <w:rFonts w:ascii="Aptos Narrow" w:eastAsia="Times New Roman" w:hAnsi="Aptos Narrow"/>
                <w:b/>
                <w:bCs/>
                <w:color w:val="FFFFFF"/>
                <w:kern w:val="0"/>
                <w:sz w:val="24"/>
                <w:szCs w:val="24"/>
                <w:lang w:val="en-IE" w:eastAsia="en-IE"/>
              </w:rPr>
            </w:pPr>
          </w:p>
        </w:tc>
        <w:tc>
          <w:tcPr>
            <w:tcW w:w="4081" w:type="dxa"/>
            <w:vMerge/>
            <w:tcBorders>
              <w:top w:val="single" w:sz="4" w:space="0" w:color="000000"/>
              <w:left w:val="single" w:sz="4" w:space="0" w:color="000000"/>
              <w:bottom w:val="nil"/>
              <w:right w:val="single" w:sz="4" w:space="0" w:color="000000"/>
            </w:tcBorders>
            <w:vAlign w:val="center"/>
            <w:hideMark/>
          </w:tcPr>
          <w:p w14:paraId="75A4D3C7" w14:textId="77777777" w:rsidR="00831277" w:rsidRPr="00831277" w:rsidRDefault="00831277" w:rsidP="00831277">
            <w:pPr>
              <w:spacing w:before="0" w:after="0" w:line="240" w:lineRule="auto"/>
              <w:rPr>
                <w:rFonts w:ascii="Aptos Narrow" w:eastAsia="Times New Roman" w:hAnsi="Aptos Narrow"/>
                <w:color w:val="000000"/>
                <w:kern w:val="0"/>
                <w:szCs w:val="22"/>
                <w:lang w:val="en-IE" w:eastAsia="en-IE"/>
              </w:rPr>
            </w:pPr>
          </w:p>
        </w:tc>
        <w:tc>
          <w:tcPr>
            <w:tcW w:w="1821" w:type="dxa"/>
            <w:tcBorders>
              <w:top w:val="single" w:sz="4" w:space="0" w:color="000000"/>
              <w:left w:val="single" w:sz="4" w:space="0" w:color="000000"/>
              <w:bottom w:val="single" w:sz="4" w:space="0" w:color="000000"/>
              <w:right w:val="single" w:sz="4" w:space="0" w:color="000000"/>
            </w:tcBorders>
            <w:vAlign w:val="center"/>
            <w:hideMark/>
          </w:tcPr>
          <w:p w14:paraId="4F5D6471" w14:textId="77777777" w:rsidR="00831277" w:rsidRPr="00831277" w:rsidRDefault="00831277" w:rsidP="00831277">
            <w:pPr>
              <w:spacing w:before="0" w:after="0" w:line="240" w:lineRule="auto"/>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Outsourcing - Sanctions Screening Tasks</w:t>
            </w:r>
          </w:p>
        </w:tc>
        <w:tc>
          <w:tcPr>
            <w:tcW w:w="938" w:type="dxa"/>
            <w:tcBorders>
              <w:top w:val="single" w:sz="4" w:space="0" w:color="000000"/>
              <w:left w:val="single" w:sz="4" w:space="0" w:color="000000"/>
              <w:bottom w:val="single" w:sz="4" w:space="0" w:color="000000"/>
              <w:right w:val="single" w:sz="4" w:space="0" w:color="000000"/>
            </w:tcBorders>
            <w:vAlign w:val="center"/>
            <w:hideMark/>
          </w:tcPr>
          <w:p w14:paraId="4CE3134C" w14:textId="77777777" w:rsidR="00831277" w:rsidRPr="00831277" w:rsidRDefault="00831277" w:rsidP="00831277">
            <w:pPr>
              <w:spacing w:before="0" w:after="0" w:line="240" w:lineRule="auto"/>
              <w:jc w:val="center"/>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C0060</w:t>
            </w:r>
          </w:p>
        </w:tc>
        <w:tc>
          <w:tcPr>
            <w:tcW w:w="1352" w:type="dxa"/>
            <w:tcBorders>
              <w:top w:val="single" w:sz="4" w:space="0" w:color="000000"/>
              <w:left w:val="single" w:sz="4" w:space="0" w:color="000000"/>
              <w:bottom w:val="single" w:sz="4" w:space="0" w:color="000000"/>
              <w:right w:val="single" w:sz="4" w:space="0" w:color="000000"/>
            </w:tcBorders>
            <w:shd w:val="clear" w:color="000000" w:fill="4EA72E"/>
            <w:vAlign w:val="center"/>
            <w:hideMark/>
          </w:tcPr>
          <w:p w14:paraId="3E68390E" w14:textId="77777777" w:rsidR="00831277" w:rsidRPr="00831277" w:rsidRDefault="00831277" w:rsidP="00831277">
            <w:pPr>
              <w:spacing w:before="0" w:after="0" w:line="240" w:lineRule="auto"/>
              <w:jc w:val="center"/>
              <w:rPr>
                <w:rFonts w:ascii="Aptos Narrow" w:eastAsia="Times New Roman" w:hAnsi="Aptos Narrow"/>
                <w:b/>
                <w:bCs/>
                <w:color w:val="FFFFFF"/>
                <w:kern w:val="0"/>
                <w:szCs w:val="22"/>
                <w:lang w:val="en-IE" w:eastAsia="en-IE"/>
              </w:rPr>
            </w:pPr>
            <w:r w:rsidRPr="00831277">
              <w:rPr>
                <w:rFonts w:ascii="Aptos Narrow" w:eastAsia="Times New Roman" w:hAnsi="Aptos Narrow"/>
                <w:b/>
                <w:bCs/>
                <w:color w:val="FFFFFF"/>
                <w:kern w:val="0"/>
                <w:szCs w:val="22"/>
                <w:lang w:val="en-IE" w:eastAsia="en-IE"/>
              </w:rPr>
              <w:t xml:space="preserve">AML.07.02 </w:t>
            </w:r>
          </w:p>
        </w:tc>
      </w:tr>
      <w:tr w:rsidR="00624C6F" w:rsidRPr="00831277" w14:paraId="621169B1" w14:textId="77777777" w:rsidTr="00624C6F">
        <w:trPr>
          <w:trHeight w:val="712"/>
        </w:trPr>
        <w:tc>
          <w:tcPr>
            <w:tcW w:w="1731" w:type="dxa"/>
            <w:vMerge/>
            <w:tcBorders>
              <w:top w:val="single" w:sz="4" w:space="0" w:color="auto"/>
              <w:left w:val="single" w:sz="4" w:space="0" w:color="auto"/>
              <w:bottom w:val="nil"/>
              <w:right w:val="nil"/>
            </w:tcBorders>
            <w:vAlign w:val="center"/>
            <w:hideMark/>
          </w:tcPr>
          <w:p w14:paraId="1EF2D21A" w14:textId="77777777" w:rsidR="00831277" w:rsidRPr="00831277" w:rsidRDefault="00831277" w:rsidP="00831277">
            <w:pPr>
              <w:spacing w:before="0" w:after="0" w:line="240" w:lineRule="auto"/>
              <w:rPr>
                <w:rFonts w:ascii="Aptos Narrow" w:eastAsia="Times New Roman" w:hAnsi="Aptos Narrow"/>
                <w:b/>
                <w:bCs/>
                <w:color w:val="FFFFFF"/>
                <w:kern w:val="0"/>
                <w:sz w:val="24"/>
                <w:szCs w:val="24"/>
                <w:lang w:val="en-IE" w:eastAsia="en-IE"/>
              </w:rPr>
            </w:pPr>
          </w:p>
        </w:tc>
        <w:tc>
          <w:tcPr>
            <w:tcW w:w="4081" w:type="dxa"/>
            <w:vMerge/>
            <w:tcBorders>
              <w:top w:val="single" w:sz="4" w:space="0" w:color="000000"/>
              <w:left w:val="single" w:sz="4" w:space="0" w:color="000000"/>
              <w:bottom w:val="nil"/>
              <w:right w:val="single" w:sz="4" w:space="0" w:color="000000"/>
            </w:tcBorders>
            <w:vAlign w:val="center"/>
            <w:hideMark/>
          </w:tcPr>
          <w:p w14:paraId="6472F19B" w14:textId="77777777" w:rsidR="00831277" w:rsidRPr="00831277" w:rsidRDefault="00831277" w:rsidP="00831277">
            <w:pPr>
              <w:spacing w:before="0" w:after="0" w:line="240" w:lineRule="auto"/>
              <w:rPr>
                <w:rFonts w:ascii="Aptos Narrow" w:eastAsia="Times New Roman" w:hAnsi="Aptos Narrow"/>
                <w:color w:val="000000"/>
                <w:kern w:val="0"/>
                <w:szCs w:val="22"/>
                <w:lang w:val="en-IE" w:eastAsia="en-IE"/>
              </w:rPr>
            </w:pPr>
          </w:p>
        </w:tc>
        <w:tc>
          <w:tcPr>
            <w:tcW w:w="1821" w:type="dxa"/>
            <w:tcBorders>
              <w:top w:val="single" w:sz="4" w:space="0" w:color="000000"/>
              <w:left w:val="single" w:sz="4" w:space="0" w:color="000000"/>
              <w:bottom w:val="single" w:sz="4" w:space="0" w:color="000000"/>
              <w:right w:val="single" w:sz="4" w:space="0" w:color="000000"/>
            </w:tcBorders>
            <w:vAlign w:val="center"/>
            <w:hideMark/>
          </w:tcPr>
          <w:p w14:paraId="28ABB00F" w14:textId="77777777" w:rsidR="00831277" w:rsidRPr="00831277" w:rsidRDefault="00831277" w:rsidP="00831277">
            <w:pPr>
              <w:spacing w:before="0" w:after="0" w:line="240" w:lineRule="auto"/>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Outsourcing - PEP Identification</w:t>
            </w:r>
          </w:p>
        </w:tc>
        <w:tc>
          <w:tcPr>
            <w:tcW w:w="938" w:type="dxa"/>
            <w:tcBorders>
              <w:top w:val="single" w:sz="4" w:space="0" w:color="000000"/>
              <w:left w:val="single" w:sz="4" w:space="0" w:color="000000"/>
              <w:bottom w:val="single" w:sz="4" w:space="0" w:color="000000"/>
              <w:right w:val="single" w:sz="4" w:space="0" w:color="000000"/>
            </w:tcBorders>
            <w:vAlign w:val="center"/>
            <w:hideMark/>
          </w:tcPr>
          <w:p w14:paraId="5D8E06BD" w14:textId="77777777" w:rsidR="00831277" w:rsidRPr="00831277" w:rsidRDefault="00831277" w:rsidP="00831277">
            <w:pPr>
              <w:spacing w:before="0" w:after="0" w:line="240" w:lineRule="auto"/>
              <w:jc w:val="center"/>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C0070</w:t>
            </w:r>
          </w:p>
        </w:tc>
        <w:tc>
          <w:tcPr>
            <w:tcW w:w="1352" w:type="dxa"/>
            <w:tcBorders>
              <w:top w:val="single" w:sz="4" w:space="0" w:color="000000"/>
              <w:left w:val="single" w:sz="4" w:space="0" w:color="000000"/>
              <w:bottom w:val="single" w:sz="4" w:space="0" w:color="000000"/>
              <w:right w:val="single" w:sz="4" w:space="0" w:color="000000"/>
            </w:tcBorders>
            <w:shd w:val="clear" w:color="000000" w:fill="4EA72E"/>
            <w:vAlign w:val="center"/>
            <w:hideMark/>
          </w:tcPr>
          <w:p w14:paraId="2CA571F4" w14:textId="77777777" w:rsidR="00831277" w:rsidRPr="00831277" w:rsidRDefault="00831277" w:rsidP="00831277">
            <w:pPr>
              <w:spacing w:before="0" w:after="0" w:line="240" w:lineRule="auto"/>
              <w:jc w:val="center"/>
              <w:rPr>
                <w:rFonts w:ascii="Aptos Narrow" w:eastAsia="Times New Roman" w:hAnsi="Aptos Narrow"/>
                <w:b/>
                <w:bCs/>
                <w:color w:val="FFFFFF"/>
                <w:kern w:val="0"/>
                <w:szCs w:val="22"/>
                <w:lang w:val="en-IE" w:eastAsia="en-IE"/>
              </w:rPr>
            </w:pPr>
            <w:r w:rsidRPr="00831277">
              <w:rPr>
                <w:rFonts w:ascii="Aptos Narrow" w:eastAsia="Times New Roman" w:hAnsi="Aptos Narrow"/>
                <w:b/>
                <w:bCs/>
                <w:color w:val="FFFFFF"/>
                <w:kern w:val="0"/>
                <w:szCs w:val="22"/>
                <w:lang w:val="en-IE" w:eastAsia="en-IE"/>
              </w:rPr>
              <w:t xml:space="preserve">AML.07.02 </w:t>
            </w:r>
          </w:p>
        </w:tc>
      </w:tr>
      <w:tr w:rsidR="00624C6F" w:rsidRPr="00831277" w14:paraId="109886D7" w14:textId="77777777" w:rsidTr="00624C6F">
        <w:trPr>
          <w:trHeight w:val="712"/>
        </w:trPr>
        <w:tc>
          <w:tcPr>
            <w:tcW w:w="1731" w:type="dxa"/>
            <w:vMerge/>
            <w:tcBorders>
              <w:top w:val="single" w:sz="4" w:space="0" w:color="auto"/>
              <w:left w:val="single" w:sz="4" w:space="0" w:color="auto"/>
              <w:bottom w:val="nil"/>
              <w:right w:val="nil"/>
            </w:tcBorders>
            <w:vAlign w:val="center"/>
            <w:hideMark/>
          </w:tcPr>
          <w:p w14:paraId="51109327" w14:textId="77777777" w:rsidR="00831277" w:rsidRPr="00831277" w:rsidRDefault="00831277" w:rsidP="00831277">
            <w:pPr>
              <w:spacing w:before="0" w:after="0" w:line="240" w:lineRule="auto"/>
              <w:rPr>
                <w:rFonts w:ascii="Aptos Narrow" w:eastAsia="Times New Roman" w:hAnsi="Aptos Narrow"/>
                <w:b/>
                <w:bCs/>
                <w:color w:val="FFFFFF"/>
                <w:kern w:val="0"/>
                <w:sz w:val="24"/>
                <w:szCs w:val="24"/>
                <w:lang w:val="en-IE" w:eastAsia="en-IE"/>
              </w:rPr>
            </w:pPr>
          </w:p>
        </w:tc>
        <w:tc>
          <w:tcPr>
            <w:tcW w:w="4081" w:type="dxa"/>
            <w:vMerge/>
            <w:tcBorders>
              <w:top w:val="single" w:sz="4" w:space="0" w:color="000000"/>
              <w:left w:val="single" w:sz="4" w:space="0" w:color="000000"/>
              <w:bottom w:val="nil"/>
              <w:right w:val="single" w:sz="4" w:space="0" w:color="000000"/>
            </w:tcBorders>
            <w:vAlign w:val="center"/>
            <w:hideMark/>
          </w:tcPr>
          <w:p w14:paraId="03EA0F92" w14:textId="77777777" w:rsidR="00831277" w:rsidRPr="00831277" w:rsidRDefault="00831277" w:rsidP="00831277">
            <w:pPr>
              <w:spacing w:before="0" w:after="0" w:line="240" w:lineRule="auto"/>
              <w:rPr>
                <w:rFonts w:ascii="Aptos Narrow" w:eastAsia="Times New Roman" w:hAnsi="Aptos Narrow"/>
                <w:color w:val="000000"/>
                <w:kern w:val="0"/>
                <w:szCs w:val="22"/>
                <w:lang w:val="en-IE" w:eastAsia="en-IE"/>
              </w:rPr>
            </w:pPr>
          </w:p>
        </w:tc>
        <w:tc>
          <w:tcPr>
            <w:tcW w:w="1821" w:type="dxa"/>
            <w:tcBorders>
              <w:top w:val="single" w:sz="4" w:space="0" w:color="000000"/>
              <w:left w:val="single" w:sz="4" w:space="0" w:color="000000"/>
              <w:bottom w:val="single" w:sz="4" w:space="0" w:color="000000"/>
              <w:right w:val="single" w:sz="4" w:space="0" w:color="000000"/>
            </w:tcBorders>
            <w:vAlign w:val="center"/>
            <w:hideMark/>
          </w:tcPr>
          <w:p w14:paraId="456403B2" w14:textId="77777777" w:rsidR="00831277" w:rsidRPr="00831277" w:rsidRDefault="00831277" w:rsidP="00831277">
            <w:pPr>
              <w:spacing w:before="0" w:after="0" w:line="240" w:lineRule="auto"/>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Outsourcing - Compliance Monitoring Checks</w:t>
            </w:r>
          </w:p>
        </w:tc>
        <w:tc>
          <w:tcPr>
            <w:tcW w:w="938" w:type="dxa"/>
            <w:tcBorders>
              <w:top w:val="single" w:sz="4" w:space="0" w:color="000000"/>
              <w:left w:val="single" w:sz="4" w:space="0" w:color="000000"/>
              <w:bottom w:val="single" w:sz="4" w:space="0" w:color="000000"/>
              <w:right w:val="single" w:sz="4" w:space="0" w:color="000000"/>
            </w:tcBorders>
            <w:vAlign w:val="center"/>
            <w:hideMark/>
          </w:tcPr>
          <w:p w14:paraId="28EE8B39" w14:textId="77777777" w:rsidR="00831277" w:rsidRPr="00831277" w:rsidRDefault="00831277" w:rsidP="00831277">
            <w:pPr>
              <w:spacing w:before="0" w:after="0" w:line="240" w:lineRule="auto"/>
              <w:jc w:val="center"/>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C0080</w:t>
            </w:r>
          </w:p>
        </w:tc>
        <w:tc>
          <w:tcPr>
            <w:tcW w:w="1352" w:type="dxa"/>
            <w:tcBorders>
              <w:top w:val="single" w:sz="4" w:space="0" w:color="000000"/>
              <w:left w:val="single" w:sz="4" w:space="0" w:color="000000"/>
              <w:bottom w:val="single" w:sz="4" w:space="0" w:color="000000"/>
              <w:right w:val="single" w:sz="4" w:space="0" w:color="000000"/>
            </w:tcBorders>
            <w:shd w:val="clear" w:color="000000" w:fill="4EA72E"/>
            <w:vAlign w:val="center"/>
            <w:hideMark/>
          </w:tcPr>
          <w:p w14:paraId="625FCF17" w14:textId="77777777" w:rsidR="00831277" w:rsidRPr="00831277" w:rsidRDefault="00831277" w:rsidP="00831277">
            <w:pPr>
              <w:spacing w:before="0" w:after="0" w:line="240" w:lineRule="auto"/>
              <w:jc w:val="center"/>
              <w:rPr>
                <w:rFonts w:ascii="Aptos Narrow" w:eastAsia="Times New Roman" w:hAnsi="Aptos Narrow"/>
                <w:b/>
                <w:bCs/>
                <w:color w:val="FFFFFF"/>
                <w:kern w:val="0"/>
                <w:szCs w:val="22"/>
                <w:lang w:val="en-IE" w:eastAsia="en-IE"/>
              </w:rPr>
            </w:pPr>
            <w:r w:rsidRPr="00831277">
              <w:rPr>
                <w:rFonts w:ascii="Aptos Narrow" w:eastAsia="Times New Roman" w:hAnsi="Aptos Narrow"/>
                <w:b/>
                <w:bCs/>
                <w:color w:val="FFFFFF"/>
                <w:kern w:val="0"/>
                <w:szCs w:val="22"/>
                <w:lang w:val="en-IE" w:eastAsia="en-IE"/>
              </w:rPr>
              <w:t xml:space="preserve">AML.07.02 </w:t>
            </w:r>
          </w:p>
        </w:tc>
      </w:tr>
      <w:tr w:rsidR="00624C6F" w:rsidRPr="00831277" w14:paraId="294EA3E2" w14:textId="77777777" w:rsidTr="00624C6F">
        <w:trPr>
          <w:trHeight w:val="861"/>
        </w:trPr>
        <w:tc>
          <w:tcPr>
            <w:tcW w:w="1731" w:type="dxa"/>
            <w:vMerge/>
            <w:tcBorders>
              <w:top w:val="single" w:sz="4" w:space="0" w:color="auto"/>
              <w:left w:val="single" w:sz="4" w:space="0" w:color="auto"/>
              <w:bottom w:val="nil"/>
              <w:right w:val="nil"/>
            </w:tcBorders>
            <w:vAlign w:val="center"/>
            <w:hideMark/>
          </w:tcPr>
          <w:p w14:paraId="4679A5A5" w14:textId="77777777" w:rsidR="00831277" w:rsidRPr="00831277" w:rsidRDefault="00831277" w:rsidP="00831277">
            <w:pPr>
              <w:spacing w:before="0" w:after="0" w:line="240" w:lineRule="auto"/>
              <w:rPr>
                <w:rFonts w:ascii="Aptos Narrow" w:eastAsia="Times New Roman" w:hAnsi="Aptos Narrow"/>
                <w:b/>
                <w:bCs/>
                <w:color w:val="FFFFFF"/>
                <w:kern w:val="0"/>
                <w:sz w:val="24"/>
                <w:szCs w:val="24"/>
                <w:lang w:val="en-IE" w:eastAsia="en-IE"/>
              </w:rPr>
            </w:pPr>
          </w:p>
        </w:tc>
        <w:tc>
          <w:tcPr>
            <w:tcW w:w="4081"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3D485FB" w14:textId="6A14DFF9" w:rsidR="00831277" w:rsidRPr="00831277" w:rsidRDefault="00831277" w:rsidP="00831277">
            <w:pPr>
              <w:spacing w:before="0" w:after="0" w:line="240" w:lineRule="auto"/>
              <w:rPr>
                <w:rFonts w:ascii="Aptos Narrow" w:eastAsia="Times New Roman" w:hAnsi="Aptos Narrow"/>
                <w:color w:val="000000"/>
                <w:kern w:val="0"/>
                <w:szCs w:val="22"/>
                <w:lang w:val="en-IE" w:eastAsia="en-IE"/>
              </w:rPr>
            </w:pPr>
            <w:r w:rsidRPr="00831277">
              <w:rPr>
                <w:rFonts w:ascii="Aptos Narrow" w:eastAsia="Times New Roman" w:hAnsi="Aptos Narrow"/>
                <w:color w:val="000000"/>
                <w:kern w:val="0"/>
                <w:szCs w:val="22"/>
                <w:lang w:val="en-IE" w:eastAsia="en-IE"/>
              </w:rPr>
              <w:t xml:space="preserve">AML/CFT tasks outsourced to an external service provider located in third country that is not part of the group </w:t>
            </w:r>
          </w:p>
        </w:tc>
        <w:tc>
          <w:tcPr>
            <w:tcW w:w="1821" w:type="dxa"/>
            <w:tcBorders>
              <w:top w:val="single" w:sz="4" w:space="0" w:color="000000"/>
              <w:left w:val="single" w:sz="4" w:space="0" w:color="000000"/>
              <w:bottom w:val="single" w:sz="4" w:space="0" w:color="000000"/>
              <w:right w:val="single" w:sz="4" w:space="0" w:color="000000"/>
            </w:tcBorders>
            <w:vAlign w:val="center"/>
            <w:hideMark/>
          </w:tcPr>
          <w:p w14:paraId="4B24BC42" w14:textId="77777777" w:rsidR="00831277" w:rsidRPr="00831277" w:rsidRDefault="00831277" w:rsidP="00831277">
            <w:pPr>
              <w:spacing w:before="0" w:after="0" w:line="240" w:lineRule="auto"/>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Outsourcing - Third Country (Non-group)</w:t>
            </w:r>
          </w:p>
        </w:tc>
        <w:tc>
          <w:tcPr>
            <w:tcW w:w="938" w:type="dxa"/>
            <w:tcBorders>
              <w:top w:val="single" w:sz="4" w:space="0" w:color="000000"/>
              <w:left w:val="single" w:sz="4" w:space="0" w:color="000000"/>
              <w:bottom w:val="single" w:sz="4" w:space="0" w:color="000000"/>
              <w:right w:val="single" w:sz="4" w:space="0" w:color="000000"/>
            </w:tcBorders>
            <w:vAlign w:val="center"/>
            <w:hideMark/>
          </w:tcPr>
          <w:p w14:paraId="5B571428" w14:textId="77777777" w:rsidR="00831277" w:rsidRPr="00831277" w:rsidRDefault="00831277" w:rsidP="00831277">
            <w:pPr>
              <w:spacing w:before="0" w:after="0" w:line="240" w:lineRule="auto"/>
              <w:jc w:val="center"/>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C0090</w:t>
            </w:r>
          </w:p>
        </w:tc>
        <w:tc>
          <w:tcPr>
            <w:tcW w:w="1352" w:type="dxa"/>
            <w:tcBorders>
              <w:top w:val="single" w:sz="4" w:space="0" w:color="000000"/>
              <w:left w:val="single" w:sz="4" w:space="0" w:color="000000"/>
              <w:bottom w:val="single" w:sz="4" w:space="0" w:color="000000"/>
              <w:right w:val="single" w:sz="4" w:space="0" w:color="000000"/>
            </w:tcBorders>
            <w:shd w:val="clear" w:color="000000" w:fill="4EA72E"/>
            <w:vAlign w:val="center"/>
            <w:hideMark/>
          </w:tcPr>
          <w:p w14:paraId="36AD16C0" w14:textId="77777777" w:rsidR="00831277" w:rsidRPr="00831277" w:rsidRDefault="00831277" w:rsidP="00831277">
            <w:pPr>
              <w:spacing w:before="0" w:after="0" w:line="240" w:lineRule="auto"/>
              <w:jc w:val="center"/>
              <w:rPr>
                <w:rFonts w:ascii="Aptos Narrow" w:eastAsia="Times New Roman" w:hAnsi="Aptos Narrow"/>
                <w:b/>
                <w:bCs/>
                <w:color w:val="FFFFFF"/>
                <w:kern w:val="0"/>
                <w:szCs w:val="22"/>
                <w:lang w:val="en-IE" w:eastAsia="en-IE"/>
              </w:rPr>
            </w:pPr>
            <w:r w:rsidRPr="00831277">
              <w:rPr>
                <w:rFonts w:ascii="Aptos Narrow" w:eastAsia="Times New Roman" w:hAnsi="Aptos Narrow"/>
                <w:b/>
                <w:bCs/>
                <w:color w:val="FFFFFF"/>
                <w:kern w:val="0"/>
                <w:szCs w:val="22"/>
                <w:lang w:val="en-IE" w:eastAsia="en-IE"/>
              </w:rPr>
              <w:t xml:space="preserve">AML.07.02 </w:t>
            </w:r>
          </w:p>
        </w:tc>
      </w:tr>
      <w:tr w:rsidR="00624C6F" w:rsidRPr="00831277" w14:paraId="2ACD28F8" w14:textId="77777777" w:rsidTr="00624C6F">
        <w:trPr>
          <w:trHeight w:val="564"/>
        </w:trPr>
        <w:tc>
          <w:tcPr>
            <w:tcW w:w="1731" w:type="dxa"/>
            <w:vMerge/>
            <w:tcBorders>
              <w:top w:val="single" w:sz="4" w:space="0" w:color="auto"/>
              <w:left w:val="single" w:sz="4" w:space="0" w:color="auto"/>
              <w:bottom w:val="nil"/>
              <w:right w:val="nil"/>
            </w:tcBorders>
            <w:vAlign w:val="center"/>
            <w:hideMark/>
          </w:tcPr>
          <w:p w14:paraId="48F1F0AA" w14:textId="77777777" w:rsidR="00831277" w:rsidRPr="00831277" w:rsidRDefault="00831277" w:rsidP="00831277">
            <w:pPr>
              <w:spacing w:before="0" w:after="0" w:line="240" w:lineRule="auto"/>
              <w:rPr>
                <w:rFonts w:ascii="Aptos Narrow" w:eastAsia="Times New Roman" w:hAnsi="Aptos Narrow"/>
                <w:b/>
                <w:bCs/>
                <w:color w:val="FFFFFF"/>
                <w:kern w:val="0"/>
                <w:sz w:val="24"/>
                <w:szCs w:val="24"/>
                <w:lang w:val="en-IE" w:eastAsia="en-IE"/>
              </w:rPr>
            </w:pPr>
          </w:p>
        </w:tc>
        <w:tc>
          <w:tcPr>
            <w:tcW w:w="4081"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4AA8241" w14:textId="3DE13983" w:rsidR="00831277" w:rsidRPr="00831277" w:rsidRDefault="00831277" w:rsidP="00831277">
            <w:pPr>
              <w:spacing w:before="0" w:after="0" w:line="240" w:lineRule="auto"/>
              <w:rPr>
                <w:rFonts w:ascii="Aptos Narrow" w:eastAsia="Times New Roman" w:hAnsi="Aptos Narrow"/>
                <w:color w:val="000000"/>
                <w:kern w:val="0"/>
                <w:szCs w:val="22"/>
                <w:lang w:val="en-IE" w:eastAsia="en-IE"/>
              </w:rPr>
            </w:pPr>
            <w:r w:rsidRPr="00831277">
              <w:rPr>
                <w:rFonts w:ascii="Aptos Narrow" w:eastAsia="Times New Roman" w:hAnsi="Aptos Narrow"/>
                <w:color w:val="000000"/>
                <w:kern w:val="0"/>
                <w:szCs w:val="22"/>
                <w:lang w:val="en-IE" w:eastAsia="en-IE"/>
              </w:rPr>
              <w:t xml:space="preserve">Existence of AML/CFT tasks outsourced to an external service provider located in third country that is part of the group </w:t>
            </w:r>
          </w:p>
        </w:tc>
        <w:tc>
          <w:tcPr>
            <w:tcW w:w="1821" w:type="dxa"/>
            <w:tcBorders>
              <w:top w:val="single" w:sz="4" w:space="0" w:color="000000"/>
              <w:left w:val="single" w:sz="4" w:space="0" w:color="000000"/>
              <w:bottom w:val="single" w:sz="4" w:space="0" w:color="000000"/>
              <w:right w:val="single" w:sz="4" w:space="0" w:color="000000"/>
            </w:tcBorders>
            <w:vAlign w:val="center"/>
            <w:hideMark/>
          </w:tcPr>
          <w:p w14:paraId="1C539896" w14:textId="77777777" w:rsidR="00831277" w:rsidRPr="00831277" w:rsidRDefault="00831277" w:rsidP="00831277">
            <w:pPr>
              <w:spacing w:before="0" w:after="0" w:line="240" w:lineRule="auto"/>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Outsourcing - Third Country (Intra-group)</w:t>
            </w:r>
          </w:p>
        </w:tc>
        <w:tc>
          <w:tcPr>
            <w:tcW w:w="938" w:type="dxa"/>
            <w:tcBorders>
              <w:top w:val="single" w:sz="4" w:space="0" w:color="000000"/>
              <w:left w:val="single" w:sz="4" w:space="0" w:color="000000"/>
              <w:bottom w:val="single" w:sz="4" w:space="0" w:color="000000"/>
              <w:right w:val="single" w:sz="4" w:space="0" w:color="000000"/>
            </w:tcBorders>
            <w:vAlign w:val="center"/>
            <w:hideMark/>
          </w:tcPr>
          <w:p w14:paraId="4E1162F8" w14:textId="77777777" w:rsidR="00831277" w:rsidRPr="00831277" w:rsidRDefault="00831277" w:rsidP="00831277">
            <w:pPr>
              <w:spacing w:before="0" w:after="0" w:line="240" w:lineRule="auto"/>
              <w:jc w:val="center"/>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C0100</w:t>
            </w:r>
          </w:p>
        </w:tc>
        <w:tc>
          <w:tcPr>
            <w:tcW w:w="1352" w:type="dxa"/>
            <w:tcBorders>
              <w:top w:val="single" w:sz="4" w:space="0" w:color="000000"/>
              <w:left w:val="single" w:sz="4" w:space="0" w:color="000000"/>
              <w:bottom w:val="single" w:sz="4" w:space="0" w:color="000000"/>
              <w:right w:val="single" w:sz="4" w:space="0" w:color="000000"/>
            </w:tcBorders>
            <w:shd w:val="clear" w:color="000000" w:fill="4EA72E"/>
            <w:vAlign w:val="center"/>
            <w:hideMark/>
          </w:tcPr>
          <w:p w14:paraId="0C0EB1F1" w14:textId="77777777" w:rsidR="00831277" w:rsidRPr="00831277" w:rsidRDefault="00831277" w:rsidP="00831277">
            <w:pPr>
              <w:spacing w:before="0" w:after="0" w:line="240" w:lineRule="auto"/>
              <w:jc w:val="center"/>
              <w:rPr>
                <w:rFonts w:ascii="Aptos Narrow" w:eastAsia="Times New Roman" w:hAnsi="Aptos Narrow"/>
                <w:b/>
                <w:bCs/>
                <w:color w:val="FFFFFF"/>
                <w:kern w:val="0"/>
                <w:szCs w:val="22"/>
                <w:lang w:val="en-IE" w:eastAsia="en-IE"/>
              </w:rPr>
            </w:pPr>
            <w:r w:rsidRPr="00831277">
              <w:rPr>
                <w:rFonts w:ascii="Aptos Narrow" w:eastAsia="Times New Roman" w:hAnsi="Aptos Narrow"/>
                <w:b/>
                <w:bCs/>
                <w:color w:val="FFFFFF"/>
                <w:kern w:val="0"/>
                <w:szCs w:val="22"/>
                <w:lang w:val="en-IE" w:eastAsia="en-IE"/>
              </w:rPr>
              <w:t xml:space="preserve">AML.07.02 </w:t>
            </w:r>
          </w:p>
        </w:tc>
      </w:tr>
      <w:tr w:rsidR="00624C6F" w:rsidRPr="00831277" w14:paraId="61B93D7A" w14:textId="77777777" w:rsidTr="00624C6F">
        <w:trPr>
          <w:trHeight w:val="564"/>
        </w:trPr>
        <w:tc>
          <w:tcPr>
            <w:tcW w:w="1731" w:type="dxa"/>
            <w:vMerge/>
            <w:tcBorders>
              <w:top w:val="single" w:sz="4" w:space="0" w:color="auto"/>
              <w:left w:val="single" w:sz="4" w:space="0" w:color="auto"/>
              <w:bottom w:val="nil"/>
              <w:right w:val="nil"/>
            </w:tcBorders>
            <w:vAlign w:val="center"/>
            <w:hideMark/>
          </w:tcPr>
          <w:p w14:paraId="1BA97156" w14:textId="77777777" w:rsidR="00831277" w:rsidRPr="00831277" w:rsidRDefault="00831277" w:rsidP="00831277">
            <w:pPr>
              <w:spacing w:before="0" w:after="0" w:line="240" w:lineRule="auto"/>
              <w:rPr>
                <w:rFonts w:ascii="Aptos Narrow" w:eastAsia="Times New Roman" w:hAnsi="Aptos Narrow"/>
                <w:b/>
                <w:bCs/>
                <w:color w:val="FFFFFF"/>
                <w:kern w:val="0"/>
                <w:sz w:val="24"/>
                <w:szCs w:val="24"/>
                <w:lang w:val="en-IE" w:eastAsia="en-IE"/>
              </w:rPr>
            </w:pPr>
          </w:p>
        </w:tc>
        <w:tc>
          <w:tcPr>
            <w:tcW w:w="4081" w:type="dxa"/>
            <w:vMerge w:val="restart"/>
            <w:tcBorders>
              <w:top w:val="single" w:sz="4" w:space="0" w:color="000000"/>
              <w:left w:val="single" w:sz="4" w:space="0" w:color="000000"/>
              <w:bottom w:val="nil"/>
              <w:right w:val="single" w:sz="4" w:space="0" w:color="000000"/>
            </w:tcBorders>
            <w:hideMark/>
          </w:tcPr>
          <w:p w14:paraId="4E6DAF68" w14:textId="77777777" w:rsidR="00831277" w:rsidRPr="00831277" w:rsidRDefault="00831277" w:rsidP="00831277">
            <w:pPr>
              <w:spacing w:before="0" w:after="0" w:line="240" w:lineRule="auto"/>
              <w:rPr>
                <w:rFonts w:ascii="Calibri" w:eastAsia="Times New Roman" w:hAnsi="Calibri" w:cs="Calibri"/>
                <w:color w:val="000000"/>
                <w:kern w:val="0"/>
                <w:szCs w:val="22"/>
                <w:lang w:val="en-IE" w:eastAsia="en-IE"/>
              </w:rPr>
            </w:pPr>
            <w:r w:rsidRPr="00831277">
              <w:rPr>
                <w:rFonts w:ascii="Calibri" w:eastAsia="Times New Roman" w:hAnsi="Calibri" w:cs="Calibri"/>
                <w:color w:val="000000"/>
                <w:kern w:val="0"/>
                <w:szCs w:val="22"/>
                <w:lang w:val="en-IE" w:eastAsia="en-IE"/>
              </w:rPr>
              <w:t>Dates when the AML/CFT obligations/ controls were last assessed by an internal/external audit:</w:t>
            </w:r>
            <w:r w:rsidRPr="00831277">
              <w:rPr>
                <w:rFonts w:ascii="Calibri" w:eastAsia="Times New Roman" w:hAnsi="Calibri" w:cs="Calibri"/>
                <w:color w:val="000000"/>
                <w:kern w:val="0"/>
                <w:szCs w:val="22"/>
                <w:lang w:val="en-IE" w:eastAsia="en-IE"/>
              </w:rPr>
              <w:br/>
              <w:t>a. BWRA</w:t>
            </w:r>
            <w:r w:rsidRPr="00831277">
              <w:rPr>
                <w:rFonts w:ascii="Calibri" w:eastAsia="Times New Roman" w:hAnsi="Calibri" w:cs="Calibri"/>
                <w:color w:val="000000"/>
                <w:kern w:val="0"/>
                <w:szCs w:val="22"/>
                <w:lang w:val="en-IE" w:eastAsia="en-IE"/>
              </w:rPr>
              <w:br/>
              <w:t>b. determination of ML/TF risk profile of customers in a business relationship</w:t>
            </w:r>
            <w:r w:rsidRPr="00831277">
              <w:rPr>
                <w:rFonts w:ascii="Calibri" w:eastAsia="Times New Roman" w:hAnsi="Calibri" w:cs="Calibri"/>
                <w:color w:val="000000"/>
                <w:kern w:val="0"/>
                <w:szCs w:val="22"/>
                <w:lang w:val="en-IE" w:eastAsia="en-IE"/>
              </w:rPr>
              <w:br/>
              <w:t>c. AML/CFT-related awareness-raising and staff training measures</w:t>
            </w:r>
            <w:r w:rsidRPr="00831277">
              <w:rPr>
                <w:rFonts w:ascii="Calibri" w:eastAsia="Times New Roman" w:hAnsi="Calibri" w:cs="Calibri"/>
                <w:color w:val="000000"/>
                <w:kern w:val="0"/>
                <w:szCs w:val="22"/>
                <w:lang w:val="en-IE" w:eastAsia="en-IE"/>
              </w:rPr>
              <w:br/>
              <w:t>d. Identification and identity verification procedures</w:t>
            </w:r>
            <w:r w:rsidRPr="00831277">
              <w:rPr>
                <w:rFonts w:ascii="Calibri" w:eastAsia="Times New Roman" w:hAnsi="Calibri" w:cs="Calibri"/>
                <w:color w:val="000000"/>
                <w:kern w:val="0"/>
                <w:szCs w:val="22"/>
                <w:lang w:val="en-IE" w:eastAsia="en-IE"/>
              </w:rPr>
              <w:br/>
              <w:t>e. Policies and procedures for monitoring and analysing business relationships, including transaction monitoring</w:t>
            </w:r>
            <w:r w:rsidRPr="00831277">
              <w:rPr>
                <w:rFonts w:ascii="Calibri" w:eastAsia="Times New Roman" w:hAnsi="Calibri" w:cs="Calibri"/>
                <w:color w:val="000000"/>
                <w:kern w:val="0"/>
                <w:szCs w:val="22"/>
                <w:lang w:val="en-IE" w:eastAsia="en-IE"/>
              </w:rPr>
              <w:br/>
              <w:t>f. Policies and procedures for suspicious transaction reporting</w:t>
            </w:r>
            <w:r w:rsidRPr="00831277">
              <w:rPr>
                <w:rFonts w:ascii="Calibri" w:eastAsia="Times New Roman" w:hAnsi="Calibri" w:cs="Calibri"/>
                <w:color w:val="000000"/>
                <w:kern w:val="0"/>
                <w:szCs w:val="22"/>
                <w:lang w:val="en-IE" w:eastAsia="en-IE"/>
              </w:rPr>
              <w:br/>
              <w:t>g. Record keeping policies and procedures</w:t>
            </w:r>
            <w:r w:rsidRPr="00831277">
              <w:rPr>
                <w:rFonts w:ascii="Calibri" w:eastAsia="Times New Roman" w:hAnsi="Calibri" w:cs="Calibri"/>
                <w:color w:val="000000"/>
                <w:kern w:val="0"/>
                <w:szCs w:val="22"/>
                <w:lang w:val="en-IE" w:eastAsia="en-IE"/>
              </w:rPr>
              <w:br/>
              <w:t>h. Resources dedicated to AML/CFT</w:t>
            </w:r>
            <w:r w:rsidRPr="00831277">
              <w:rPr>
                <w:rFonts w:ascii="Calibri" w:eastAsia="Times New Roman" w:hAnsi="Calibri" w:cs="Calibri"/>
                <w:color w:val="000000"/>
                <w:kern w:val="0"/>
                <w:szCs w:val="22"/>
                <w:lang w:val="en-IE" w:eastAsia="en-IE"/>
              </w:rPr>
              <w:br/>
              <w:t>i. Organisation of the AML/CFT system, governance and reporting to management bodies.</w:t>
            </w:r>
          </w:p>
        </w:tc>
        <w:tc>
          <w:tcPr>
            <w:tcW w:w="1821" w:type="dxa"/>
            <w:tcBorders>
              <w:top w:val="single" w:sz="4" w:space="0" w:color="000000"/>
              <w:left w:val="single" w:sz="4" w:space="0" w:color="000000"/>
              <w:bottom w:val="single" w:sz="4" w:space="0" w:color="000000"/>
              <w:right w:val="single" w:sz="4" w:space="0" w:color="000000"/>
            </w:tcBorders>
            <w:vAlign w:val="center"/>
            <w:hideMark/>
          </w:tcPr>
          <w:p w14:paraId="60EF0757" w14:textId="77777777" w:rsidR="00831277" w:rsidRPr="00831277" w:rsidRDefault="00831277" w:rsidP="00831277">
            <w:pPr>
              <w:spacing w:before="0" w:after="0" w:line="240" w:lineRule="auto"/>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Last Audit - BWRA</w:t>
            </w:r>
          </w:p>
        </w:tc>
        <w:tc>
          <w:tcPr>
            <w:tcW w:w="938" w:type="dxa"/>
            <w:tcBorders>
              <w:top w:val="single" w:sz="4" w:space="0" w:color="000000"/>
              <w:left w:val="single" w:sz="4" w:space="0" w:color="000000"/>
              <w:bottom w:val="single" w:sz="4" w:space="0" w:color="000000"/>
              <w:right w:val="single" w:sz="4" w:space="0" w:color="000000"/>
            </w:tcBorders>
            <w:vAlign w:val="center"/>
            <w:hideMark/>
          </w:tcPr>
          <w:p w14:paraId="4CF97749" w14:textId="77777777" w:rsidR="00831277" w:rsidRPr="00831277" w:rsidRDefault="00831277" w:rsidP="00831277">
            <w:pPr>
              <w:spacing w:before="0" w:after="0" w:line="240" w:lineRule="auto"/>
              <w:jc w:val="center"/>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C0110</w:t>
            </w:r>
          </w:p>
        </w:tc>
        <w:tc>
          <w:tcPr>
            <w:tcW w:w="1352" w:type="dxa"/>
            <w:tcBorders>
              <w:top w:val="single" w:sz="4" w:space="0" w:color="000000"/>
              <w:left w:val="single" w:sz="4" w:space="0" w:color="000000"/>
              <w:bottom w:val="single" w:sz="4" w:space="0" w:color="000000"/>
              <w:right w:val="single" w:sz="4" w:space="0" w:color="000000"/>
            </w:tcBorders>
            <w:shd w:val="clear" w:color="000000" w:fill="4EA72E"/>
            <w:vAlign w:val="center"/>
            <w:hideMark/>
          </w:tcPr>
          <w:p w14:paraId="19620DD4" w14:textId="77777777" w:rsidR="00831277" w:rsidRPr="00831277" w:rsidRDefault="00831277" w:rsidP="00831277">
            <w:pPr>
              <w:spacing w:before="0" w:after="0" w:line="240" w:lineRule="auto"/>
              <w:jc w:val="center"/>
              <w:rPr>
                <w:rFonts w:ascii="Aptos Narrow" w:eastAsia="Times New Roman" w:hAnsi="Aptos Narrow"/>
                <w:b/>
                <w:bCs/>
                <w:color w:val="FFFFFF"/>
                <w:kern w:val="0"/>
                <w:szCs w:val="22"/>
                <w:lang w:val="en-IE" w:eastAsia="en-IE"/>
              </w:rPr>
            </w:pPr>
            <w:r w:rsidRPr="00831277">
              <w:rPr>
                <w:rFonts w:ascii="Aptos Narrow" w:eastAsia="Times New Roman" w:hAnsi="Aptos Narrow"/>
                <w:b/>
                <w:bCs/>
                <w:color w:val="FFFFFF"/>
                <w:kern w:val="0"/>
                <w:szCs w:val="22"/>
                <w:lang w:val="en-IE" w:eastAsia="en-IE"/>
              </w:rPr>
              <w:t xml:space="preserve">AML.07.02 </w:t>
            </w:r>
          </w:p>
        </w:tc>
      </w:tr>
      <w:tr w:rsidR="00624C6F" w:rsidRPr="00831277" w14:paraId="3A8D5644" w14:textId="77777777" w:rsidTr="00624C6F">
        <w:trPr>
          <w:trHeight w:val="564"/>
        </w:trPr>
        <w:tc>
          <w:tcPr>
            <w:tcW w:w="1731" w:type="dxa"/>
            <w:vMerge/>
            <w:tcBorders>
              <w:top w:val="single" w:sz="4" w:space="0" w:color="auto"/>
              <w:left w:val="single" w:sz="4" w:space="0" w:color="auto"/>
              <w:bottom w:val="nil"/>
              <w:right w:val="nil"/>
            </w:tcBorders>
            <w:vAlign w:val="center"/>
            <w:hideMark/>
          </w:tcPr>
          <w:p w14:paraId="1A786BC1" w14:textId="77777777" w:rsidR="00831277" w:rsidRPr="00831277" w:rsidRDefault="00831277" w:rsidP="00831277">
            <w:pPr>
              <w:spacing w:before="0" w:after="0" w:line="240" w:lineRule="auto"/>
              <w:rPr>
                <w:rFonts w:ascii="Aptos Narrow" w:eastAsia="Times New Roman" w:hAnsi="Aptos Narrow"/>
                <w:b/>
                <w:bCs/>
                <w:color w:val="FFFFFF"/>
                <w:kern w:val="0"/>
                <w:sz w:val="24"/>
                <w:szCs w:val="24"/>
                <w:lang w:val="en-IE" w:eastAsia="en-IE"/>
              </w:rPr>
            </w:pPr>
          </w:p>
        </w:tc>
        <w:tc>
          <w:tcPr>
            <w:tcW w:w="4081" w:type="dxa"/>
            <w:vMerge/>
            <w:tcBorders>
              <w:top w:val="single" w:sz="4" w:space="0" w:color="000000"/>
              <w:left w:val="single" w:sz="4" w:space="0" w:color="000000"/>
              <w:bottom w:val="nil"/>
              <w:right w:val="single" w:sz="4" w:space="0" w:color="000000"/>
            </w:tcBorders>
            <w:vAlign w:val="center"/>
            <w:hideMark/>
          </w:tcPr>
          <w:p w14:paraId="18CA9D50" w14:textId="77777777" w:rsidR="00831277" w:rsidRPr="00831277" w:rsidRDefault="00831277" w:rsidP="00831277">
            <w:pPr>
              <w:spacing w:before="0" w:after="0" w:line="240" w:lineRule="auto"/>
              <w:rPr>
                <w:rFonts w:ascii="Calibri" w:eastAsia="Times New Roman" w:hAnsi="Calibri" w:cs="Calibri"/>
                <w:color w:val="000000"/>
                <w:kern w:val="0"/>
                <w:szCs w:val="22"/>
                <w:lang w:val="en-IE" w:eastAsia="en-IE"/>
              </w:rPr>
            </w:pPr>
          </w:p>
        </w:tc>
        <w:tc>
          <w:tcPr>
            <w:tcW w:w="1821" w:type="dxa"/>
            <w:tcBorders>
              <w:top w:val="single" w:sz="4" w:space="0" w:color="000000"/>
              <w:left w:val="single" w:sz="4" w:space="0" w:color="000000"/>
              <w:bottom w:val="single" w:sz="4" w:space="0" w:color="000000"/>
              <w:right w:val="single" w:sz="4" w:space="0" w:color="000000"/>
            </w:tcBorders>
            <w:vAlign w:val="center"/>
            <w:hideMark/>
          </w:tcPr>
          <w:p w14:paraId="3001C381" w14:textId="77777777" w:rsidR="00831277" w:rsidRPr="00831277" w:rsidRDefault="00831277" w:rsidP="00831277">
            <w:pPr>
              <w:spacing w:before="0" w:after="0" w:line="240" w:lineRule="auto"/>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Last Audit - Customers ML/TF Risk Profile</w:t>
            </w:r>
          </w:p>
        </w:tc>
        <w:tc>
          <w:tcPr>
            <w:tcW w:w="938" w:type="dxa"/>
            <w:tcBorders>
              <w:top w:val="single" w:sz="4" w:space="0" w:color="000000"/>
              <w:left w:val="single" w:sz="4" w:space="0" w:color="000000"/>
              <w:bottom w:val="single" w:sz="4" w:space="0" w:color="000000"/>
              <w:right w:val="single" w:sz="4" w:space="0" w:color="000000"/>
            </w:tcBorders>
            <w:vAlign w:val="center"/>
            <w:hideMark/>
          </w:tcPr>
          <w:p w14:paraId="4EB6039B" w14:textId="77777777" w:rsidR="00831277" w:rsidRPr="00831277" w:rsidRDefault="00831277" w:rsidP="00831277">
            <w:pPr>
              <w:spacing w:before="0" w:after="0" w:line="240" w:lineRule="auto"/>
              <w:jc w:val="center"/>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C0120</w:t>
            </w:r>
          </w:p>
        </w:tc>
        <w:tc>
          <w:tcPr>
            <w:tcW w:w="1352" w:type="dxa"/>
            <w:tcBorders>
              <w:top w:val="single" w:sz="4" w:space="0" w:color="000000"/>
              <w:left w:val="single" w:sz="4" w:space="0" w:color="000000"/>
              <w:bottom w:val="single" w:sz="4" w:space="0" w:color="000000"/>
              <w:right w:val="single" w:sz="4" w:space="0" w:color="000000"/>
            </w:tcBorders>
            <w:shd w:val="clear" w:color="000000" w:fill="4EA72E"/>
            <w:vAlign w:val="center"/>
            <w:hideMark/>
          </w:tcPr>
          <w:p w14:paraId="37B51FAF" w14:textId="77777777" w:rsidR="00831277" w:rsidRPr="00831277" w:rsidRDefault="00831277" w:rsidP="00831277">
            <w:pPr>
              <w:spacing w:before="0" w:after="0" w:line="240" w:lineRule="auto"/>
              <w:jc w:val="center"/>
              <w:rPr>
                <w:rFonts w:ascii="Aptos Narrow" w:eastAsia="Times New Roman" w:hAnsi="Aptos Narrow"/>
                <w:b/>
                <w:bCs/>
                <w:color w:val="FFFFFF"/>
                <w:kern w:val="0"/>
                <w:szCs w:val="22"/>
                <w:lang w:val="en-IE" w:eastAsia="en-IE"/>
              </w:rPr>
            </w:pPr>
            <w:r w:rsidRPr="00831277">
              <w:rPr>
                <w:rFonts w:ascii="Aptos Narrow" w:eastAsia="Times New Roman" w:hAnsi="Aptos Narrow"/>
                <w:b/>
                <w:bCs/>
                <w:color w:val="FFFFFF"/>
                <w:kern w:val="0"/>
                <w:szCs w:val="22"/>
                <w:lang w:val="en-IE" w:eastAsia="en-IE"/>
              </w:rPr>
              <w:t xml:space="preserve">AML.07.02 </w:t>
            </w:r>
          </w:p>
        </w:tc>
      </w:tr>
      <w:tr w:rsidR="00624C6F" w:rsidRPr="00831277" w14:paraId="20BF184A" w14:textId="77777777" w:rsidTr="00624C6F">
        <w:trPr>
          <w:trHeight w:val="564"/>
        </w:trPr>
        <w:tc>
          <w:tcPr>
            <w:tcW w:w="1731" w:type="dxa"/>
            <w:vMerge/>
            <w:tcBorders>
              <w:top w:val="single" w:sz="4" w:space="0" w:color="auto"/>
              <w:left w:val="single" w:sz="4" w:space="0" w:color="auto"/>
              <w:bottom w:val="nil"/>
              <w:right w:val="nil"/>
            </w:tcBorders>
            <w:vAlign w:val="center"/>
            <w:hideMark/>
          </w:tcPr>
          <w:p w14:paraId="5B333270" w14:textId="77777777" w:rsidR="00831277" w:rsidRPr="00831277" w:rsidRDefault="00831277" w:rsidP="00831277">
            <w:pPr>
              <w:spacing w:before="0" w:after="0" w:line="240" w:lineRule="auto"/>
              <w:rPr>
                <w:rFonts w:ascii="Aptos Narrow" w:eastAsia="Times New Roman" w:hAnsi="Aptos Narrow"/>
                <w:b/>
                <w:bCs/>
                <w:color w:val="FFFFFF"/>
                <w:kern w:val="0"/>
                <w:sz w:val="24"/>
                <w:szCs w:val="24"/>
                <w:lang w:val="en-IE" w:eastAsia="en-IE"/>
              </w:rPr>
            </w:pPr>
          </w:p>
        </w:tc>
        <w:tc>
          <w:tcPr>
            <w:tcW w:w="4081" w:type="dxa"/>
            <w:vMerge/>
            <w:tcBorders>
              <w:top w:val="single" w:sz="4" w:space="0" w:color="000000"/>
              <w:left w:val="single" w:sz="4" w:space="0" w:color="000000"/>
              <w:bottom w:val="nil"/>
              <w:right w:val="single" w:sz="4" w:space="0" w:color="000000"/>
            </w:tcBorders>
            <w:vAlign w:val="center"/>
            <w:hideMark/>
          </w:tcPr>
          <w:p w14:paraId="5622D451" w14:textId="77777777" w:rsidR="00831277" w:rsidRPr="00831277" w:rsidRDefault="00831277" w:rsidP="00831277">
            <w:pPr>
              <w:spacing w:before="0" w:after="0" w:line="240" w:lineRule="auto"/>
              <w:rPr>
                <w:rFonts w:ascii="Calibri" w:eastAsia="Times New Roman" w:hAnsi="Calibri" w:cs="Calibri"/>
                <w:color w:val="000000"/>
                <w:kern w:val="0"/>
                <w:szCs w:val="22"/>
                <w:lang w:val="en-IE" w:eastAsia="en-IE"/>
              </w:rPr>
            </w:pPr>
          </w:p>
        </w:tc>
        <w:tc>
          <w:tcPr>
            <w:tcW w:w="1821" w:type="dxa"/>
            <w:tcBorders>
              <w:top w:val="single" w:sz="4" w:space="0" w:color="000000"/>
              <w:left w:val="single" w:sz="4" w:space="0" w:color="000000"/>
              <w:bottom w:val="single" w:sz="4" w:space="0" w:color="000000"/>
              <w:right w:val="single" w:sz="4" w:space="0" w:color="000000"/>
            </w:tcBorders>
            <w:vAlign w:val="center"/>
            <w:hideMark/>
          </w:tcPr>
          <w:p w14:paraId="11381B45" w14:textId="77777777" w:rsidR="00831277" w:rsidRPr="00831277" w:rsidRDefault="00831277" w:rsidP="00831277">
            <w:pPr>
              <w:spacing w:before="0" w:after="0" w:line="240" w:lineRule="auto"/>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Last Audit – assessment AML/CFT Training measures</w:t>
            </w:r>
          </w:p>
        </w:tc>
        <w:tc>
          <w:tcPr>
            <w:tcW w:w="938" w:type="dxa"/>
            <w:tcBorders>
              <w:top w:val="single" w:sz="4" w:space="0" w:color="000000"/>
              <w:left w:val="single" w:sz="4" w:space="0" w:color="000000"/>
              <w:bottom w:val="single" w:sz="4" w:space="0" w:color="000000"/>
              <w:right w:val="single" w:sz="4" w:space="0" w:color="000000"/>
            </w:tcBorders>
            <w:vAlign w:val="center"/>
            <w:hideMark/>
          </w:tcPr>
          <w:p w14:paraId="307AD280" w14:textId="77777777" w:rsidR="00831277" w:rsidRPr="00831277" w:rsidRDefault="00831277" w:rsidP="00831277">
            <w:pPr>
              <w:spacing w:before="0" w:after="0" w:line="240" w:lineRule="auto"/>
              <w:jc w:val="center"/>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C0130</w:t>
            </w:r>
          </w:p>
        </w:tc>
        <w:tc>
          <w:tcPr>
            <w:tcW w:w="1352" w:type="dxa"/>
            <w:tcBorders>
              <w:top w:val="single" w:sz="4" w:space="0" w:color="000000"/>
              <w:left w:val="single" w:sz="4" w:space="0" w:color="000000"/>
              <w:bottom w:val="single" w:sz="4" w:space="0" w:color="000000"/>
              <w:right w:val="single" w:sz="4" w:space="0" w:color="000000"/>
            </w:tcBorders>
            <w:shd w:val="clear" w:color="000000" w:fill="4EA72E"/>
            <w:vAlign w:val="center"/>
            <w:hideMark/>
          </w:tcPr>
          <w:p w14:paraId="72EA4752" w14:textId="77777777" w:rsidR="00831277" w:rsidRPr="00831277" w:rsidRDefault="00831277" w:rsidP="00831277">
            <w:pPr>
              <w:spacing w:before="0" w:after="0" w:line="240" w:lineRule="auto"/>
              <w:jc w:val="center"/>
              <w:rPr>
                <w:rFonts w:ascii="Aptos Narrow" w:eastAsia="Times New Roman" w:hAnsi="Aptos Narrow"/>
                <w:b/>
                <w:bCs/>
                <w:color w:val="FFFFFF"/>
                <w:kern w:val="0"/>
                <w:szCs w:val="22"/>
                <w:lang w:val="en-IE" w:eastAsia="en-IE"/>
              </w:rPr>
            </w:pPr>
            <w:r w:rsidRPr="00831277">
              <w:rPr>
                <w:rFonts w:ascii="Aptos Narrow" w:eastAsia="Times New Roman" w:hAnsi="Aptos Narrow"/>
                <w:b/>
                <w:bCs/>
                <w:color w:val="FFFFFF"/>
                <w:kern w:val="0"/>
                <w:szCs w:val="22"/>
                <w:lang w:val="en-IE" w:eastAsia="en-IE"/>
              </w:rPr>
              <w:t xml:space="preserve">AML.07.02 </w:t>
            </w:r>
          </w:p>
        </w:tc>
      </w:tr>
      <w:tr w:rsidR="00624C6F" w:rsidRPr="00831277" w14:paraId="5F77BEC0" w14:textId="77777777" w:rsidTr="00624C6F">
        <w:trPr>
          <w:trHeight w:val="564"/>
        </w:trPr>
        <w:tc>
          <w:tcPr>
            <w:tcW w:w="1731" w:type="dxa"/>
            <w:vMerge/>
            <w:tcBorders>
              <w:top w:val="single" w:sz="4" w:space="0" w:color="auto"/>
              <w:left w:val="single" w:sz="4" w:space="0" w:color="auto"/>
              <w:bottom w:val="nil"/>
              <w:right w:val="nil"/>
            </w:tcBorders>
            <w:vAlign w:val="center"/>
            <w:hideMark/>
          </w:tcPr>
          <w:p w14:paraId="5E13A054" w14:textId="77777777" w:rsidR="00831277" w:rsidRPr="00831277" w:rsidRDefault="00831277" w:rsidP="00831277">
            <w:pPr>
              <w:spacing w:before="0" w:after="0" w:line="240" w:lineRule="auto"/>
              <w:rPr>
                <w:rFonts w:ascii="Aptos Narrow" w:eastAsia="Times New Roman" w:hAnsi="Aptos Narrow"/>
                <w:b/>
                <w:bCs/>
                <w:color w:val="FFFFFF"/>
                <w:kern w:val="0"/>
                <w:sz w:val="24"/>
                <w:szCs w:val="24"/>
                <w:lang w:val="en-IE" w:eastAsia="en-IE"/>
              </w:rPr>
            </w:pPr>
          </w:p>
        </w:tc>
        <w:tc>
          <w:tcPr>
            <w:tcW w:w="4081" w:type="dxa"/>
            <w:vMerge/>
            <w:tcBorders>
              <w:top w:val="single" w:sz="4" w:space="0" w:color="000000"/>
              <w:left w:val="single" w:sz="4" w:space="0" w:color="000000"/>
              <w:bottom w:val="nil"/>
              <w:right w:val="single" w:sz="4" w:space="0" w:color="000000"/>
            </w:tcBorders>
            <w:vAlign w:val="center"/>
            <w:hideMark/>
          </w:tcPr>
          <w:p w14:paraId="31FAA15D" w14:textId="77777777" w:rsidR="00831277" w:rsidRPr="00831277" w:rsidRDefault="00831277" w:rsidP="00831277">
            <w:pPr>
              <w:spacing w:before="0" w:after="0" w:line="240" w:lineRule="auto"/>
              <w:rPr>
                <w:rFonts w:ascii="Calibri" w:eastAsia="Times New Roman" w:hAnsi="Calibri" w:cs="Calibri"/>
                <w:color w:val="000000"/>
                <w:kern w:val="0"/>
                <w:szCs w:val="22"/>
                <w:lang w:val="en-IE" w:eastAsia="en-IE"/>
              </w:rPr>
            </w:pPr>
          </w:p>
        </w:tc>
        <w:tc>
          <w:tcPr>
            <w:tcW w:w="1821" w:type="dxa"/>
            <w:tcBorders>
              <w:top w:val="single" w:sz="4" w:space="0" w:color="000000"/>
              <w:left w:val="single" w:sz="4" w:space="0" w:color="000000"/>
              <w:bottom w:val="single" w:sz="4" w:space="0" w:color="000000"/>
              <w:right w:val="single" w:sz="4" w:space="0" w:color="000000"/>
            </w:tcBorders>
            <w:vAlign w:val="center"/>
            <w:hideMark/>
          </w:tcPr>
          <w:p w14:paraId="770D475F" w14:textId="77777777" w:rsidR="00831277" w:rsidRPr="00831277" w:rsidRDefault="00831277" w:rsidP="00831277">
            <w:pPr>
              <w:spacing w:before="0" w:after="0" w:line="240" w:lineRule="auto"/>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Last Audit - Identification and Verification Procedures</w:t>
            </w:r>
          </w:p>
        </w:tc>
        <w:tc>
          <w:tcPr>
            <w:tcW w:w="938" w:type="dxa"/>
            <w:tcBorders>
              <w:top w:val="single" w:sz="4" w:space="0" w:color="000000"/>
              <w:left w:val="single" w:sz="4" w:space="0" w:color="000000"/>
              <w:bottom w:val="single" w:sz="4" w:space="0" w:color="000000"/>
              <w:right w:val="single" w:sz="4" w:space="0" w:color="000000"/>
            </w:tcBorders>
            <w:vAlign w:val="center"/>
            <w:hideMark/>
          </w:tcPr>
          <w:p w14:paraId="5377F881" w14:textId="77777777" w:rsidR="00831277" w:rsidRPr="00831277" w:rsidRDefault="00831277" w:rsidP="00831277">
            <w:pPr>
              <w:spacing w:before="0" w:after="0" w:line="240" w:lineRule="auto"/>
              <w:jc w:val="center"/>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C0140</w:t>
            </w:r>
          </w:p>
        </w:tc>
        <w:tc>
          <w:tcPr>
            <w:tcW w:w="1352" w:type="dxa"/>
            <w:tcBorders>
              <w:top w:val="single" w:sz="4" w:space="0" w:color="000000"/>
              <w:left w:val="single" w:sz="4" w:space="0" w:color="000000"/>
              <w:bottom w:val="single" w:sz="4" w:space="0" w:color="000000"/>
              <w:right w:val="single" w:sz="4" w:space="0" w:color="000000"/>
            </w:tcBorders>
            <w:shd w:val="clear" w:color="000000" w:fill="4EA72E"/>
            <w:vAlign w:val="center"/>
            <w:hideMark/>
          </w:tcPr>
          <w:p w14:paraId="3C854368" w14:textId="77777777" w:rsidR="00831277" w:rsidRPr="00831277" w:rsidRDefault="00831277" w:rsidP="00831277">
            <w:pPr>
              <w:spacing w:before="0" w:after="0" w:line="240" w:lineRule="auto"/>
              <w:jc w:val="center"/>
              <w:rPr>
                <w:rFonts w:ascii="Aptos Narrow" w:eastAsia="Times New Roman" w:hAnsi="Aptos Narrow"/>
                <w:b/>
                <w:bCs/>
                <w:color w:val="FFFFFF"/>
                <w:kern w:val="0"/>
                <w:szCs w:val="22"/>
                <w:lang w:val="en-IE" w:eastAsia="en-IE"/>
              </w:rPr>
            </w:pPr>
            <w:r w:rsidRPr="00831277">
              <w:rPr>
                <w:rFonts w:ascii="Aptos Narrow" w:eastAsia="Times New Roman" w:hAnsi="Aptos Narrow"/>
                <w:b/>
                <w:bCs/>
                <w:color w:val="FFFFFF"/>
                <w:kern w:val="0"/>
                <w:szCs w:val="22"/>
                <w:lang w:val="en-IE" w:eastAsia="en-IE"/>
              </w:rPr>
              <w:t xml:space="preserve">AML.07.02 </w:t>
            </w:r>
          </w:p>
        </w:tc>
      </w:tr>
      <w:tr w:rsidR="00624C6F" w:rsidRPr="00831277" w14:paraId="38FECD8E" w14:textId="77777777" w:rsidTr="00624C6F">
        <w:trPr>
          <w:trHeight w:val="564"/>
        </w:trPr>
        <w:tc>
          <w:tcPr>
            <w:tcW w:w="1731" w:type="dxa"/>
            <w:vMerge/>
            <w:tcBorders>
              <w:top w:val="single" w:sz="4" w:space="0" w:color="auto"/>
              <w:left w:val="single" w:sz="4" w:space="0" w:color="auto"/>
              <w:bottom w:val="nil"/>
              <w:right w:val="nil"/>
            </w:tcBorders>
            <w:vAlign w:val="center"/>
            <w:hideMark/>
          </w:tcPr>
          <w:p w14:paraId="0FDDC104" w14:textId="77777777" w:rsidR="00831277" w:rsidRPr="00831277" w:rsidRDefault="00831277" w:rsidP="00831277">
            <w:pPr>
              <w:spacing w:before="0" w:after="0" w:line="240" w:lineRule="auto"/>
              <w:rPr>
                <w:rFonts w:ascii="Aptos Narrow" w:eastAsia="Times New Roman" w:hAnsi="Aptos Narrow"/>
                <w:b/>
                <w:bCs/>
                <w:color w:val="FFFFFF"/>
                <w:kern w:val="0"/>
                <w:sz w:val="24"/>
                <w:szCs w:val="24"/>
                <w:lang w:val="en-IE" w:eastAsia="en-IE"/>
              </w:rPr>
            </w:pPr>
          </w:p>
        </w:tc>
        <w:tc>
          <w:tcPr>
            <w:tcW w:w="4081" w:type="dxa"/>
            <w:vMerge/>
            <w:tcBorders>
              <w:top w:val="single" w:sz="4" w:space="0" w:color="000000"/>
              <w:left w:val="single" w:sz="4" w:space="0" w:color="000000"/>
              <w:bottom w:val="nil"/>
              <w:right w:val="single" w:sz="4" w:space="0" w:color="000000"/>
            </w:tcBorders>
            <w:vAlign w:val="center"/>
            <w:hideMark/>
          </w:tcPr>
          <w:p w14:paraId="49427432" w14:textId="77777777" w:rsidR="00831277" w:rsidRPr="00831277" w:rsidRDefault="00831277" w:rsidP="00831277">
            <w:pPr>
              <w:spacing w:before="0" w:after="0" w:line="240" w:lineRule="auto"/>
              <w:rPr>
                <w:rFonts w:ascii="Calibri" w:eastAsia="Times New Roman" w:hAnsi="Calibri" w:cs="Calibri"/>
                <w:color w:val="000000"/>
                <w:kern w:val="0"/>
                <w:szCs w:val="22"/>
                <w:lang w:val="en-IE" w:eastAsia="en-IE"/>
              </w:rPr>
            </w:pPr>
          </w:p>
        </w:tc>
        <w:tc>
          <w:tcPr>
            <w:tcW w:w="1821" w:type="dxa"/>
            <w:tcBorders>
              <w:top w:val="single" w:sz="4" w:space="0" w:color="000000"/>
              <w:left w:val="single" w:sz="4" w:space="0" w:color="000000"/>
              <w:bottom w:val="single" w:sz="4" w:space="0" w:color="000000"/>
              <w:right w:val="single" w:sz="4" w:space="0" w:color="000000"/>
            </w:tcBorders>
            <w:vAlign w:val="center"/>
            <w:hideMark/>
          </w:tcPr>
          <w:p w14:paraId="15706F6B" w14:textId="77777777" w:rsidR="00831277" w:rsidRPr="00831277" w:rsidRDefault="00831277" w:rsidP="00831277">
            <w:pPr>
              <w:spacing w:before="0" w:after="0" w:line="240" w:lineRule="auto"/>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Last Audit - Policies and Procedures for Monitoring and Analysing Business Relationships</w:t>
            </w:r>
          </w:p>
        </w:tc>
        <w:tc>
          <w:tcPr>
            <w:tcW w:w="938" w:type="dxa"/>
            <w:tcBorders>
              <w:top w:val="single" w:sz="4" w:space="0" w:color="000000"/>
              <w:left w:val="single" w:sz="4" w:space="0" w:color="000000"/>
              <w:bottom w:val="single" w:sz="4" w:space="0" w:color="000000"/>
              <w:right w:val="single" w:sz="4" w:space="0" w:color="000000"/>
            </w:tcBorders>
            <w:vAlign w:val="center"/>
            <w:hideMark/>
          </w:tcPr>
          <w:p w14:paraId="156F19C4" w14:textId="77777777" w:rsidR="00831277" w:rsidRPr="00831277" w:rsidRDefault="00831277" w:rsidP="00831277">
            <w:pPr>
              <w:spacing w:before="0" w:after="0" w:line="240" w:lineRule="auto"/>
              <w:jc w:val="center"/>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C0150</w:t>
            </w:r>
          </w:p>
        </w:tc>
        <w:tc>
          <w:tcPr>
            <w:tcW w:w="1352" w:type="dxa"/>
            <w:tcBorders>
              <w:top w:val="single" w:sz="4" w:space="0" w:color="000000"/>
              <w:left w:val="single" w:sz="4" w:space="0" w:color="000000"/>
              <w:bottom w:val="single" w:sz="4" w:space="0" w:color="000000"/>
              <w:right w:val="single" w:sz="4" w:space="0" w:color="000000"/>
            </w:tcBorders>
            <w:shd w:val="clear" w:color="000000" w:fill="4EA72E"/>
            <w:vAlign w:val="center"/>
            <w:hideMark/>
          </w:tcPr>
          <w:p w14:paraId="623C2907" w14:textId="77777777" w:rsidR="00831277" w:rsidRPr="00831277" w:rsidRDefault="00831277" w:rsidP="00831277">
            <w:pPr>
              <w:spacing w:before="0" w:after="0" w:line="240" w:lineRule="auto"/>
              <w:jc w:val="center"/>
              <w:rPr>
                <w:rFonts w:ascii="Aptos Narrow" w:eastAsia="Times New Roman" w:hAnsi="Aptos Narrow"/>
                <w:b/>
                <w:bCs/>
                <w:color w:val="FFFFFF"/>
                <w:kern w:val="0"/>
                <w:szCs w:val="22"/>
                <w:lang w:val="en-IE" w:eastAsia="en-IE"/>
              </w:rPr>
            </w:pPr>
            <w:r w:rsidRPr="00831277">
              <w:rPr>
                <w:rFonts w:ascii="Aptos Narrow" w:eastAsia="Times New Roman" w:hAnsi="Aptos Narrow"/>
                <w:b/>
                <w:bCs/>
                <w:color w:val="FFFFFF"/>
                <w:kern w:val="0"/>
                <w:szCs w:val="22"/>
                <w:lang w:val="en-IE" w:eastAsia="en-IE"/>
              </w:rPr>
              <w:t xml:space="preserve">AML.07.02 </w:t>
            </w:r>
          </w:p>
        </w:tc>
      </w:tr>
      <w:tr w:rsidR="00624C6F" w:rsidRPr="00831277" w14:paraId="7538494B" w14:textId="77777777" w:rsidTr="00624C6F">
        <w:trPr>
          <w:trHeight w:val="564"/>
        </w:trPr>
        <w:tc>
          <w:tcPr>
            <w:tcW w:w="1731" w:type="dxa"/>
            <w:vMerge/>
            <w:tcBorders>
              <w:top w:val="single" w:sz="4" w:space="0" w:color="auto"/>
              <w:left w:val="single" w:sz="4" w:space="0" w:color="auto"/>
              <w:bottom w:val="nil"/>
              <w:right w:val="nil"/>
            </w:tcBorders>
            <w:vAlign w:val="center"/>
            <w:hideMark/>
          </w:tcPr>
          <w:p w14:paraId="22209C86" w14:textId="77777777" w:rsidR="00831277" w:rsidRPr="00831277" w:rsidRDefault="00831277" w:rsidP="00831277">
            <w:pPr>
              <w:spacing w:before="0" w:after="0" w:line="240" w:lineRule="auto"/>
              <w:rPr>
                <w:rFonts w:ascii="Aptos Narrow" w:eastAsia="Times New Roman" w:hAnsi="Aptos Narrow"/>
                <w:b/>
                <w:bCs/>
                <w:color w:val="FFFFFF"/>
                <w:kern w:val="0"/>
                <w:sz w:val="24"/>
                <w:szCs w:val="24"/>
                <w:lang w:val="en-IE" w:eastAsia="en-IE"/>
              </w:rPr>
            </w:pPr>
          </w:p>
        </w:tc>
        <w:tc>
          <w:tcPr>
            <w:tcW w:w="4081" w:type="dxa"/>
            <w:vMerge/>
            <w:tcBorders>
              <w:top w:val="single" w:sz="4" w:space="0" w:color="000000"/>
              <w:left w:val="single" w:sz="4" w:space="0" w:color="000000"/>
              <w:bottom w:val="nil"/>
              <w:right w:val="single" w:sz="4" w:space="0" w:color="000000"/>
            </w:tcBorders>
            <w:vAlign w:val="center"/>
            <w:hideMark/>
          </w:tcPr>
          <w:p w14:paraId="582195A6" w14:textId="77777777" w:rsidR="00831277" w:rsidRPr="00831277" w:rsidRDefault="00831277" w:rsidP="00831277">
            <w:pPr>
              <w:spacing w:before="0" w:after="0" w:line="240" w:lineRule="auto"/>
              <w:rPr>
                <w:rFonts w:ascii="Calibri" w:eastAsia="Times New Roman" w:hAnsi="Calibri" w:cs="Calibri"/>
                <w:color w:val="000000"/>
                <w:kern w:val="0"/>
                <w:szCs w:val="22"/>
                <w:lang w:val="en-IE" w:eastAsia="en-IE"/>
              </w:rPr>
            </w:pPr>
          </w:p>
        </w:tc>
        <w:tc>
          <w:tcPr>
            <w:tcW w:w="1821" w:type="dxa"/>
            <w:tcBorders>
              <w:top w:val="single" w:sz="4" w:space="0" w:color="000000"/>
              <w:left w:val="single" w:sz="4" w:space="0" w:color="000000"/>
              <w:bottom w:val="single" w:sz="4" w:space="0" w:color="000000"/>
              <w:right w:val="single" w:sz="4" w:space="0" w:color="000000"/>
            </w:tcBorders>
            <w:vAlign w:val="center"/>
            <w:hideMark/>
          </w:tcPr>
          <w:p w14:paraId="1B76DA66" w14:textId="77777777" w:rsidR="00831277" w:rsidRPr="00831277" w:rsidRDefault="00831277" w:rsidP="00831277">
            <w:pPr>
              <w:spacing w:before="0" w:after="0" w:line="240" w:lineRule="auto"/>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Last Audit - Suspicious Transaction Reporting Procedures</w:t>
            </w:r>
          </w:p>
        </w:tc>
        <w:tc>
          <w:tcPr>
            <w:tcW w:w="938" w:type="dxa"/>
            <w:tcBorders>
              <w:top w:val="single" w:sz="4" w:space="0" w:color="000000"/>
              <w:left w:val="single" w:sz="4" w:space="0" w:color="000000"/>
              <w:bottom w:val="single" w:sz="4" w:space="0" w:color="000000"/>
              <w:right w:val="single" w:sz="4" w:space="0" w:color="000000"/>
            </w:tcBorders>
            <w:vAlign w:val="center"/>
            <w:hideMark/>
          </w:tcPr>
          <w:p w14:paraId="39A52D68" w14:textId="77777777" w:rsidR="00831277" w:rsidRPr="00831277" w:rsidRDefault="00831277" w:rsidP="00831277">
            <w:pPr>
              <w:spacing w:before="0" w:after="0" w:line="240" w:lineRule="auto"/>
              <w:jc w:val="center"/>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C0160</w:t>
            </w:r>
          </w:p>
        </w:tc>
        <w:tc>
          <w:tcPr>
            <w:tcW w:w="1352" w:type="dxa"/>
            <w:tcBorders>
              <w:top w:val="single" w:sz="4" w:space="0" w:color="000000"/>
              <w:left w:val="single" w:sz="4" w:space="0" w:color="000000"/>
              <w:bottom w:val="single" w:sz="4" w:space="0" w:color="000000"/>
              <w:right w:val="single" w:sz="4" w:space="0" w:color="000000"/>
            </w:tcBorders>
            <w:shd w:val="clear" w:color="000000" w:fill="4EA72E"/>
            <w:vAlign w:val="center"/>
            <w:hideMark/>
          </w:tcPr>
          <w:p w14:paraId="10CBCB05" w14:textId="77777777" w:rsidR="00831277" w:rsidRPr="00831277" w:rsidRDefault="00831277" w:rsidP="00831277">
            <w:pPr>
              <w:spacing w:before="0" w:after="0" w:line="240" w:lineRule="auto"/>
              <w:jc w:val="center"/>
              <w:rPr>
                <w:rFonts w:ascii="Aptos Narrow" w:eastAsia="Times New Roman" w:hAnsi="Aptos Narrow"/>
                <w:b/>
                <w:bCs/>
                <w:color w:val="FFFFFF"/>
                <w:kern w:val="0"/>
                <w:szCs w:val="22"/>
                <w:lang w:val="en-IE" w:eastAsia="en-IE"/>
              </w:rPr>
            </w:pPr>
            <w:r w:rsidRPr="00831277">
              <w:rPr>
                <w:rFonts w:ascii="Aptos Narrow" w:eastAsia="Times New Roman" w:hAnsi="Aptos Narrow"/>
                <w:b/>
                <w:bCs/>
                <w:color w:val="FFFFFF"/>
                <w:kern w:val="0"/>
                <w:szCs w:val="22"/>
                <w:lang w:val="en-IE" w:eastAsia="en-IE"/>
              </w:rPr>
              <w:t xml:space="preserve">AML.07.02 </w:t>
            </w:r>
          </w:p>
        </w:tc>
      </w:tr>
      <w:tr w:rsidR="00624C6F" w:rsidRPr="00831277" w14:paraId="4CAA083A" w14:textId="77777777" w:rsidTr="00624C6F">
        <w:trPr>
          <w:trHeight w:val="564"/>
        </w:trPr>
        <w:tc>
          <w:tcPr>
            <w:tcW w:w="1731" w:type="dxa"/>
            <w:vMerge/>
            <w:tcBorders>
              <w:top w:val="single" w:sz="4" w:space="0" w:color="auto"/>
              <w:left w:val="single" w:sz="4" w:space="0" w:color="auto"/>
              <w:bottom w:val="nil"/>
              <w:right w:val="nil"/>
            </w:tcBorders>
            <w:vAlign w:val="center"/>
            <w:hideMark/>
          </w:tcPr>
          <w:p w14:paraId="0B60B138" w14:textId="77777777" w:rsidR="00831277" w:rsidRPr="00831277" w:rsidRDefault="00831277" w:rsidP="00831277">
            <w:pPr>
              <w:spacing w:before="0" w:after="0" w:line="240" w:lineRule="auto"/>
              <w:rPr>
                <w:rFonts w:ascii="Aptos Narrow" w:eastAsia="Times New Roman" w:hAnsi="Aptos Narrow"/>
                <w:b/>
                <w:bCs/>
                <w:color w:val="FFFFFF"/>
                <w:kern w:val="0"/>
                <w:sz w:val="24"/>
                <w:szCs w:val="24"/>
                <w:lang w:val="en-IE" w:eastAsia="en-IE"/>
              </w:rPr>
            </w:pPr>
          </w:p>
        </w:tc>
        <w:tc>
          <w:tcPr>
            <w:tcW w:w="4081" w:type="dxa"/>
            <w:vMerge/>
            <w:tcBorders>
              <w:top w:val="single" w:sz="4" w:space="0" w:color="000000"/>
              <w:left w:val="single" w:sz="4" w:space="0" w:color="000000"/>
              <w:bottom w:val="nil"/>
              <w:right w:val="single" w:sz="4" w:space="0" w:color="000000"/>
            </w:tcBorders>
            <w:vAlign w:val="center"/>
            <w:hideMark/>
          </w:tcPr>
          <w:p w14:paraId="177B6546" w14:textId="77777777" w:rsidR="00831277" w:rsidRPr="00831277" w:rsidRDefault="00831277" w:rsidP="00831277">
            <w:pPr>
              <w:spacing w:before="0" w:after="0" w:line="240" w:lineRule="auto"/>
              <w:rPr>
                <w:rFonts w:ascii="Calibri" w:eastAsia="Times New Roman" w:hAnsi="Calibri" w:cs="Calibri"/>
                <w:color w:val="000000"/>
                <w:kern w:val="0"/>
                <w:szCs w:val="22"/>
                <w:lang w:val="en-IE" w:eastAsia="en-IE"/>
              </w:rPr>
            </w:pPr>
          </w:p>
        </w:tc>
        <w:tc>
          <w:tcPr>
            <w:tcW w:w="1821" w:type="dxa"/>
            <w:tcBorders>
              <w:top w:val="single" w:sz="4" w:space="0" w:color="000000"/>
              <w:left w:val="single" w:sz="4" w:space="0" w:color="000000"/>
              <w:bottom w:val="single" w:sz="4" w:space="0" w:color="000000"/>
              <w:right w:val="single" w:sz="4" w:space="0" w:color="000000"/>
            </w:tcBorders>
            <w:vAlign w:val="center"/>
            <w:hideMark/>
          </w:tcPr>
          <w:p w14:paraId="73E8DD2F" w14:textId="77777777" w:rsidR="00831277" w:rsidRPr="00831277" w:rsidRDefault="00831277" w:rsidP="00831277">
            <w:pPr>
              <w:spacing w:before="0" w:after="0" w:line="240" w:lineRule="auto"/>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Last Audit - Record-keeping Policies and Procedures</w:t>
            </w:r>
          </w:p>
        </w:tc>
        <w:tc>
          <w:tcPr>
            <w:tcW w:w="938" w:type="dxa"/>
            <w:tcBorders>
              <w:top w:val="single" w:sz="4" w:space="0" w:color="000000"/>
              <w:left w:val="single" w:sz="4" w:space="0" w:color="000000"/>
              <w:bottom w:val="single" w:sz="4" w:space="0" w:color="000000"/>
              <w:right w:val="single" w:sz="4" w:space="0" w:color="000000"/>
            </w:tcBorders>
            <w:vAlign w:val="center"/>
            <w:hideMark/>
          </w:tcPr>
          <w:p w14:paraId="477A3B1A" w14:textId="77777777" w:rsidR="00831277" w:rsidRPr="00831277" w:rsidRDefault="00831277" w:rsidP="00831277">
            <w:pPr>
              <w:spacing w:before="0" w:after="0" w:line="240" w:lineRule="auto"/>
              <w:jc w:val="center"/>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C0170</w:t>
            </w:r>
          </w:p>
        </w:tc>
        <w:tc>
          <w:tcPr>
            <w:tcW w:w="1352" w:type="dxa"/>
            <w:tcBorders>
              <w:top w:val="single" w:sz="4" w:space="0" w:color="000000"/>
              <w:left w:val="single" w:sz="4" w:space="0" w:color="000000"/>
              <w:bottom w:val="single" w:sz="4" w:space="0" w:color="000000"/>
              <w:right w:val="single" w:sz="4" w:space="0" w:color="000000"/>
            </w:tcBorders>
            <w:shd w:val="clear" w:color="000000" w:fill="4EA72E"/>
            <w:vAlign w:val="center"/>
            <w:hideMark/>
          </w:tcPr>
          <w:p w14:paraId="373A24FE" w14:textId="77777777" w:rsidR="00831277" w:rsidRPr="00831277" w:rsidRDefault="00831277" w:rsidP="00831277">
            <w:pPr>
              <w:spacing w:before="0" w:after="0" w:line="240" w:lineRule="auto"/>
              <w:jc w:val="center"/>
              <w:rPr>
                <w:rFonts w:ascii="Aptos Narrow" w:eastAsia="Times New Roman" w:hAnsi="Aptos Narrow"/>
                <w:b/>
                <w:bCs/>
                <w:color w:val="FFFFFF"/>
                <w:kern w:val="0"/>
                <w:szCs w:val="22"/>
                <w:lang w:val="en-IE" w:eastAsia="en-IE"/>
              </w:rPr>
            </w:pPr>
            <w:r w:rsidRPr="00831277">
              <w:rPr>
                <w:rFonts w:ascii="Aptos Narrow" w:eastAsia="Times New Roman" w:hAnsi="Aptos Narrow"/>
                <w:b/>
                <w:bCs/>
                <w:color w:val="FFFFFF"/>
                <w:kern w:val="0"/>
                <w:szCs w:val="22"/>
                <w:lang w:val="en-IE" w:eastAsia="en-IE"/>
              </w:rPr>
              <w:t xml:space="preserve">AML.07.02 </w:t>
            </w:r>
          </w:p>
        </w:tc>
      </w:tr>
      <w:tr w:rsidR="00624C6F" w:rsidRPr="00831277" w14:paraId="4FE6BDEE" w14:textId="77777777" w:rsidTr="00624C6F">
        <w:trPr>
          <w:trHeight w:val="564"/>
        </w:trPr>
        <w:tc>
          <w:tcPr>
            <w:tcW w:w="1731" w:type="dxa"/>
            <w:vMerge/>
            <w:tcBorders>
              <w:top w:val="single" w:sz="4" w:space="0" w:color="auto"/>
              <w:left w:val="single" w:sz="4" w:space="0" w:color="auto"/>
              <w:bottom w:val="nil"/>
              <w:right w:val="nil"/>
            </w:tcBorders>
            <w:vAlign w:val="center"/>
            <w:hideMark/>
          </w:tcPr>
          <w:p w14:paraId="320A7EC0" w14:textId="77777777" w:rsidR="00831277" w:rsidRPr="00831277" w:rsidRDefault="00831277" w:rsidP="00831277">
            <w:pPr>
              <w:spacing w:before="0" w:after="0" w:line="240" w:lineRule="auto"/>
              <w:rPr>
                <w:rFonts w:ascii="Aptos Narrow" w:eastAsia="Times New Roman" w:hAnsi="Aptos Narrow"/>
                <w:b/>
                <w:bCs/>
                <w:color w:val="FFFFFF"/>
                <w:kern w:val="0"/>
                <w:sz w:val="24"/>
                <w:szCs w:val="24"/>
                <w:lang w:val="en-IE" w:eastAsia="en-IE"/>
              </w:rPr>
            </w:pPr>
          </w:p>
        </w:tc>
        <w:tc>
          <w:tcPr>
            <w:tcW w:w="4081" w:type="dxa"/>
            <w:vMerge/>
            <w:tcBorders>
              <w:top w:val="single" w:sz="4" w:space="0" w:color="000000"/>
              <w:left w:val="single" w:sz="4" w:space="0" w:color="000000"/>
              <w:bottom w:val="nil"/>
              <w:right w:val="single" w:sz="4" w:space="0" w:color="000000"/>
            </w:tcBorders>
            <w:vAlign w:val="center"/>
            <w:hideMark/>
          </w:tcPr>
          <w:p w14:paraId="57AD51E2" w14:textId="77777777" w:rsidR="00831277" w:rsidRPr="00831277" w:rsidRDefault="00831277" w:rsidP="00831277">
            <w:pPr>
              <w:spacing w:before="0" w:after="0" w:line="240" w:lineRule="auto"/>
              <w:rPr>
                <w:rFonts w:ascii="Calibri" w:eastAsia="Times New Roman" w:hAnsi="Calibri" w:cs="Calibri"/>
                <w:color w:val="000000"/>
                <w:kern w:val="0"/>
                <w:szCs w:val="22"/>
                <w:lang w:val="en-IE" w:eastAsia="en-IE"/>
              </w:rPr>
            </w:pPr>
          </w:p>
        </w:tc>
        <w:tc>
          <w:tcPr>
            <w:tcW w:w="1821" w:type="dxa"/>
            <w:tcBorders>
              <w:top w:val="single" w:sz="4" w:space="0" w:color="000000"/>
              <w:left w:val="single" w:sz="4" w:space="0" w:color="000000"/>
              <w:bottom w:val="single" w:sz="4" w:space="0" w:color="000000"/>
              <w:right w:val="single" w:sz="4" w:space="0" w:color="000000"/>
            </w:tcBorders>
            <w:vAlign w:val="center"/>
            <w:hideMark/>
          </w:tcPr>
          <w:p w14:paraId="2F2B258B" w14:textId="77777777" w:rsidR="00831277" w:rsidRPr="00831277" w:rsidRDefault="00831277" w:rsidP="00831277">
            <w:pPr>
              <w:spacing w:before="0" w:after="0" w:line="240" w:lineRule="auto"/>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Last Audit - Resources dedicated to AML/CFT</w:t>
            </w:r>
          </w:p>
        </w:tc>
        <w:tc>
          <w:tcPr>
            <w:tcW w:w="938" w:type="dxa"/>
            <w:tcBorders>
              <w:top w:val="single" w:sz="4" w:space="0" w:color="000000"/>
              <w:left w:val="single" w:sz="4" w:space="0" w:color="000000"/>
              <w:bottom w:val="single" w:sz="4" w:space="0" w:color="000000"/>
              <w:right w:val="single" w:sz="4" w:space="0" w:color="000000"/>
            </w:tcBorders>
            <w:vAlign w:val="center"/>
            <w:hideMark/>
          </w:tcPr>
          <w:p w14:paraId="254C0231" w14:textId="77777777" w:rsidR="00831277" w:rsidRPr="00831277" w:rsidRDefault="00831277" w:rsidP="00831277">
            <w:pPr>
              <w:spacing w:before="0" w:after="0" w:line="240" w:lineRule="auto"/>
              <w:jc w:val="center"/>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C0180</w:t>
            </w:r>
          </w:p>
        </w:tc>
        <w:tc>
          <w:tcPr>
            <w:tcW w:w="1352" w:type="dxa"/>
            <w:tcBorders>
              <w:top w:val="single" w:sz="4" w:space="0" w:color="000000"/>
              <w:left w:val="single" w:sz="4" w:space="0" w:color="000000"/>
              <w:bottom w:val="single" w:sz="4" w:space="0" w:color="000000"/>
              <w:right w:val="single" w:sz="4" w:space="0" w:color="000000"/>
            </w:tcBorders>
            <w:shd w:val="clear" w:color="000000" w:fill="4EA72E"/>
            <w:vAlign w:val="center"/>
            <w:hideMark/>
          </w:tcPr>
          <w:p w14:paraId="6FFCCA38" w14:textId="77777777" w:rsidR="00831277" w:rsidRPr="00831277" w:rsidRDefault="00831277" w:rsidP="00831277">
            <w:pPr>
              <w:spacing w:before="0" w:after="0" w:line="240" w:lineRule="auto"/>
              <w:jc w:val="center"/>
              <w:rPr>
                <w:rFonts w:ascii="Aptos Narrow" w:eastAsia="Times New Roman" w:hAnsi="Aptos Narrow"/>
                <w:b/>
                <w:bCs/>
                <w:color w:val="FFFFFF"/>
                <w:kern w:val="0"/>
                <w:szCs w:val="22"/>
                <w:lang w:val="en-IE" w:eastAsia="en-IE"/>
              </w:rPr>
            </w:pPr>
            <w:r w:rsidRPr="00831277">
              <w:rPr>
                <w:rFonts w:ascii="Aptos Narrow" w:eastAsia="Times New Roman" w:hAnsi="Aptos Narrow"/>
                <w:b/>
                <w:bCs/>
                <w:color w:val="FFFFFF"/>
                <w:kern w:val="0"/>
                <w:szCs w:val="22"/>
                <w:lang w:val="en-IE" w:eastAsia="en-IE"/>
              </w:rPr>
              <w:t xml:space="preserve">AML.07.02 </w:t>
            </w:r>
          </w:p>
        </w:tc>
      </w:tr>
      <w:tr w:rsidR="00624C6F" w:rsidRPr="00831277" w14:paraId="6717DA3A" w14:textId="77777777" w:rsidTr="00624C6F">
        <w:trPr>
          <w:trHeight w:val="594"/>
        </w:trPr>
        <w:tc>
          <w:tcPr>
            <w:tcW w:w="1731" w:type="dxa"/>
            <w:vMerge/>
            <w:tcBorders>
              <w:top w:val="single" w:sz="4" w:space="0" w:color="auto"/>
              <w:left w:val="single" w:sz="4" w:space="0" w:color="auto"/>
              <w:bottom w:val="nil"/>
              <w:right w:val="nil"/>
            </w:tcBorders>
            <w:vAlign w:val="center"/>
            <w:hideMark/>
          </w:tcPr>
          <w:p w14:paraId="62112967" w14:textId="77777777" w:rsidR="00831277" w:rsidRPr="00831277" w:rsidRDefault="00831277" w:rsidP="00831277">
            <w:pPr>
              <w:spacing w:before="0" w:after="0" w:line="240" w:lineRule="auto"/>
              <w:rPr>
                <w:rFonts w:ascii="Aptos Narrow" w:eastAsia="Times New Roman" w:hAnsi="Aptos Narrow"/>
                <w:b/>
                <w:bCs/>
                <w:color w:val="FFFFFF"/>
                <w:kern w:val="0"/>
                <w:sz w:val="24"/>
                <w:szCs w:val="24"/>
                <w:lang w:val="en-IE" w:eastAsia="en-IE"/>
              </w:rPr>
            </w:pPr>
          </w:p>
        </w:tc>
        <w:tc>
          <w:tcPr>
            <w:tcW w:w="4081" w:type="dxa"/>
            <w:vMerge/>
            <w:tcBorders>
              <w:top w:val="single" w:sz="4" w:space="0" w:color="000000"/>
              <w:left w:val="single" w:sz="4" w:space="0" w:color="000000"/>
              <w:bottom w:val="nil"/>
              <w:right w:val="single" w:sz="4" w:space="0" w:color="000000"/>
            </w:tcBorders>
            <w:vAlign w:val="center"/>
            <w:hideMark/>
          </w:tcPr>
          <w:p w14:paraId="476E3B5F" w14:textId="77777777" w:rsidR="00831277" w:rsidRPr="00831277" w:rsidRDefault="00831277" w:rsidP="00831277">
            <w:pPr>
              <w:spacing w:before="0" w:after="0" w:line="240" w:lineRule="auto"/>
              <w:rPr>
                <w:rFonts w:ascii="Calibri" w:eastAsia="Times New Roman" w:hAnsi="Calibri" w:cs="Calibri"/>
                <w:color w:val="000000"/>
                <w:kern w:val="0"/>
                <w:szCs w:val="22"/>
                <w:lang w:val="en-IE" w:eastAsia="en-IE"/>
              </w:rPr>
            </w:pPr>
          </w:p>
        </w:tc>
        <w:tc>
          <w:tcPr>
            <w:tcW w:w="1821" w:type="dxa"/>
            <w:tcBorders>
              <w:top w:val="single" w:sz="4" w:space="0" w:color="000000"/>
              <w:left w:val="single" w:sz="4" w:space="0" w:color="000000"/>
              <w:bottom w:val="single" w:sz="4" w:space="0" w:color="000000"/>
              <w:right w:val="single" w:sz="4" w:space="0" w:color="000000"/>
            </w:tcBorders>
            <w:vAlign w:val="center"/>
            <w:hideMark/>
          </w:tcPr>
          <w:p w14:paraId="6AE87504" w14:textId="77777777" w:rsidR="00831277" w:rsidRPr="00831277" w:rsidRDefault="00831277" w:rsidP="00831277">
            <w:pPr>
              <w:spacing w:before="0" w:after="0" w:line="240" w:lineRule="auto"/>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Last Audit - Organisation of the AML/CFT System, Governance and Reporting Arrangements</w:t>
            </w:r>
          </w:p>
        </w:tc>
        <w:tc>
          <w:tcPr>
            <w:tcW w:w="938" w:type="dxa"/>
            <w:tcBorders>
              <w:top w:val="single" w:sz="4" w:space="0" w:color="000000"/>
              <w:left w:val="single" w:sz="4" w:space="0" w:color="000000"/>
              <w:bottom w:val="single" w:sz="4" w:space="0" w:color="000000"/>
              <w:right w:val="single" w:sz="4" w:space="0" w:color="000000"/>
            </w:tcBorders>
            <w:vAlign w:val="center"/>
            <w:hideMark/>
          </w:tcPr>
          <w:p w14:paraId="72DDFB8F" w14:textId="77777777" w:rsidR="00831277" w:rsidRPr="00831277" w:rsidRDefault="00831277" w:rsidP="00831277">
            <w:pPr>
              <w:spacing w:before="0" w:after="0" w:line="240" w:lineRule="auto"/>
              <w:jc w:val="center"/>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C0190</w:t>
            </w:r>
          </w:p>
        </w:tc>
        <w:tc>
          <w:tcPr>
            <w:tcW w:w="1352" w:type="dxa"/>
            <w:tcBorders>
              <w:top w:val="single" w:sz="4" w:space="0" w:color="000000"/>
              <w:left w:val="single" w:sz="4" w:space="0" w:color="000000"/>
              <w:bottom w:val="single" w:sz="4" w:space="0" w:color="000000"/>
              <w:right w:val="single" w:sz="4" w:space="0" w:color="000000"/>
            </w:tcBorders>
            <w:shd w:val="clear" w:color="000000" w:fill="4EA72E"/>
            <w:vAlign w:val="center"/>
            <w:hideMark/>
          </w:tcPr>
          <w:p w14:paraId="49088660" w14:textId="77777777" w:rsidR="00831277" w:rsidRPr="00831277" w:rsidRDefault="00831277" w:rsidP="00831277">
            <w:pPr>
              <w:spacing w:before="0" w:after="0" w:line="240" w:lineRule="auto"/>
              <w:jc w:val="center"/>
              <w:rPr>
                <w:rFonts w:ascii="Aptos Narrow" w:eastAsia="Times New Roman" w:hAnsi="Aptos Narrow"/>
                <w:b/>
                <w:bCs/>
                <w:color w:val="FFFFFF"/>
                <w:kern w:val="0"/>
                <w:szCs w:val="22"/>
                <w:lang w:val="en-IE" w:eastAsia="en-IE"/>
              </w:rPr>
            </w:pPr>
            <w:r w:rsidRPr="00831277">
              <w:rPr>
                <w:rFonts w:ascii="Aptos Narrow" w:eastAsia="Times New Roman" w:hAnsi="Aptos Narrow"/>
                <w:b/>
                <w:bCs/>
                <w:color w:val="FFFFFF"/>
                <w:kern w:val="0"/>
                <w:szCs w:val="22"/>
                <w:lang w:val="en-IE" w:eastAsia="en-IE"/>
              </w:rPr>
              <w:t xml:space="preserve">AML.07.02 </w:t>
            </w:r>
          </w:p>
        </w:tc>
      </w:tr>
      <w:tr w:rsidR="00624C6F" w:rsidRPr="00831277" w14:paraId="2B1B8223" w14:textId="77777777" w:rsidTr="00624C6F">
        <w:trPr>
          <w:trHeight w:val="564"/>
        </w:trPr>
        <w:tc>
          <w:tcPr>
            <w:tcW w:w="1731" w:type="dxa"/>
            <w:vMerge w:val="restart"/>
            <w:tcBorders>
              <w:top w:val="single" w:sz="4" w:space="0" w:color="auto"/>
              <w:left w:val="single" w:sz="4" w:space="0" w:color="auto"/>
              <w:bottom w:val="nil"/>
              <w:right w:val="nil"/>
            </w:tcBorders>
            <w:shd w:val="clear" w:color="000000" w:fill="339933"/>
            <w:vAlign w:val="center"/>
            <w:hideMark/>
          </w:tcPr>
          <w:p w14:paraId="191BDC9B" w14:textId="77777777" w:rsidR="00831277" w:rsidRPr="00831277" w:rsidRDefault="00831277" w:rsidP="00831277">
            <w:pPr>
              <w:spacing w:before="0" w:after="0" w:line="240" w:lineRule="auto"/>
              <w:jc w:val="center"/>
              <w:rPr>
                <w:rFonts w:ascii="Aptos Narrow" w:eastAsia="Times New Roman" w:hAnsi="Aptos Narrow"/>
                <w:b/>
                <w:bCs/>
                <w:color w:val="FFFFFF"/>
                <w:kern w:val="0"/>
                <w:sz w:val="24"/>
                <w:szCs w:val="24"/>
                <w:lang w:val="en-IE" w:eastAsia="en-IE"/>
              </w:rPr>
            </w:pPr>
            <w:r w:rsidRPr="00831277">
              <w:rPr>
                <w:rFonts w:ascii="Aptos Narrow" w:eastAsia="Times New Roman" w:hAnsi="Aptos Narrow"/>
                <w:b/>
                <w:bCs/>
                <w:color w:val="FFFFFF"/>
                <w:kern w:val="0"/>
                <w:sz w:val="24"/>
                <w:szCs w:val="24"/>
                <w:lang w:val="en-IE" w:eastAsia="en-IE"/>
              </w:rPr>
              <w:t xml:space="preserve">3 - Risk assessment </w:t>
            </w:r>
            <w:r w:rsidRPr="00831277">
              <w:rPr>
                <w:rFonts w:ascii="Aptos Narrow" w:eastAsia="Times New Roman" w:hAnsi="Aptos Narrow"/>
                <w:color w:val="FFFFFF"/>
                <w:kern w:val="0"/>
                <w:sz w:val="24"/>
                <w:szCs w:val="24"/>
                <w:lang w:val="en-IE" w:eastAsia="en-IE"/>
              </w:rPr>
              <w:t>(Business Wide Risk Assessment (BWRA) and Customer ML/TF risk assessment and classification (CRA))</w:t>
            </w:r>
          </w:p>
        </w:tc>
        <w:tc>
          <w:tcPr>
            <w:tcW w:w="4081"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CEAF19C" w14:textId="77777777" w:rsidR="00831277" w:rsidRPr="00831277" w:rsidRDefault="00831277" w:rsidP="00831277">
            <w:pPr>
              <w:spacing w:before="0" w:after="0" w:line="240" w:lineRule="auto"/>
              <w:rPr>
                <w:rFonts w:ascii="Aptos Narrow" w:eastAsia="Times New Roman" w:hAnsi="Aptos Narrow"/>
                <w:color w:val="000000"/>
                <w:kern w:val="0"/>
                <w:szCs w:val="22"/>
                <w:lang w:val="en-IE" w:eastAsia="en-IE"/>
              </w:rPr>
            </w:pPr>
            <w:r w:rsidRPr="00831277">
              <w:rPr>
                <w:rFonts w:ascii="Aptos Narrow" w:eastAsia="Times New Roman" w:hAnsi="Aptos Narrow"/>
                <w:color w:val="000000"/>
                <w:kern w:val="0"/>
                <w:szCs w:val="22"/>
                <w:lang w:val="en-IE" w:eastAsia="en-IE"/>
              </w:rPr>
              <w:t>Last approval date of the BWRA</w:t>
            </w:r>
          </w:p>
        </w:tc>
        <w:tc>
          <w:tcPr>
            <w:tcW w:w="1821" w:type="dxa"/>
            <w:tcBorders>
              <w:top w:val="single" w:sz="4" w:space="0" w:color="000000"/>
              <w:left w:val="single" w:sz="4" w:space="0" w:color="000000"/>
              <w:bottom w:val="single" w:sz="4" w:space="0" w:color="000000"/>
              <w:right w:val="single" w:sz="4" w:space="0" w:color="000000"/>
            </w:tcBorders>
            <w:vAlign w:val="center"/>
            <w:hideMark/>
          </w:tcPr>
          <w:p w14:paraId="3C43DC91" w14:textId="77777777" w:rsidR="00831277" w:rsidRPr="00831277" w:rsidRDefault="00831277" w:rsidP="00831277">
            <w:pPr>
              <w:spacing w:before="0" w:after="0" w:line="240" w:lineRule="auto"/>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Last approval date of the BWRA</w:t>
            </w:r>
          </w:p>
        </w:tc>
        <w:tc>
          <w:tcPr>
            <w:tcW w:w="938" w:type="dxa"/>
            <w:tcBorders>
              <w:top w:val="single" w:sz="4" w:space="0" w:color="000000"/>
              <w:left w:val="single" w:sz="4" w:space="0" w:color="000000"/>
              <w:bottom w:val="single" w:sz="4" w:space="0" w:color="000000"/>
              <w:right w:val="single" w:sz="4" w:space="0" w:color="000000"/>
            </w:tcBorders>
            <w:vAlign w:val="center"/>
            <w:hideMark/>
          </w:tcPr>
          <w:p w14:paraId="127179ED" w14:textId="77777777" w:rsidR="00831277" w:rsidRPr="00831277" w:rsidRDefault="00831277" w:rsidP="00831277">
            <w:pPr>
              <w:spacing w:before="0" w:after="0" w:line="240" w:lineRule="auto"/>
              <w:jc w:val="center"/>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C0010</w:t>
            </w:r>
          </w:p>
        </w:tc>
        <w:tc>
          <w:tcPr>
            <w:tcW w:w="1352" w:type="dxa"/>
            <w:tcBorders>
              <w:top w:val="single" w:sz="4" w:space="0" w:color="000000"/>
              <w:left w:val="single" w:sz="4" w:space="0" w:color="000000"/>
              <w:bottom w:val="single" w:sz="4" w:space="0" w:color="000000"/>
              <w:right w:val="single" w:sz="4" w:space="0" w:color="000000"/>
            </w:tcBorders>
            <w:shd w:val="clear" w:color="000000" w:fill="4EA72E"/>
            <w:vAlign w:val="center"/>
            <w:hideMark/>
          </w:tcPr>
          <w:p w14:paraId="265F2502" w14:textId="77777777" w:rsidR="00831277" w:rsidRPr="00831277" w:rsidRDefault="00831277" w:rsidP="00831277">
            <w:pPr>
              <w:spacing w:before="0" w:after="0" w:line="240" w:lineRule="auto"/>
              <w:jc w:val="center"/>
              <w:rPr>
                <w:rFonts w:ascii="Aptos Narrow" w:eastAsia="Times New Roman" w:hAnsi="Aptos Narrow"/>
                <w:b/>
                <w:bCs/>
                <w:color w:val="FFFFFF"/>
                <w:kern w:val="0"/>
                <w:szCs w:val="22"/>
                <w:lang w:val="en-IE" w:eastAsia="en-IE"/>
              </w:rPr>
            </w:pPr>
            <w:r w:rsidRPr="00831277">
              <w:rPr>
                <w:rFonts w:ascii="Aptos Narrow" w:eastAsia="Times New Roman" w:hAnsi="Aptos Narrow"/>
                <w:b/>
                <w:bCs/>
                <w:color w:val="FFFFFF"/>
                <w:kern w:val="0"/>
                <w:szCs w:val="22"/>
                <w:lang w:val="en-IE" w:eastAsia="en-IE"/>
              </w:rPr>
              <w:t xml:space="preserve">AML.07.03 </w:t>
            </w:r>
          </w:p>
        </w:tc>
      </w:tr>
      <w:tr w:rsidR="00624C6F" w:rsidRPr="00831277" w14:paraId="15D0F93C" w14:textId="77777777" w:rsidTr="00624C6F">
        <w:trPr>
          <w:trHeight w:val="297"/>
        </w:trPr>
        <w:tc>
          <w:tcPr>
            <w:tcW w:w="1731" w:type="dxa"/>
            <w:vMerge/>
            <w:tcBorders>
              <w:top w:val="single" w:sz="4" w:space="0" w:color="auto"/>
              <w:left w:val="single" w:sz="4" w:space="0" w:color="auto"/>
              <w:bottom w:val="nil"/>
              <w:right w:val="nil"/>
            </w:tcBorders>
            <w:vAlign w:val="center"/>
            <w:hideMark/>
          </w:tcPr>
          <w:p w14:paraId="595C4C55" w14:textId="77777777" w:rsidR="00831277" w:rsidRPr="00831277" w:rsidRDefault="00831277" w:rsidP="00831277">
            <w:pPr>
              <w:spacing w:before="0" w:after="0" w:line="240" w:lineRule="auto"/>
              <w:rPr>
                <w:rFonts w:ascii="Aptos Narrow" w:eastAsia="Times New Roman" w:hAnsi="Aptos Narrow"/>
                <w:b/>
                <w:bCs/>
                <w:color w:val="FFFFFF"/>
                <w:kern w:val="0"/>
                <w:sz w:val="24"/>
                <w:szCs w:val="24"/>
                <w:lang w:val="en-IE" w:eastAsia="en-IE"/>
              </w:rPr>
            </w:pPr>
          </w:p>
        </w:tc>
        <w:tc>
          <w:tcPr>
            <w:tcW w:w="4081"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4E94DFE" w14:textId="04681934" w:rsidR="00831277" w:rsidRPr="00831277" w:rsidRDefault="00831277" w:rsidP="00831277">
            <w:pPr>
              <w:spacing w:before="0" w:after="0" w:line="240" w:lineRule="auto"/>
              <w:rPr>
                <w:rFonts w:ascii="Aptos Narrow" w:eastAsia="Times New Roman" w:hAnsi="Aptos Narrow"/>
                <w:color w:val="000000"/>
                <w:kern w:val="0"/>
                <w:szCs w:val="22"/>
                <w:lang w:val="en-IE" w:eastAsia="en-IE"/>
              </w:rPr>
            </w:pPr>
            <w:r w:rsidRPr="00831277">
              <w:rPr>
                <w:rFonts w:ascii="Aptos Narrow" w:eastAsia="Times New Roman" w:hAnsi="Aptos Narrow"/>
                <w:color w:val="000000"/>
                <w:kern w:val="0"/>
                <w:szCs w:val="22"/>
                <w:lang w:val="en-IE" w:eastAsia="en-IE"/>
              </w:rPr>
              <w:t xml:space="preserve">Senior management approved the last version of the BWRA </w:t>
            </w:r>
          </w:p>
        </w:tc>
        <w:tc>
          <w:tcPr>
            <w:tcW w:w="1821" w:type="dxa"/>
            <w:tcBorders>
              <w:top w:val="single" w:sz="4" w:space="0" w:color="000000"/>
              <w:left w:val="single" w:sz="4" w:space="0" w:color="000000"/>
              <w:bottom w:val="single" w:sz="4" w:space="0" w:color="000000"/>
              <w:right w:val="single" w:sz="4" w:space="0" w:color="000000"/>
            </w:tcBorders>
            <w:vAlign w:val="center"/>
            <w:hideMark/>
          </w:tcPr>
          <w:p w14:paraId="4561DF71" w14:textId="77777777" w:rsidR="00831277" w:rsidRPr="00831277" w:rsidRDefault="00831277" w:rsidP="00831277">
            <w:pPr>
              <w:spacing w:before="0" w:after="0" w:line="240" w:lineRule="auto"/>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Senior Management Approval (BWRA)</w:t>
            </w:r>
          </w:p>
        </w:tc>
        <w:tc>
          <w:tcPr>
            <w:tcW w:w="938" w:type="dxa"/>
            <w:tcBorders>
              <w:top w:val="single" w:sz="4" w:space="0" w:color="000000"/>
              <w:left w:val="single" w:sz="4" w:space="0" w:color="000000"/>
              <w:bottom w:val="single" w:sz="4" w:space="0" w:color="000000"/>
              <w:right w:val="single" w:sz="4" w:space="0" w:color="000000"/>
            </w:tcBorders>
            <w:vAlign w:val="center"/>
            <w:hideMark/>
          </w:tcPr>
          <w:p w14:paraId="56C5C78B" w14:textId="77777777" w:rsidR="00831277" w:rsidRPr="00831277" w:rsidRDefault="00831277" w:rsidP="00831277">
            <w:pPr>
              <w:spacing w:before="0" w:after="0" w:line="240" w:lineRule="auto"/>
              <w:jc w:val="center"/>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C0020</w:t>
            </w:r>
          </w:p>
        </w:tc>
        <w:tc>
          <w:tcPr>
            <w:tcW w:w="1352" w:type="dxa"/>
            <w:tcBorders>
              <w:top w:val="single" w:sz="4" w:space="0" w:color="000000"/>
              <w:left w:val="single" w:sz="4" w:space="0" w:color="000000"/>
              <w:bottom w:val="single" w:sz="4" w:space="0" w:color="000000"/>
              <w:right w:val="single" w:sz="4" w:space="0" w:color="000000"/>
            </w:tcBorders>
            <w:shd w:val="clear" w:color="000000" w:fill="4EA72E"/>
            <w:vAlign w:val="center"/>
            <w:hideMark/>
          </w:tcPr>
          <w:p w14:paraId="7C8502FF" w14:textId="77777777" w:rsidR="00831277" w:rsidRPr="00831277" w:rsidRDefault="00831277" w:rsidP="00831277">
            <w:pPr>
              <w:spacing w:before="0" w:after="0" w:line="240" w:lineRule="auto"/>
              <w:jc w:val="center"/>
              <w:rPr>
                <w:rFonts w:ascii="Aptos Narrow" w:eastAsia="Times New Roman" w:hAnsi="Aptos Narrow"/>
                <w:b/>
                <w:bCs/>
                <w:color w:val="FFFFFF"/>
                <w:kern w:val="0"/>
                <w:szCs w:val="22"/>
                <w:lang w:val="en-IE" w:eastAsia="en-IE"/>
              </w:rPr>
            </w:pPr>
            <w:r w:rsidRPr="00831277">
              <w:rPr>
                <w:rFonts w:ascii="Aptos Narrow" w:eastAsia="Times New Roman" w:hAnsi="Aptos Narrow"/>
                <w:b/>
                <w:bCs/>
                <w:color w:val="FFFFFF"/>
                <w:kern w:val="0"/>
                <w:szCs w:val="22"/>
                <w:lang w:val="en-IE" w:eastAsia="en-IE"/>
              </w:rPr>
              <w:t xml:space="preserve">AML.07.03 </w:t>
            </w:r>
          </w:p>
        </w:tc>
      </w:tr>
      <w:tr w:rsidR="00624C6F" w:rsidRPr="00831277" w14:paraId="26169173" w14:textId="77777777" w:rsidTr="00624C6F">
        <w:trPr>
          <w:trHeight w:val="623"/>
        </w:trPr>
        <w:tc>
          <w:tcPr>
            <w:tcW w:w="1731" w:type="dxa"/>
            <w:vMerge/>
            <w:tcBorders>
              <w:top w:val="single" w:sz="4" w:space="0" w:color="auto"/>
              <w:left w:val="single" w:sz="4" w:space="0" w:color="auto"/>
              <w:bottom w:val="nil"/>
              <w:right w:val="nil"/>
            </w:tcBorders>
            <w:vAlign w:val="center"/>
            <w:hideMark/>
          </w:tcPr>
          <w:p w14:paraId="0CF62B5F" w14:textId="77777777" w:rsidR="00831277" w:rsidRPr="00831277" w:rsidRDefault="00831277" w:rsidP="00831277">
            <w:pPr>
              <w:spacing w:before="0" w:after="0" w:line="240" w:lineRule="auto"/>
              <w:rPr>
                <w:rFonts w:ascii="Aptos Narrow" w:eastAsia="Times New Roman" w:hAnsi="Aptos Narrow"/>
                <w:b/>
                <w:bCs/>
                <w:color w:val="FFFFFF"/>
                <w:kern w:val="0"/>
                <w:sz w:val="24"/>
                <w:szCs w:val="24"/>
                <w:lang w:val="en-IE" w:eastAsia="en-IE"/>
              </w:rPr>
            </w:pPr>
          </w:p>
        </w:tc>
        <w:tc>
          <w:tcPr>
            <w:tcW w:w="4081"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AEA944E" w14:textId="77777777" w:rsidR="00831277" w:rsidRPr="00831277" w:rsidRDefault="00831277" w:rsidP="00831277">
            <w:pPr>
              <w:spacing w:before="0" w:after="0" w:line="240" w:lineRule="auto"/>
              <w:rPr>
                <w:rFonts w:ascii="Aptos Narrow" w:eastAsia="Times New Roman" w:hAnsi="Aptos Narrow"/>
                <w:color w:val="000000"/>
                <w:kern w:val="0"/>
                <w:szCs w:val="22"/>
                <w:lang w:val="en-IE" w:eastAsia="en-IE"/>
              </w:rPr>
            </w:pPr>
            <w:r w:rsidRPr="00831277">
              <w:rPr>
                <w:rFonts w:ascii="Aptos Narrow" w:eastAsia="Times New Roman" w:hAnsi="Aptos Narrow"/>
                <w:color w:val="000000"/>
                <w:kern w:val="0"/>
                <w:szCs w:val="22"/>
                <w:lang w:val="en-IE" w:eastAsia="en-IE"/>
              </w:rPr>
              <w:t>Date of the last update of the CRA</w:t>
            </w:r>
          </w:p>
        </w:tc>
        <w:tc>
          <w:tcPr>
            <w:tcW w:w="1821" w:type="dxa"/>
            <w:tcBorders>
              <w:top w:val="single" w:sz="4" w:space="0" w:color="000000"/>
              <w:left w:val="single" w:sz="4" w:space="0" w:color="000000"/>
              <w:bottom w:val="single" w:sz="4" w:space="0" w:color="000000"/>
              <w:right w:val="single" w:sz="4" w:space="0" w:color="000000"/>
            </w:tcBorders>
            <w:vAlign w:val="center"/>
            <w:hideMark/>
          </w:tcPr>
          <w:p w14:paraId="74486866" w14:textId="77777777" w:rsidR="00831277" w:rsidRPr="00831277" w:rsidRDefault="00831277" w:rsidP="00831277">
            <w:pPr>
              <w:spacing w:before="0" w:after="0" w:line="240" w:lineRule="auto"/>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Date of the last update of the CRA</w:t>
            </w:r>
          </w:p>
        </w:tc>
        <w:tc>
          <w:tcPr>
            <w:tcW w:w="938" w:type="dxa"/>
            <w:tcBorders>
              <w:top w:val="single" w:sz="4" w:space="0" w:color="000000"/>
              <w:left w:val="single" w:sz="4" w:space="0" w:color="000000"/>
              <w:bottom w:val="single" w:sz="4" w:space="0" w:color="000000"/>
              <w:right w:val="single" w:sz="4" w:space="0" w:color="000000"/>
            </w:tcBorders>
            <w:vAlign w:val="center"/>
            <w:hideMark/>
          </w:tcPr>
          <w:p w14:paraId="18D9F8C2" w14:textId="77777777" w:rsidR="00831277" w:rsidRPr="00831277" w:rsidRDefault="00831277" w:rsidP="00831277">
            <w:pPr>
              <w:spacing w:before="0" w:after="0" w:line="240" w:lineRule="auto"/>
              <w:jc w:val="center"/>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C0030</w:t>
            </w:r>
          </w:p>
        </w:tc>
        <w:tc>
          <w:tcPr>
            <w:tcW w:w="1352" w:type="dxa"/>
            <w:tcBorders>
              <w:top w:val="single" w:sz="4" w:space="0" w:color="000000"/>
              <w:left w:val="single" w:sz="4" w:space="0" w:color="000000"/>
              <w:bottom w:val="single" w:sz="4" w:space="0" w:color="000000"/>
              <w:right w:val="single" w:sz="4" w:space="0" w:color="000000"/>
            </w:tcBorders>
            <w:shd w:val="clear" w:color="000000" w:fill="4EA72E"/>
            <w:vAlign w:val="center"/>
            <w:hideMark/>
          </w:tcPr>
          <w:p w14:paraId="7D28ECEF" w14:textId="77777777" w:rsidR="00831277" w:rsidRPr="00831277" w:rsidRDefault="00831277" w:rsidP="00831277">
            <w:pPr>
              <w:spacing w:before="0" w:after="0" w:line="240" w:lineRule="auto"/>
              <w:jc w:val="center"/>
              <w:rPr>
                <w:rFonts w:ascii="Aptos Narrow" w:eastAsia="Times New Roman" w:hAnsi="Aptos Narrow"/>
                <w:b/>
                <w:bCs/>
                <w:color w:val="FFFFFF"/>
                <w:kern w:val="0"/>
                <w:szCs w:val="22"/>
                <w:lang w:val="en-IE" w:eastAsia="en-IE"/>
              </w:rPr>
            </w:pPr>
            <w:r w:rsidRPr="00831277">
              <w:rPr>
                <w:rFonts w:ascii="Aptos Narrow" w:eastAsia="Times New Roman" w:hAnsi="Aptos Narrow"/>
                <w:b/>
                <w:bCs/>
                <w:color w:val="FFFFFF"/>
                <w:kern w:val="0"/>
                <w:szCs w:val="22"/>
                <w:lang w:val="en-IE" w:eastAsia="en-IE"/>
              </w:rPr>
              <w:t xml:space="preserve">AML.07.03 </w:t>
            </w:r>
          </w:p>
        </w:tc>
      </w:tr>
      <w:tr w:rsidR="00624C6F" w:rsidRPr="00831277" w14:paraId="7DD44CDA" w14:textId="77777777" w:rsidTr="00624C6F">
        <w:trPr>
          <w:trHeight w:val="623"/>
        </w:trPr>
        <w:tc>
          <w:tcPr>
            <w:tcW w:w="1731" w:type="dxa"/>
            <w:vMerge/>
            <w:tcBorders>
              <w:top w:val="single" w:sz="4" w:space="0" w:color="auto"/>
              <w:left w:val="single" w:sz="4" w:space="0" w:color="auto"/>
              <w:bottom w:val="nil"/>
              <w:right w:val="nil"/>
            </w:tcBorders>
            <w:vAlign w:val="center"/>
            <w:hideMark/>
          </w:tcPr>
          <w:p w14:paraId="4AD6AFBC" w14:textId="77777777" w:rsidR="00831277" w:rsidRPr="00831277" w:rsidRDefault="00831277" w:rsidP="00831277">
            <w:pPr>
              <w:spacing w:before="0" w:after="0" w:line="240" w:lineRule="auto"/>
              <w:rPr>
                <w:rFonts w:ascii="Aptos Narrow" w:eastAsia="Times New Roman" w:hAnsi="Aptos Narrow"/>
                <w:b/>
                <w:bCs/>
                <w:color w:val="FFFFFF"/>
                <w:kern w:val="0"/>
                <w:sz w:val="24"/>
                <w:szCs w:val="24"/>
                <w:lang w:val="en-IE" w:eastAsia="en-IE"/>
              </w:rPr>
            </w:pPr>
          </w:p>
        </w:tc>
        <w:tc>
          <w:tcPr>
            <w:tcW w:w="4081" w:type="dxa"/>
            <w:vMerge w:val="restart"/>
            <w:tcBorders>
              <w:top w:val="single" w:sz="4" w:space="0" w:color="000000"/>
              <w:left w:val="single" w:sz="4" w:space="0" w:color="000000"/>
              <w:bottom w:val="nil"/>
              <w:right w:val="single" w:sz="4" w:space="0" w:color="000000"/>
            </w:tcBorders>
            <w:vAlign w:val="center"/>
            <w:hideMark/>
          </w:tcPr>
          <w:p w14:paraId="292099AA" w14:textId="77777777" w:rsidR="00831277" w:rsidRPr="00831277" w:rsidRDefault="00831277" w:rsidP="00831277">
            <w:pPr>
              <w:spacing w:before="0" w:after="0" w:line="240" w:lineRule="auto"/>
              <w:rPr>
                <w:rFonts w:ascii="Aptos Narrow" w:eastAsia="Times New Roman" w:hAnsi="Aptos Narrow"/>
                <w:color w:val="000000"/>
                <w:kern w:val="0"/>
                <w:szCs w:val="22"/>
                <w:lang w:val="en-IE" w:eastAsia="en-IE"/>
              </w:rPr>
            </w:pPr>
            <w:r w:rsidRPr="00831277">
              <w:rPr>
                <w:rFonts w:ascii="Aptos Narrow" w:eastAsia="Times New Roman" w:hAnsi="Aptos Narrow"/>
                <w:color w:val="000000"/>
                <w:kern w:val="0"/>
                <w:szCs w:val="22"/>
                <w:lang w:val="en-IE" w:eastAsia="en-IE"/>
              </w:rPr>
              <w:t>Number of customers per ML/TF risk category (low risk, medium-low risk, medium-high risk, high-risk)</w:t>
            </w:r>
          </w:p>
        </w:tc>
        <w:tc>
          <w:tcPr>
            <w:tcW w:w="1821" w:type="dxa"/>
            <w:tcBorders>
              <w:top w:val="single" w:sz="4" w:space="0" w:color="000000"/>
              <w:left w:val="single" w:sz="4" w:space="0" w:color="000000"/>
              <w:bottom w:val="single" w:sz="4" w:space="0" w:color="000000"/>
              <w:right w:val="single" w:sz="4" w:space="0" w:color="000000"/>
            </w:tcBorders>
            <w:vAlign w:val="center"/>
            <w:hideMark/>
          </w:tcPr>
          <w:p w14:paraId="62B3C47B" w14:textId="77777777" w:rsidR="00831277" w:rsidRPr="00831277" w:rsidRDefault="00831277" w:rsidP="00831277">
            <w:pPr>
              <w:spacing w:before="0" w:after="0" w:line="240" w:lineRule="auto"/>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Customers - Low Risk</w:t>
            </w:r>
          </w:p>
        </w:tc>
        <w:tc>
          <w:tcPr>
            <w:tcW w:w="938" w:type="dxa"/>
            <w:tcBorders>
              <w:top w:val="single" w:sz="4" w:space="0" w:color="000000"/>
              <w:left w:val="single" w:sz="4" w:space="0" w:color="000000"/>
              <w:bottom w:val="single" w:sz="4" w:space="0" w:color="000000"/>
              <w:right w:val="single" w:sz="4" w:space="0" w:color="000000"/>
            </w:tcBorders>
            <w:vAlign w:val="center"/>
            <w:hideMark/>
          </w:tcPr>
          <w:p w14:paraId="25858597" w14:textId="77777777" w:rsidR="00831277" w:rsidRPr="00831277" w:rsidRDefault="00831277" w:rsidP="00831277">
            <w:pPr>
              <w:spacing w:before="0" w:after="0" w:line="240" w:lineRule="auto"/>
              <w:jc w:val="center"/>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C0040</w:t>
            </w:r>
          </w:p>
        </w:tc>
        <w:tc>
          <w:tcPr>
            <w:tcW w:w="1352" w:type="dxa"/>
            <w:tcBorders>
              <w:top w:val="single" w:sz="4" w:space="0" w:color="000000"/>
              <w:left w:val="single" w:sz="4" w:space="0" w:color="000000"/>
              <w:bottom w:val="single" w:sz="4" w:space="0" w:color="000000"/>
              <w:right w:val="single" w:sz="4" w:space="0" w:color="000000"/>
            </w:tcBorders>
            <w:shd w:val="clear" w:color="000000" w:fill="4EA72E"/>
            <w:vAlign w:val="center"/>
            <w:hideMark/>
          </w:tcPr>
          <w:p w14:paraId="0E62C2B5" w14:textId="77777777" w:rsidR="00831277" w:rsidRPr="00831277" w:rsidRDefault="00831277" w:rsidP="00831277">
            <w:pPr>
              <w:spacing w:before="0" w:after="0" w:line="240" w:lineRule="auto"/>
              <w:jc w:val="center"/>
              <w:rPr>
                <w:rFonts w:ascii="Aptos Narrow" w:eastAsia="Times New Roman" w:hAnsi="Aptos Narrow"/>
                <w:b/>
                <w:bCs/>
                <w:color w:val="FFFFFF"/>
                <w:kern w:val="0"/>
                <w:szCs w:val="22"/>
                <w:lang w:val="en-IE" w:eastAsia="en-IE"/>
              </w:rPr>
            </w:pPr>
            <w:r w:rsidRPr="00831277">
              <w:rPr>
                <w:rFonts w:ascii="Aptos Narrow" w:eastAsia="Times New Roman" w:hAnsi="Aptos Narrow"/>
                <w:b/>
                <w:bCs/>
                <w:color w:val="FFFFFF"/>
                <w:kern w:val="0"/>
                <w:szCs w:val="22"/>
                <w:lang w:val="en-IE" w:eastAsia="en-IE"/>
              </w:rPr>
              <w:t xml:space="preserve">AML.07.03 </w:t>
            </w:r>
          </w:p>
        </w:tc>
      </w:tr>
      <w:tr w:rsidR="00624C6F" w:rsidRPr="00831277" w14:paraId="372EB09C" w14:textId="77777777" w:rsidTr="00624C6F">
        <w:trPr>
          <w:trHeight w:val="623"/>
        </w:trPr>
        <w:tc>
          <w:tcPr>
            <w:tcW w:w="1731" w:type="dxa"/>
            <w:vMerge/>
            <w:tcBorders>
              <w:top w:val="single" w:sz="4" w:space="0" w:color="auto"/>
              <w:left w:val="single" w:sz="4" w:space="0" w:color="auto"/>
              <w:bottom w:val="nil"/>
              <w:right w:val="nil"/>
            </w:tcBorders>
            <w:vAlign w:val="center"/>
            <w:hideMark/>
          </w:tcPr>
          <w:p w14:paraId="549542C0" w14:textId="77777777" w:rsidR="00831277" w:rsidRPr="00831277" w:rsidRDefault="00831277" w:rsidP="00831277">
            <w:pPr>
              <w:spacing w:before="0" w:after="0" w:line="240" w:lineRule="auto"/>
              <w:rPr>
                <w:rFonts w:ascii="Aptos Narrow" w:eastAsia="Times New Roman" w:hAnsi="Aptos Narrow"/>
                <w:b/>
                <w:bCs/>
                <w:color w:val="FFFFFF"/>
                <w:kern w:val="0"/>
                <w:sz w:val="24"/>
                <w:szCs w:val="24"/>
                <w:lang w:val="en-IE" w:eastAsia="en-IE"/>
              </w:rPr>
            </w:pPr>
          </w:p>
        </w:tc>
        <w:tc>
          <w:tcPr>
            <w:tcW w:w="4081" w:type="dxa"/>
            <w:vMerge/>
            <w:tcBorders>
              <w:top w:val="single" w:sz="4" w:space="0" w:color="000000"/>
              <w:left w:val="single" w:sz="4" w:space="0" w:color="000000"/>
              <w:bottom w:val="nil"/>
              <w:right w:val="single" w:sz="4" w:space="0" w:color="000000"/>
            </w:tcBorders>
            <w:vAlign w:val="center"/>
            <w:hideMark/>
          </w:tcPr>
          <w:p w14:paraId="7D2EADD1" w14:textId="77777777" w:rsidR="00831277" w:rsidRPr="00831277" w:rsidRDefault="00831277" w:rsidP="00831277">
            <w:pPr>
              <w:spacing w:before="0" w:after="0" w:line="240" w:lineRule="auto"/>
              <w:rPr>
                <w:rFonts w:ascii="Aptos Narrow" w:eastAsia="Times New Roman" w:hAnsi="Aptos Narrow"/>
                <w:color w:val="000000"/>
                <w:kern w:val="0"/>
                <w:szCs w:val="22"/>
                <w:lang w:val="en-IE" w:eastAsia="en-IE"/>
              </w:rPr>
            </w:pPr>
          </w:p>
        </w:tc>
        <w:tc>
          <w:tcPr>
            <w:tcW w:w="1821" w:type="dxa"/>
            <w:tcBorders>
              <w:top w:val="single" w:sz="4" w:space="0" w:color="000000"/>
              <w:left w:val="single" w:sz="4" w:space="0" w:color="000000"/>
              <w:bottom w:val="single" w:sz="4" w:space="0" w:color="000000"/>
              <w:right w:val="single" w:sz="4" w:space="0" w:color="000000"/>
            </w:tcBorders>
            <w:vAlign w:val="center"/>
            <w:hideMark/>
          </w:tcPr>
          <w:p w14:paraId="02CF249D" w14:textId="77777777" w:rsidR="00831277" w:rsidRPr="00831277" w:rsidRDefault="00831277" w:rsidP="00831277">
            <w:pPr>
              <w:spacing w:before="0" w:after="0" w:line="240" w:lineRule="auto"/>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Customers - Medium-low Risk</w:t>
            </w:r>
          </w:p>
        </w:tc>
        <w:tc>
          <w:tcPr>
            <w:tcW w:w="938" w:type="dxa"/>
            <w:tcBorders>
              <w:top w:val="single" w:sz="4" w:space="0" w:color="000000"/>
              <w:left w:val="single" w:sz="4" w:space="0" w:color="000000"/>
              <w:bottom w:val="single" w:sz="4" w:space="0" w:color="000000"/>
              <w:right w:val="single" w:sz="4" w:space="0" w:color="000000"/>
            </w:tcBorders>
            <w:vAlign w:val="center"/>
            <w:hideMark/>
          </w:tcPr>
          <w:p w14:paraId="5FBC4DE9" w14:textId="77777777" w:rsidR="00831277" w:rsidRPr="00831277" w:rsidRDefault="00831277" w:rsidP="00831277">
            <w:pPr>
              <w:spacing w:before="0" w:after="0" w:line="240" w:lineRule="auto"/>
              <w:jc w:val="center"/>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C0050</w:t>
            </w:r>
          </w:p>
        </w:tc>
        <w:tc>
          <w:tcPr>
            <w:tcW w:w="1352" w:type="dxa"/>
            <w:tcBorders>
              <w:top w:val="single" w:sz="4" w:space="0" w:color="000000"/>
              <w:left w:val="single" w:sz="4" w:space="0" w:color="000000"/>
              <w:bottom w:val="single" w:sz="4" w:space="0" w:color="000000"/>
              <w:right w:val="single" w:sz="4" w:space="0" w:color="000000"/>
            </w:tcBorders>
            <w:shd w:val="clear" w:color="000000" w:fill="4EA72E"/>
            <w:vAlign w:val="center"/>
            <w:hideMark/>
          </w:tcPr>
          <w:p w14:paraId="5605CA4C" w14:textId="77777777" w:rsidR="00831277" w:rsidRPr="00831277" w:rsidRDefault="00831277" w:rsidP="00831277">
            <w:pPr>
              <w:spacing w:before="0" w:after="0" w:line="240" w:lineRule="auto"/>
              <w:jc w:val="center"/>
              <w:rPr>
                <w:rFonts w:ascii="Aptos Narrow" w:eastAsia="Times New Roman" w:hAnsi="Aptos Narrow"/>
                <w:b/>
                <w:bCs/>
                <w:color w:val="FFFFFF"/>
                <w:kern w:val="0"/>
                <w:szCs w:val="22"/>
                <w:lang w:val="en-IE" w:eastAsia="en-IE"/>
              </w:rPr>
            </w:pPr>
            <w:r w:rsidRPr="00831277">
              <w:rPr>
                <w:rFonts w:ascii="Aptos Narrow" w:eastAsia="Times New Roman" w:hAnsi="Aptos Narrow"/>
                <w:b/>
                <w:bCs/>
                <w:color w:val="FFFFFF"/>
                <w:kern w:val="0"/>
                <w:szCs w:val="22"/>
                <w:lang w:val="en-IE" w:eastAsia="en-IE"/>
              </w:rPr>
              <w:t xml:space="preserve">AML.07.03 </w:t>
            </w:r>
          </w:p>
        </w:tc>
      </w:tr>
      <w:tr w:rsidR="00624C6F" w:rsidRPr="00831277" w14:paraId="738357BC" w14:textId="77777777" w:rsidTr="00624C6F">
        <w:trPr>
          <w:trHeight w:val="623"/>
        </w:trPr>
        <w:tc>
          <w:tcPr>
            <w:tcW w:w="1731" w:type="dxa"/>
            <w:vMerge/>
            <w:tcBorders>
              <w:top w:val="single" w:sz="4" w:space="0" w:color="auto"/>
              <w:left w:val="single" w:sz="4" w:space="0" w:color="auto"/>
              <w:bottom w:val="nil"/>
              <w:right w:val="nil"/>
            </w:tcBorders>
            <w:vAlign w:val="center"/>
            <w:hideMark/>
          </w:tcPr>
          <w:p w14:paraId="153A12D6" w14:textId="77777777" w:rsidR="00831277" w:rsidRPr="00831277" w:rsidRDefault="00831277" w:rsidP="00831277">
            <w:pPr>
              <w:spacing w:before="0" w:after="0" w:line="240" w:lineRule="auto"/>
              <w:rPr>
                <w:rFonts w:ascii="Aptos Narrow" w:eastAsia="Times New Roman" w:hAnsi="Aptos Narrow"/>
                <w:b/>
                <w:bCs/>
                <w:color w:val="FFFFFF"/>
                <w:kern w:val="0"/>
                <w:sz w:val="24"/>
                <w:szCs w:val="24"/>
                <w:lang w:val="en-IE" w:eastAsia="en-IE"/>
              </w:rPr>
            </w:pPr>
          </w:p>
        </w:tc>
        <w:tc>
          <w:tcPr>
            <w:tcW w:w="4081" w:type="dxa"/>
            <w:vMerge/>
            <w:tcBorders>
              <w:top w:val="single" w:sz="4" w:space="0" w:color="000000"/>
              <w:left w:val="single" w:sz="4" w:space="0" w:color="000000"/>
              <w:bottom w:val="nil"/>
              <w:right w:val="single" w:sz="4" w:space="0" w:color="000000"/>
            </w:tcBorders>
            <w:vAlign w:val="center"/>
            <w:hideMark/>
          </w:tcPr>
          <w:p w14:paraId="6FF15E20" w14:textId="77777777" w:rsidR="00831277" w:rsidRPr="00831277" w:rsidRDefault="00831277" w:rsidP="00831277">
            <w:pPr>
              <w:spacing w:before="0" w:after="0" w:line="240" w:lineRule="auto"/>
              <w:rPr>
                <w:rFonts w:ascii="Aptos Narrow" w:eastAsia="Times New Roman" w:hAnsi="Aptos Narrow"/>
                <w:color w:val="000000"/>
                <w:kern w:val="0"/>
                <w:szCs w:val="22"/>
                <w:lang w:val="en-IE" w:eastAsia="en-IE"/>
              </w:rPr>
            </w:pPr>
          </w:p>
        </w:tc>
        <w:tc>
          <w:tcPr>
            <w:tcW w:w="1821" w:type="dxa"/>
            <w:tcBorders>
              <w:top w:val="single" w:sz="4" w:space="0" w:color="000000"/>
              <w:left w:val="single" w:sz="4" w:space="0" w:color="000000"/>
              <w:bottom w:val="single" w:sz="4" w:space="0" w:color="000000"/>
              <w:right w:val="single" w:sz="4" w:space="0" w:color="000000"/>
            </w:tcBorders>
            <w:vAlign w:val="center"/>
            <w:hideMark/>
          </w:tcPr>
          <w:p w14:paraId="19B4EF48" w14:textId="77777777" w:rsidR="00831277" w:rsidRPr="00831277" w:rsidRDefault="00831277" w:rsidP="00831277">
            <w:pPr>
              <w:spacing w:before="0" w:after="0" w:line="240" w:lineRule="auto"/>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Customers - Medium-high Risk</w:t>
            </w:r>
          </w:p>
        </w:tc>
        <w:tc>
          <w:tcPr>
            <w:tcW w:w="938" w:type="dxa"/>
            <w:tcBorders>
              <w:top w:val="single" w:sz="4" w:space="0" w:color="000000"/>
              <w:left w:val="single" w:sz="4" w:space="0" w:color="000000"/>
              <w:bottom w:val="single" w:sz="4" w:space="0" w:color="000000"/>
              <w:right w:val="single" w:sz="4" w:space="0" w:color="000000"/>
            </w:tcBorders>
            <w:vAlign w:val="center"/>
            <w:hideMark/>
          </w:tcPr>
          <w:p w14:paraId="4D4C6829" w14:textId="77777777" w:rsidR="00831277" w:rsidRPr="00831277" w:rsidRDefault="00831277" w:rsidP="00831277">
            <w:pPr>
              <w:spacing w:before="0" w:after="0" w:line="240" w:lineRule="auto"/>
              <w:jc w:val="center"/>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C0060</w:t>
            </w:r>
          </w:p>
        </w:tc>
        <w:tc>
          <w:tcPr>
            <w:tcW w:w="1352" w:type="dxa"/>
            <w:tcBorders>
              <w:top w:val="single" w:sz="4" w:space="0" w:color="000000"/>
              <w:left w:val="single" w:sz="4" w:space="0" w:color="000000"/>
              <w:bottom w:val="single" w:sz="4" w:space="0" w:color="000000"/>
              <w:right w:val="single" w:sz="4" w:space="0" w:color="000000"/>
            </w:tcBorders>
            <w:shd w:val="clear" w:color="000000" w:fill="4EA72E"/>
            <w:vAlign w:val="center"/>
            <w:hideMark/>
          </w:tcPr>
          <w:p w14:paraId="0744BFEB" w14:textId="77777777" w:rsidR="00831277" w:rsidRPr="00831277" w:rsidRDefault="00831277" w:rsidP="00831277">
            <w:pPr>
              <w:spacing w:before="0" w:after="0" w:line="240" w:lineRule="auto"/>
              <w:jc w:val="center"/>
              <w:rPr>
                <w:rFonts w:ascii="Aptos Narrow" w:eastAsia="Times New Roman" w:hAnsi="Aptos Narrow"/>
                <w:b/>
                <w:bCs/>
                <w:color w:val="FFFFFF"/>
                <w:kern w:val="0"/>
                <w:szCs w:val="22"/>
                <w:lang w:val="en-IE" w:eastAsia="en-IE"/>
              </w:rPr>
            </w:pPr>
            <w:r w:rsidRPr="00831277">
              <w:rPr>
                <w:rFonts w:ascii="Aptos Narrow" w:eastAsia="Times New Roman" w:hAnsi="Aptos Narrow"/>
                <w:b/>
                <w:bCs/>
                <w:color w:val="FFFFFF"/>
                <w:kern w:val="0"/>
                <w:szCs w:val="22"/>
                <w:lang w:val="en-IE" w:eastAsia="en-IE"/>
              </w:rPr>
              <w:t xml:space="preserve">AML.07.03 </w:t>
            </w:r>
          </w:p>
        </w:tc>
      </w:tr>
      <w:tr w:rsidR="00624C6F" w:rsidRPr="00831277" w14:paraId="0497B591" w14:textId="77777777" w:rsidTr="00624C6F">
        <w:trPr>
          <w:trHeight w:val="297"/>
        </w:trPr>
        <w:tc>
          <w:tcPr>
            <w:tcW w:w="1731" w:type="dxa"/>
            <w:vMerge/>
            <w:tcBorders>
              <w:top w:val="single" w:sz="4" w:space="0" w:color="auto"/>
              <w:left w:val="single" w:sz="4" w:space="0" w:color="auto"/>
              <w:bottom w:val="nil"/>
              <w:right w:val="nil"/>
            </w:tcBorders>
            <w:vAlign w:val="center"/>
            <w:hideMark/>
          </w:tcPr>
          <w:p w14:paraId="10C9BE70" w14:textId="77777777" w:rsidR="00831277" w:rsidRPr="00831277" w:rsidRDefault="00831277" w:rsidP="00831277">
            <w:pPr>
              <w:spacing w:before="0" w:after="0" w:line="240" w:lineRule="auto"/>
              <w:rPr>
                <w:rFonts w:ascii="Aptos Narrow" w:eastAsia="Times New Roman" w:hAnsi="Aptos Narrow"/>
                <w:b/>
                <w:bCs/>
                <w:color w:val="FFFFFF"/>
                <w:kern w:val="0"/>
                <w:sz w:val="24"/>
                <w:szCs w:val="24"/>
                <w:lang w:val="en-IE" w:eastAsia="en-IE"/>
              </w:rPr>
            </w:pPr>
          </w:p>
        </w:tc>
        <w:tc>
          <w:tcPr>
            <w:tcW w:w="4081" w:type="dxa"/>
            <w:vMerge/>
            <w:tcBorders>
              <w:top w:val="single" w:sz="4" w:space="0" w:color="000000"/>
              <w:left w:val="single" w:sz="4" w:space="0" w:color="000000"/>
              <w:bottom w:val="nil"/>
              <w:right w:val="single" w:sz="4" w:space="0" w:color="000000"/>
            </w:tcBorders>
            <w:vAlign w:val="center"/>
            <w:hideMark/>
          </w:tcPr>
          <w:p w14:paraId="269B7AF9" w14:textId="77777777" w:rsidR="00831277" w:rsidRPr="00831277" w:rsidRDefault="00831277" w:rsidP="00831277">
            <w:pPr>
              <w:spacing w:before="0" w:after="0" w:line="240" w:lineRule="auto"/>
              <w:rPr>
                <w:rFonts w:ascii="Aptos Narrow" w:eastAsia="Times New Roman" w:hAnsi="Aptos Narrow"/>
                <w:color w:val="000000"/>
                <w:kern w:val="0"/>
                <w:szCs w:val="22"/>
                <w:lang w:val="en-IE" w:eastAsia="en-IE"/>
              </w:rPr>
            </w:pPr>
          </w:p>
        </w:tc>
        <w:tc>
          <w:tcPr>
            <w:tcW w:w="1821" w:type="dxa"/>
            <w:tcBorders>
              <w:top w:val="single" w:sz="4" w:space="0" w:color="000000"/>
              <w:left w:val="single" w:sz="4" w:space="0" w:color="000000"/>
              <w:bottom w:val="single" w:sz="4" w:space="0" w:color="000000"/>
              <w:right w:val="single" w:sz="4" w:space="0" w:color="000000"/>
            </w:tcBorders>
            <w:vAlign w:val="center"/>
            <w:hideMark/>
          </w:tcPr>
          <w:p w14:paraId="35C96359" w14:textId="77777777" w:rsidR="00831277" w:rsidRPr="00831277" w:rsidRDefault="00831277" w:rsidP="00831277">
            <w:pPr>
              <w:spacing w:before="0" w:after="0" w:line="240" w:lineRule="auto"/>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Customers - High Risk</w:t>
            </w:r>
          </w:p>
        </w:tc>
        <w:tc>
          <w:tcPr>
            <w:tcW w:w="938" w:type="dxa"/>
            <w:tcBorders>
              <w:top w:val="single" w:sz="4" w:space="0" w:color="000000"/>
              <w:left w:val="single" w:sz="4" w:space="0" w:color="000000"/>
              <w:bottom w:val="single" w:sz="4" w:space="0" w:color="000000"/>
              <w:right w:val="single" w:sz="4" w:space="0" w:color="000000"/>
            </w:tcBorders>
            <w:vAlign w:val="center"/>
            <w:hideMark/>
          </w:tcPr>
          <w:p w14:paraId="09F50C5A" w14:textId="77777777" w:rsidR="00831277" w:rsidRPr="00831277" w:rsidRDefault="00831277" w:rsidP="00831277">
            <w:pPr>
              <w:spacing w:before="0" w:after="0" w:line="240" w:lineRule="auto"/>
              <w:jc w:val="center"/>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C0070</w:t>
            </w:r>
          </w:p>
        </w:tc>
        <w:tc>
          <w:tcPr>
            <w:tcW w:w="1352" w:type="dxa"/>
            <w:tcBorders>
              <w:top w:val="single" w:sz="4" w:space="0" w:color="000000"/>
              <w:left w:val="single" w:sz="4" w:space="0" w:color="000000"/>
              <w:bottom w:val="single" w:sz="4" w:space="0" w:color="000000"/>
              <w:right w:val="single" w:sz="4" w:space="0" w:color="000000"/>
            </w:tcBorders>
            <w:shd w:val="clear" w:color="000000" w:fill="4EA72E"/>
            <w:vAlign w:val="center"/>
            <w:hideMark/>
          </w:tcPr>
          <w:p w14:paraId="18E782F5" w14:textId="77777777" w:rsidR="00831277" w:rsidRPr="00831277" w:rsidRDefault="00831277" w:rsidP="00831277">
            <w:pPr>
              <w:spacing w:before="0" w:after="0" w:line="240" w:lineRule="auto"/>
              <w:jc w:val="center"/>
              <w:rPr>
                <w:rFonts w:ascii="Aptos Narrow" w:eastAsia="Times New Roman" w:hAnsi="Aptos Narrow"/>
                <w:b/>
                <w:bCs/>
                <w:color w:val="FFFFFF"/>
                <w:kern w:val="0"/>
                <w:szCs w:val="22"/>
                <w:lang w:val="en-IE" w:eastAsia="en-IE"/>
              </w:rPr>
            </w:pPr>
            <w:r w:rsidRPr="00831277">
              <w:rPr>
                <w:rFonts w:ascii="Aptos Narrow" w:eastAsia="Times New Roman" w:hAnsi="Aptos Narrow"/>
                <w:b/>
                <w:bCs/>
                <w:color w:val="FFFFFF"/>
                <w:kern w:val="0"/>
                <w:szCs w:val="22"/>
                <w:lang w:val="en-IE" w:eastAsia="en-IE"/>
              </w:rPr>
              <w:t xml:space="preserve">AML.07.03 </w:t>
            </w:r>
          </w:p>
        </w:tc>
      </w:tr>
      <w:tr w:rsidR="00624C6F" w:rsidRPr="00831277" w14:paraId="6AA82B79" w14:textId="77777777" w:rsidTr="00624C6F">
        <w:trPr>
          <w:trHeight w:val="594"/>
        </w:trPr>
        <w:tc>
          <w:tcPr>
            <w:tcW w:w="1731" w:type="dxa"/>
            <w:vMerge w:val="restart"/>
            <w:tcBorders>
              <w:top w:val="single" w:sz="4" w:space="0" w:color="auto"/>
              <w:left w:val="single" w:sz="4" w:space="0" w:color="auto"/>
              <w:bottom w:val="nil"/>
              <w:right w:val="nil"/>
            </w:tcBorders>
            <w:shd w:val="clear" w:color="000000" w:fill="339933"/>
            <w:vAlign w:val="center"/>
            <w:hideMark/>
          </w:tcPr>
          <w:p w14:paraId="4B1D36DE" w14:textId="77777777" w:rsidR="00831277" w:rsidRPr="00831277" w:rsidRDefault="00831277" w:rsidP="00831277">
            <w:pPr>
              <w:spacing w:before="0" w:after="0" w:line="240" w:lineRule="auto"/>
              <w:jc w:val="center"/>
              <w:rPr>
                <w:rFonts w:ascii="Aptos Narrow" w:eastAsia="Times New Roman" w:hAnsi="Aptos Narrow"/>
                <w:b/>
                <w:bCs/>
                <w:color w:val="FFFFFF"/>
                <w:kern w:val="0"/>
                <w:sz w:val="24"/>
                <w:szCs w:val="24"/>
                <w:lang w:val="en-IE" w:eastAsia="en-IE"/>
              </w:rPr>
            </w:pPr>
            <w:r w:rsidRPr="00831277">
              <w:rPr>
                <w:rFonts w:ascii="Aptos Narrow" w:eastAsia="Times New Roman" w:hAnsi="Aptos Narrow"/>
                <w:b/>
                <w:bCs/>
                <w:color w:val="FFFFFF"/>
                <w:kern w:val="0"/>
                <w:sz w:val="24"/>
                <w:szCs w:val="24"/>
                <w:lang w:val="en-IE" w:eastAsia="en-IE"/>
              </w:rPr>
              <w:t xml:space="preserve">4 - Customer due diligence &amp; monitoring </w:t>
            </w:r>
            <w:r w:rsidRPr="00831277">
              <w:rPr>
                <w:rFonts w:ascii="Aptos Narrow" w:eastAsia="Times New Roman" w:hAnsi="Aptos Narrow"/>
                <w:color w:val="FFFFFF"/>
                <w:kern w:val="0"/>
                <w:sz w:val="24"/>
                <w:szCs w:val="24"/>
                <w:lang w:val="en-IE" w:eastAsia="en-IE"/>
              </w:rPr>
              <w:t>(Customer Due Diligence and Ongoing monitoring of business relationships)</w:t>
            </w:r>
          </w:p>
        </w:tc>
        <w:tc>
          <w:tcPr>
            <w:tcW w:w="4081" w:type="dxa"/>
            <w:tcBorders>
              <w:top w:val="single" w:sz="4" w:space="0" w:color="000000"/>
              <w:left w:val="single" w:sz="4" w:space="0" w:color="000000"/>
              <w:bottom w:val="single" w:sz="4" w:space="0" w:color="000000"/>
              <w:right w:val="single" w:sz="4" w:space="0" w:color="000000"/>
            </w:tcBorders>
            <w:vAlign w:val="center"/>
            <w:hideMark/>
          </w:tcPr>
          <w:p w14:paraId="3ACECF85" w14:textId="77777777" w:rsidR="00831277" w:rsidRPr="00831277" w:rsidRDefault="00831277" w:rsidP="00831277">
            <w:pPr>
              <w:spacing w:before="0" w:after="0" w:line="240" w:lineRule="auto"/>
              <w:rPr>
                <w:rFonts w:ascii="Aptos Narrow" w:eastAsia="Times New Roman" w:hAnsi="Aptos Narrow"/>
                <w:color w:val="000000"/>
                <w:kern w:val="0"/>
                <w:szCs w:val="22"/>
                <w:lang w:val="en-IE" w:eastAsia="en-IE"/>
              </w:rPr>
            </w:pPr>
            <w:r w:rsidRPr="00831277">
              <w:rPr>
                <w:rFonts w:ascii="Aptos Narrow" w:eastAsia="Times New Roman" w:hAnsi="Aptos Narrow"/>
                <w:color w:val="000000"/>
                <w:kern w:val="0"/>
                <w:szCs w:val="22"/>
                <w:lang w:val="en-IE" w:eastAsia="en-IE"/>
              </w:rPr>
              <w:t>Number of customers that are legal entities /trusts whose beneficial owners have not been identified</w:t>
            </w:r>
          </w:p>
        </w:tc>
        <w:tc>
          <w:tcPr>
            <w:tcW w:w="1821" w:type="dxa"/>
            <w:tcBorders>
              <w:top w:val="single" w:sz="4" w:space="0" w:color="000000"/>
              <w:left w:val="single" w:sz="4" w:space="0" w:color="000000"/>
              <w:bottom w:val="single" w:sz="4" w:space="0" w:color="000000"/>
              <w:right w:val="single" w:sz="4" w:space="0" w:color="000000"/>
            </w:tcBorders>
            <w:vAlign w:val="center"/>
            <w:hideMark/>
          </w:tcPr>
          <w:p w14:paraId="2AFBF83C" w14:textId="77777777" w:rsidR="00831277" w:rsidRPr="00831277" w:rsidRDefault="00831277" w:rsidP="00831277">
            <w:pPr>
              <w:spacing w:before="0" w:after="0" w:line="240" w:lineRule="auto"/>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Customers – LE/Trusts with BO Not Identified</w:t>
            </w:r>
          </w:p>
        </w:tc>
        <w:tc>
          <w:tcPr>
            <w:tcW w:w="938" w:type="dxa"/>
            <w:tcBorders>
              <w:top w:val="single" w:sz="4" w:space="0" w:color="000000"/>
              <w:left w:val="single" w:sz="4" w:space="0" w:color="000000"/>
              <w:bottom w:val="single" w:sz="4" w:space="0" w:color="000000"/>
              <w:right w:val="single" w:sz="4" w:space="0" w:color="000000"/>
            </w:tcBorders>
            <w:vAlign w:val="center"/>
            <w:hideMark/>
          </w:tcPr>
          <w:p w14:paraId="1F6EE440" w14:textId="77777777" w:rsidR="00831277" w:rsidRPr="00831277" w:rsidRDefault="00831277" w:rsidP="00831277">
            <w:pPr>
              <w:spacing w:before="0" w:after="0" w:line="240" w:lineRule="auto"/>
              <w:jc w:val="center"/>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C0010</w:t>
            </w:r>
          </w:p>
        </w:tc>
        <w:tc>
          <w:tcPr>
            <w:tcW w:w="1352" w:type="dxa"/>
            <w:tcBorders>
              <w:top w:val="single" w:sz="4" w:space="0" w:color="000000"/>
              <w:left w:val="single" w:sz="4" w:space="0" w:color="000000"/>
              <w:bottom w:val="single" w:sz="4" w:space="0" w:color="000000"/>
              <w:right w:val="single" w:sz="4" w:space="0" w:color="000000"/>
            </w:tcBorders>
            <w:shd w:val="clear" w:color="000000" w:fill="4EA72E"/>
            <w:vAlign w:val="center"/>
            <w:hideMark/>
          </w:tcPr>
          <w:p w14:paraId="7C37258A" w14:textId="77777777" w:rsidR="00831277" w:rsidRPr="00831277" w:rsidRDefault="00831277" w:rsidP="00831277">
            <w:pPr>
              <w:spacing w:before="0" w:after="0" w:line="240" w:lineRule="auto"/>
              <w:jc w:val="center"/>
              <w:rPr>
                <w:rFonts w:ascii="Aptos Narrow" w:eastAsia="Times New Roman" w:hAnsi="Aptos Narrow"/>
                <w:b/>
                <w:bCs/>
                <w:color w:val="FFFFFF"/>
                <w:kern w:val="0"/>
                <w:szCs w:val="22"/>
                <w:lang w:val="en-IE" w:eastAsia="en-IE"/>
              </w:rPr>
            </w:pPr>
            <w:r w:rsidRPr="00831277">
              <w:rPr>
                <w:rFonts w:ascii="Aptos Narrow" w:eastAsia="Times New Roman" w:hAnsi="Aptos Narrow"/>
                <w:b/>
                <w:bCs/>
                <w:color w:val="FFFFFF"/>
                <w:kern w:val="0"/>
                <w:szCs w:val="22"/>
                <w:lang w:val="en-IE" w:eastAsia="en-IE"/>
              </w:rPr>
              <w:t xml:space="preserve">AML.07.03 </w:t>
            </w:r>
          </w:p>
        </w:tc>
      </w:tr>
      <w:tr w:rsidR="00624C6F" w:rsidRPr="00831277" w14:paraId="2AE9D393" w14:textId="77777777" w:rsidTr="00624C6F">
        <w:trPr>
          <w:trHeight w:val="846"/>
        </w:trPr>
        <w:tc>
          <w:tcPr>
            <w:tcW w:w="1731" w:type="dxa"/>
            <w:vMerge/>
            <w:tcBorders>
              <w:top w:val="single" w:sz="4" w:space="0" w:color="auto"/>
              <w:left w:val="single" w:sz="4" w:space="0" w:color="auto"/>
              <w:bottom w:val="nil"/>
              <w:right w:val="nil"/>
            </w:tcBorders>
            <w:vAlign w:val="center"/>
            <w:hideMark/>
          </w:tcPr>
          <w:p w14:paraId="5098A30A" w14:textId="77777777" w:rsidR="00831277" w:rsidRPr="00831277" w:rsidRDefault="00831277" w:rsidP="00831277">
            <w:pPr>
              <w:spacing w:before="0" w:after="0" w:line="240" w:lineRule="auto"/>
              <w:rPr>
                <w:rFonts w:ascii="Aptos Narrow" w:eastAsia="Times New Roman" w:hAnsi="Aptos Narrow"/>
                <w:b/>
                <w:bCs/>
                <w:color w:val="FFFFFF"/>
                <w:kern w:val="0"/>
                <w:sz w:val="24"/>
                <w:szCs w:val="24"/>
                <w:lang w:val="en-IE" w:eastAsia="en-IE"/>
              </w:rPr>
            </w:pPr>
          </w:p>
        </w:tc>
        <w:tc>
          <w:tcPr>
            <w:tcW w:w="4081" w:type="dxa"/>
            <w:tcBorders>
              <w:top w:val="single" w:sz="4" w:space="0" w:color="000000"/>
              <w:left w:val="single" w:sz="4" w:space="0" w:color="000000"/>
              <w:bottom w:val="single" w:sz="4" w:space="0" w:color="000000"/>
              <w:right w:val="single" w:sz="4" w:space="0" w:color="000000"/>
            </w:tcBorders>
            <w:vAlign w:val="center"/>
            <w:hideMark/>
          </w:tcPr>
          <w:p w14:paraId="0AB3878F" w14:textId="77777777" w:rsidR="00831277" w:rsidRPr="00831277" w:rsidRDefault="00831277" w:rsidP="00831277">
            <w:pPr>
              <w:spacing w:before="0" w:after="0" w:line="240" w:lineRule="auto"/>
              <w:rPr>
                <w:rFonts w:ascii="Aptos Narrow" w:eastAsia="Times New Roman" w:hAnsi="Aptos Narrow"/>
                <w:color w:val="000000"/>
                <w:kern w:val="0"/>
                <w:szCs w:val="22"/>
                <w:lang w:val="en-IE" w:eastAsia="en-IE"/>
              </w:rPr>
            </w:pPr>
            <w:r w:rsidRPr="00831277">
              <w:rPr>
                <w:rFonts w:ascii="Aptos Narrow" w:eastAsia="Times New Roman" w:hAnsi="Aptos Narrow"/>
                <w:color w:val="000000"/>
                <w:kern w:val="0"/>
                <w:szCs w:val="22"/>
                <w:lang w:val="en-IE" w:eastAsia="en-IE"/>
              </w:rPr>
              <w:t>Number of customers that are legal entities /trusts whose beneficial ownership has been identified, but the identity of whom has not been verified</w:t>
            </w:r>
          </w:p>
        </w:tc>
        <w:tc>
          <w:tcPr>
            <w:tcW w:w="1821" w:type="dxa"/>
            <w:tcBorders>
              <w:top w:val="single" w:sz="4" w:space="0" w:color="000000"/>
              <w:left w:val="single" w:sz="4" w:space="0" w:color="000000"/>
              <w:bottom w:val="single" w:sz="4" w:space="0" w:color="000000"/>
              <w:right w:val="single" w:sz="4" w:space="0" w:color="000000"/>
            </w:tcBorders>
            <w:vAlign w:val="center"/>
            <w:hideMark/>
          </w:tcPr>
          <w:p w14:paraId="24643305" w14:textId="77777777" w:rsidR="00831277" w:rsidRPr="00831277" w:rsidRDefault="00831277" w:rsidP="00831277">
            <w:pPr>
              <w:spacing w:before="0" w:after="0" w:line="240" w:lineRule="auto"/>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Customers – LE/Trusts With BO Identified Not Verified</w:t>
            </w:r>
          </w:p>
        </w:tc>
        <w:tc>
          <w:tcPr>
            <w:tcW w:w="938" w:type="dxa"/>
            <w:tcBorders>
              <w:top w:val="single" w:sz="4" w:space="0" w:color="000000"/>
              <w:left w:val="single" w:sz="4" w:space="0" w:color="000000"/>
              <w:bottom w:val="single" w:sz="4" w:space="0" w:color="000000"/>
              <w:right w:val="single" w:sz="4" w:space="0" w:color="000000"/>
            </w:tcBorders>
            <w:vAlign w:val="center"/>
            <w:hideMark/>
          </w:tcPr>
          <w:p w14:paraId="330617E4" w14:textId="77777777" w:rsidR="00831277" w:rsidRPr="00831277" w:rsidRDefault="00831277" w:rsidP="00831277">
            <w:pPr>
              <w:spacing w:before="0" w:after="0" w:line="240" w:lineRule="auto"/>
              <w:jc w:val="center"/>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C0020</w:t>
            </w:r>
          </w:p>
        </w:tc>
        <w:tc>
          <w:tcPr>
            <w:tcW w:w="1352" w:type="dxa"/>
            <w:tcBorders>
              <w:top w:val="single" w:sz="4" w:space="0" w:color="000000"/>
              <w:left w:val="single" w:sz="4" w:space="0" w:color="000000"/>
              <w:bottom w:val="single" w:sz="4" w:space="0" w:color="000000"/>
              <w:right w:val="single" w:sz="4" w:space="0" w:color="000000"/>
            </w:tcBorders>
            <w:shd w:val="clear" w:color="000000" w:fill="4EA72E"/>
            <w:vAlign w:val="center"/>
            <w:hideMark/>
          </w:tcPr>
          <w:p w14:paraId="0BCF4DD6" w14:textId="77777777" w:rsidR="00831277" w:rsidRPr="00831277" w:rsidRDefault="00831277" w:rsidP="00831277">
            <w:pPr>
              <w:spacing w:before="0" w:after="0" w:line="240" w:lineRule="auto"/>
              <w:jc w:val="center"/>
              <w:rPr>
                <w:rFonts w:ascii="Aptos Narrow" w:eastAsia="Times New Roman" w:hAnsi="Aptos Narrow"/>
                <w:b/>
                <w:bCs/>
                <w:color w:val="FFFFFF"/>
                <w:kern w:val="0"/>
                <w:szCs w:val="22"/>
                <w:lang w:val="en-IE" w:eastAsia="en-IE"/>
              </w:rPr>
            </w:pPr>
            <w:r w:rsidRPr="00831277">
              <w:rPr>
                <w:rFonts w:ascii="Aptos Narrow" w:eastAsia="Times New Roman" w:hAnsi="Aptos Narrow"/>
                <w:b/>
                <w:bCs/>
                <w:color w:val="FFFFFF"/>
                <w:kern w:val="0"/>
                <w:szCs w:val="22"/>
                <w:lang w:val="en-IE" w:eastAsia="en-IE"/>
              </w:rPr>
              <w:t xml:space="preserve">AML.07.03 </w:t>
            </w:r>
          </w:p>
        </w:tc>
      </w:tr>
      <w:tr w:rsidR="00624C6F" w:rsidRPr="00831277" w14:paraId="406607BC" w14:textId="77777777" w:rsidTr="00624C6F">
        <w:trPr>
          <w:trHeight w:val="906"/>
        </w:trPr>
        <w:tc>
          <w:tcPr>
            <w:tcW w:w="1731" w:type="dxa"/>
            <w:vMerge/>
            <w:tcBorders>
              <w:top w:val="single" w:sz="4" w:space="0" w:color="auto"/>
              <w:left w:val="single" w:sz="4" w:space="0" w:color="auto"/>
              <w:bottom w:val="nil"/>
              <w:right w:val="nil"/>
            </w:tcBorders>
            <w:vAlign w:val="center"/>
            <w:hideMark/>
          </w:tcPr>
          <w:p w14:paraId="67667728" w14:textId="77777777" w:rsidR="00831277" w:rsidRPr="00831277" w:rsidRDefault="00831277" w:rsidP="00831277">
            <w:pPr>
              <w:spacing w:before="0" w:after="0" w:line="240" w:lineRule="auto"/>
              <w:rPr>
                <w:rFonts w:ascii="Aptos Narrow" w:eastAsia="Times New Roman" w:hAnsi="Aptos Narrow"/>
                <w:b/>
                <w:bCs/>
                <w:color w:val="FFFFFF"/>
                <w:kern w:val="0"/>
                <w:sz w:val="24"/>
                <w:szCs w:val="24"/>
                <w:lang w:val="en-IE" w:eastAsia="en-IE"/>
              </w:rPr>
            </w:pPr>
          </w:p>
        </w:tc>
        <w:tc>
          <w:tcPr>
            <w:tcW w:w="4081"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0F621AE" w14:textId="77777777" w:rsidR="00831277" w:rsidRPr="00831277" w:rsidRDefault="00831277" w:rsidP="00831277">
            <w:pPr>
              <w:spacing w:before="0" w:after="0" w:line="240" w:lineRule="auto"/>
              <w:rPr>
                <w:rFonts w:ascii="Aptos Narrow" w:eastAsia="Times New Roman" w:hAnsi="Aptos Narrow"/>
                <w:color w:val="000000"/>
                <w:kern w:val="0"/>
                <w:szCs w:val="22"/>
                <w:lang w:val="en-IE" w:eastAsia="en-IE"/>
              </w:rPr>
            </w:pPr>
            <w:r w:rsidRPr="00831277">
              <w:rPr>
                <w:rFonts w:ascii="Aptos Narrow" w:eastAsia="Times New Roman" w:hAnsi="Aptos Narrow"/>
                <w:color w:val="000000"/>
                <w:kern w:val="0"/>
                <w:szCs w:val="22"/>
                <w:lang w:val="en-IE" w:eastAsia="en-IE"/>
              </w:rPr>
              <w:t>Number of customers without identification and verification documentation/ information</w:t>
            </w:r>
          </w:p>
        </w:tc>
        <w:tc>
          <w:tcPr>
            <w:tcW w:w="1821" w:type="dxa"/>
            <w:tcBorders>
              <w:top w:val="single" w:sz="4" w:space="0" w:color="000000"/>
              <w:left w:val="single" w:sz="4" w:space="0" w:color="000000"/>
              <w:bottom w:val="single" w:sz="4" w:space="0" w:color="000000"/>
              <w:right w:val="single" w:sz="4" w:space="0" w:color="000000"/>
            </w:tcBorders>
            <w:vAlign w:val="center"/>
            <w:hideMark/>
          </w:tcPr>
          <w:p w14:paraId="5D76FC7B" w14:textId="77777777" w:rsidR="00831277" w:rsidRPr="00831277" w:rsidRDefault="00831277" w:rsidP="00831277">
            <w:pPr>
              <w:spacing w:before="0" w:after="0" w:line="240" w:lineRule="auto"/>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Customers – Missing ID/Verification Documentation</w:t>
            </w:r>
          </w:p>
        </w:tc>
        <w:tc>
          <w:tcPr>
            <w:tcW w:w="938" w:type="dxa"/>
            <w:tcBorders>
              <w:top w:val="single" w:sz="4" w:space="0" w:color="000000"/>
              <w:left w:val="single" w:sz="4" w:space="0" w:color="000000"/>
              <w:bottom w:val="single" w:sz="4" w:space="0" w:color="000000"/>
              <w:right w:val="single" w:sz="4" w:space="0" w:color="000000"/>
            </w:tcBorders>
            <w:vAlign w:val="center"/>
            <w:hideMark/>
          </w:tcPr>
          <w:p w14:paraId="38C0E695" w14:textId="77777777" w:rsidR="00831277" w:rsidRPr="00831277" w:rsidRDefault="00831277" w:rsidP="00831277">
            <w:pPr>
              <w:spacing w:before="0" w:after="0" w:line="240" w:lineRule="auto"/>
              <w:jc w:val="center"/>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C0030</w:t>
            </w:r>
          </w:p>
        </w:tc>
        <w:tc>
          <w:tcPr>
            <w:tcW w:w="1352" w:type="dxa"/>
            <w:tcBorders>
              <w:top w:val="single" w:sz="4" w:space="0" w:color="000000"/>
              <w:left w:val="single" w:sz="4" w:space="0" w:color="000000"/>
              <w:bottom w:val="single" w:sz="4" w:space="0" w:color="000000"/>
              <w:right w:val="single" w:sz="4" w:space="0" w:color="000000"/>
            </w:tcBorders>
            <w:shd w:val="clear" w:color="000000" w:fill="4EA72E"/>
            <w:vAlign w:val="center"/>
            <w:hideMark/>
          </w:tcPr>
          <w:p w14:paraId="5B5AAB2F" w14:textId="77777777" w:rsidR="00831277" w:rsidRPr="00831277" w:rsidRDefault="00831277" w:rsidP="00831277">
            <w:pPr>
              <w:spacing w:before="0" w:after="0" w:line="240" w:lineRule="auto"/>
              <w:jc w:val="center"/>
              <w:rPr>
                <w:rFonts w:ascii="Aptos Narrow" w:eastAsia="Times New Roman" w:hAnsi="Aptos Narrow"/>
                <w:b/>
                <w:bCs/>
                <w:color w:val="FFFFFF"/>
                <w:kern w:val="0"/>
                <w:szCs w:val="22"/>
                <w:lang w:val="en-IE" w:eastAsia="en-IE"/>
              </w:rPr>
            </w:pPr>
            <w:r w:rsidRPr="00831277">
              <w:rPr>
                <w:rFonts w:ascii="Aptos Narrow" w:eastAsia="Times New Roman" w:hAnsi="Aptos Narrow"/>
                <w:b/>
                <w:bCs/>
                <w:color w:val="FFFFFF"/>
                <w:kern w:val="0"/>
                <w:szCs w:val="22"/>
                <w:lang w:val="en-IE" w:eastAsia="en-IE"/>
              </w:rPr>
              <w:t xml:space="preserve">AML.07.03 </w:t>
            </w:r>
          </w:p>
        </w:tc>
      </w:tr>
      <w:tr w:rsidR="00624C6F" w:rsidRPr="00831277" w14:paraId="5EABD20C" w14:textId="77777777" w:rsidTr="00624C6F">
        <w:trPr>
          <w:trHeight w:val="564"/>
        </w:trPr>
        <w:tc>
          <w:tcPr>
            <w:tcW w:w="1731" w:type="dxa"/>
            <w:vMerge/>
            <w:tcBorders>
              <w:top w:val="single" w:sz="4" w:space="0" w:color="auto"/>
              <w:left w:val="single" w:sz="4" w:space="0" w:color="auto"/>
              <w:bottom w:val="nil"/>
              <w:right w:val="nil"/>
            </w:tcBorders>
            <w:vAlign w:val="center"/>
            <w:hideMark/>
          </w:tcPr>
          <w:p w14:paraId="25439316" w14:textId="77777777" w:rsidR="00831277" w:rsidRPr="00831277" w:rsidRDefault="00831277" w:rsidP="00831277">
            <w:pPr>
              <w:spacing w:before="0" w:after="0" w:line="240" w:lineRule="auto"/>
              <w:rPr>
                <w:rFonts w:ascii="Aptos Narrow" w:eastAsia="Times New Roman" w:hAnsi="Aptos Narrow"/>
                <w:b/>
                <w:bCs/>
                <w:color w:val="FFFFFF"/>
                <w:kern w:val="0"/>
                <w:sz w:val="24"/>
                <w:szCs w:val="24"/>
                <w:lang w:val="en-IE" w:eastAsia="en-IE"/>
              </w:rPr>
            </w:pPr>
          </w:p>
        </w:tc>
        <w:tc>
          <w:tcPr>
            <w:tcW w:w="4081"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C6E7A07" w14:textId="77777777" w:rsidR="00831277" w:rsidRPr="00831277" w:rsidRDefault="00831277" w:rsidP="00831277">
            <w:pPr>
              <w:spacing w:before="0" w:after="0" w:line="240" w:lineRule="auto"/>
              <w:rPr>
                <w:rFonts w:ascii="Aptos Narrow" w:eastAsia="Times New Roman" w:hAnsi="Aptos Narrow"/>
                <w:color w:val="000000"/>
                <w:kern w:val="0"/>
                <w:szCs w:val="22"/>
                <w:lang w:val="en-IE" w:eastAsia="en-IE"/>
              </w:rPr>
            </w:pPr>
            <w:r w:rsidRPr="00831277">
              <w:rPr>
                <w:rFonts w:ascii="Aptos Narrow" w:eastAsia="Times New Roman" w:hAnsi="Aptos Narrow"/>
                <w:color w:val="000000"/>
                <w:kern w:val="0"/>
                <w:szCs w:val="22"/>
                <w:lang w:val="en-IE" w:eastAsia="en-IE"/>
              </w:rPr>
              <w:t xml:space="preserve">Number of customers whose CDD data and information is not yet in line with the requirements of Article 20 AMLR </w:t>
            </w:r>
          </w:p>
        </w:tc>
        <w:tc>
          <w:tcPr>
            <w:tcW w:w="1821" w:type="dxa"/>
            <w:tcBorders>
              <w:top w:val="single" w:sz="4" w:space="0" w:color="000000"/>
              <w:left w:val="single" w:sz="4" w:space="0" w:color="000000"/>
              <w:bottom w:val="single" w:sz="4" w:space="0" w:color="000000"/>
              <w:right w:val="single" w:sz="4" w:space="0" w:color="000000"/>
            </w:tcBorders>
            <w:vAlign w:val="center"/>
            <w:hideMark/>
          </w:tcPr>
          <w:p w14:paraId="254C1983" w14:textId="77777777" w:rsidR="00831277" w:rsidRPr="00831277" w:rsidRDefault="00831277" w:rsidP="00831277">
            <w:pPr>
              <w:spacing w:before="0" w:after="0" w:line="240" w:lineRule="auto"/>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Customers – CDD Not Compliant with Article 20 AMLR</w:t>
            </w:r>
          </w:p>
        </w:tc>
        <w:tc>
          <w:tcPr>
            <w:tcW w:w="938" w:type="dxa"/>
            <w:tcBorders>
              <w:top w:val="single" w:sz="4" w:space="0" w:color="000000"/>
              <w:left w:val="single" w:sz="4" w:space="0" w:color="000000"/>
              <w:bottom w:val="single" w:sz="4" w:space="0" w:color="000000"/>
              <w:right w:val="single" w:sz="4" w:space="0" w:color="000000"/>
            </w:tcBorders>
            <w:vAlign w:val="center"/>
            <w:hideMark/>
          </w:tcPr>
          <w:p w14:paraId="737B8E8E" w14:textId="77777777" w:rsidR="00831277" w:rsidRPr="00831277" w:rsidRDefault="00831277" w:rsidP="00831277">
            <w:pPr>
              <w:spacing w:before="0" w:after="0" w:line="240" w:lineRule="auto"/>
              <w:jc w:val="center"/>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C0040</w:t>
            </w:r>
          </w:p>
        </w:tc>
        <w:tc>
          <w:tcPr>
            <w:tcW w:w="1352" w:type="dxa"/>
            <w:tcBorders>
              <w:top w:val="single" w:sz="4" w:space="0" w:color="000000"/>
              <w:left w:val="single" w:sz="4" w:space="0" w:color="000000"/>
              <w:bottom w:val="single" w:sz="4" w:space="0" w:color="000000"/>
              <w:right w:val="single" w:sz="4" w:space="0" w:color="000000"/>
            </w:tcBorders>
            <w:shd w:val="clear" w:color="000000" w:fill="4EA72E"/>
            <w:vAlign w:val="center"/>
            <w:hideMark/>
          </w:tcPr>
          <w:p w14:paraId="6618C0DD" w14:textId="77777777" w:rsidR="00831277" w:rsidRPr="00831277" w:rsidRDefault="00831277" w:rsidP="00831277">
            <w:pPr>
              <w:spacing w:before="0" w:after="0" w:line="240" w:lineRule="auto"/>
              <w:jc w:val="center"/>
              <w:rPr>
                <w:rFonts w:ascii="Aptos Narrow" w:eastAsia="Times New Roman" w:hAnsi="Aptos Narrow"/>
                <w:b/>
                <w:bCs/>
                <w:color w:val="FFFFFF"/>
                <w:kern w:val="0"/>
                <w:szCs w:val="22"/>
                <w:lang w:val="en-IE" w:eastAsia="en-IE"/>
              </w:rPr>
            </w:pPr>
            <w:r w:rsidRPr="00831277">
              <w:rPr>
                <w:rFonts w:ascii="Aptos Narrow" w:eastAsia="Times New Roman" w:hAnsi="Aptos Narrow"/>
                <w:b/>
                <w:bCs/>
                <w:color w:val="FFFFFF"/>
                <w:kern w:val="0"/>
                <w:szCs w:val="22"/>
                <w:lang w:val="en-IE" w:eastAsia="en-IE"/>
              </w:rPr>
              <w:t xml:space="preserve">AML.07.03 </w:t>
            </w:r>
          </w:p>
        </w:tc>
      </w:tr>
      <w:tr w:rsidR="00624C6F" w:rsidRPr="00831277" w14:paraId="49396BF9" w14:textId="77777777" w:rsidTr="00624C6F">
        <w:trPr>
          <w:trHeight w:val="564"/>
        </w:trPr>
        <w:tc>
          <w:tcPr>
            <w:tcW w:w="1731" w:type="dxa"/>
            <w:vMerge/>
            <w:tcBorders>
              <w:top w:val="single" w:sz="4" w:space="0" w:color="auto"/>
              <w:left w:val="single" w:sz="4" w:space="0" w:color="auto"/>
              <w:bottom w:val="nil"/>
              <w:right w:val="nil"/>
            </w:tcBorders>
            <w:vAlign w:val="center"/>
            <w:hideMark/>
          </w:tcPr>
          <w:p w14:paraId="00A6088E" w14:textId="77777777" w:rsidR="00831277" w:rsidRPr="00831277" w:rsidRDefault="00831277" w:rsidP="00831277">
            <w:pPr>
              <w:spacing w:before="0" w:after="0" w:line="240" w:lineRule="auto"/>
              <w:rPr>
                <w:rFonts w:ascii="Aptos Narrow" w:eastAsia="Times New Roman" w:hAnsi="Aptos Narrow"/>
                <w:b/>
                <w:bCs/>
                <w:color w:val="FFFFFF"/>
                <w:kern w:val="0"/>
                <w:sz w:val="24"/>
                <w:szCs w:val="24"/>
                <w:lang w:val="en-IE" w:eastAsia="en-IE"/>
              </w:rPr>
            </w:pPr>
          </w:p>
        </w:tc>
        <w:tc>
          <w:tcPr>
            <w:tcW w:w="4081"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CA2DC2A" w14:textId="77777777" w:rsidR="00831277" w:rsidRPr="00831277" w:rsidRDefault="00831277" w:rsidP="00831277">
            <w:pPr>
              <w:spacing w:before="0" w:after="0" w:line="240" w:lineRule="auto"/>
              <w:rPr>
                <w:rFonts w:ascii="Aptos Narrow" w:eastAsia="Times New Roman" w:hAnsi="Aptos Narrow"/>
                <w:color w:val="000000"/>
                <w:kern w:val="0"/>
                <w:szCs w:val="22"/>
                <w:lang w:val="en-IE" w:eastAsia="en-IE"/>
              </w:rPr>
            </w:pPr>
            <w:r w:rsidRPr="00831277">
              <w:rPr>
                <w:rFonts w:ascii="Aptos Narrow" w:eastAsia="Times New Roman" w:hAnsi="Aptos Narrow"/>
                <w:color w:val="000000"/>
                <w:kern w:val="0"/>
                <w:szCs w:val="22"/>
                <w:lang w:val="en-IE" w:eastAsia="en-IE"/>
              </w:rPr>
              <w:t>Number of customers without ML/TF risk profile (excluding customers with whom the obliged entity does not have a business relationship)</w:t>
            </w:r>
          </w:p>
        </w:tc>
        <w:tc>
          <w:tcPr>
            <w:tcW w:w="1821" w:type="dxa"/>
            <w:tcBorders>
              <w:top w:val="single" w:sz="4" w:space="0" w:color="000000"/>
              <w:left w:val="single" w:sz="4" w:space="0" w:color="000000"/>
              <w:bottom w:val="single" w:sz="4" w:space="0" w:color="000000"/>
              <w:right w:val="single" w:sz="4" w:space="0" w:color="000000"/>
            </w:tcBorders>
            <w:vAlign w:val="center"/>
            <w:hideMark/>
          </w:tcPr>
          <w:p w14:paraId="0EE53A63" w14:textId="77777777" w:rsidR="00831277" w:rsidRPr="00831277" w:rsidRDefault="00831277" w:rsidP="00831277">
            <w:pPr>
              <w:spacing w:before="0" w:after="0" w:line="240" w:lineRule="auto"/>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Customers – Without ML/TF Risk Profile</w:t>
            </w:r>
          </w:p>
        </w:tc>
        <w:tc>
          <w:tcPr>
            <w:tcW w:w="938" w:type="dxa"/>
            <w:tcBorders>
              <w:top w:val="single" w:sz="4" w:space="0" w:color="000000"/>
              <w:left w:val="single" w:sz="4" w:space="0" w:color="000000"/>
              <w:bottom w:val="single" w:sz="4" w:space="0" w:color="000000"/>
              <w:right w:val="single" w:sz="4" w:space="0" w:color="000000"/>
            </w:tcBorders>
            <w:vAlign w:val="center"/>
            <w:hideMark/>
          </w:tcPr>
          <w:p w14:paraId="0AFDA20A" w14:textId="77777777" w:rsidR="00831277" w:rsidRPr="00831277" w:rsidRDefault="00831277" w:rsidP="00831277">
            <w:pPr>
              <w:spacing w:before="0" w:after="0" w:line="240" w:lineRule="auto"/>
              <w:jc w:val="center"/>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C0050</w:t>
            </w:r>
          </w:p>
        </w:tc>
        <w:tc>
          <w:tcPr>
            <w:tcW w:w="1352" w:type="dxa"/>
            <w:tcBorders>
              <w:top w:val="single" w:sz="4" w:space="0" w:color="000000"/>
              <w:left w:val="single" w:sz="4" w:space="0" w:color="000000"/>
              <w:bottom w:val="single" w:sz="4" w:space="0" w:color="000000"/>
              <w:right w:val="single" w:sz="4" w:space="0" w:color="000000"/>
            </w:tcBorders>
            <w:shd w:val="clear" w:color="000000" w:fill="4EA72E"/>
            <w:vAlign w:val="center"/>
            <w:hideMark/>
          </w:tcPr>
          <w:p w14:paraId="3F3E0458" w14:textId="77777777" w:rsidR="00831277" w:rsidRPr="00831277" w:rsidRDefault="00831277" w:rsidP="00831277">
            <w:pPr>
              <w:spacing w:before="0" w:after="0" w:line="240" w:lineRule="auto"/>
              <w:jc w:val="center"/>
              <w:rPr>
                <w:rFonts w:ascii="Aptos Narrow" w:eastAsia="Times New Roman" w:hAnsi="Aptos Narrow"/>
                <w:b/>
                <w:bCs/>
                <w:color w:val="FFFFFF"/>
                <w:kern w:val="0"/>
                <w:szCs w:val="22"/>
                <w:lang w:val="en-IE" w:eastAsia="en-IE"/>
              </w:rPr>
            </w:pPr>
            <w:r w:rsidRPr="00831277">
              <w:rPr>
                <w:rFonts w:ascii="Aptos Narrow" w:eastAsia="Times New Roman" w:hAnsi="Aptos Narrow"/>
                <w:b/>
                <w:bCs/>
                <w:color w:val="FFFFFF"/>
                <w:kern w:val="0"/>
                <w:szCs w:val="22"/>
                <w:lang w:val="en-IE" w:eastAsia="en-IE"/>
              </w:rPr>
              <w:t xml:space="preserve">AML.07.03 </w:t>
            </w:r>
          </w:p>
        </w:tc>
      </w:tr>
      <w:tr w:rsidR="00624C6F" w:rsidRPr="00831277" w14:paraId="6BE8F3B3" w14:textId="77777777" w:rsidTr="00624C6F">
        <w:trPr>
          <w:trHeight w:val="846"/>
        </w:trPr>
        <w:tc>
          <w:tcPr>
            <w:tcW w:w="1731" w:type="dxa"/>
            <w:vMerge/>
            <w:tcBorders>
              <w:top w:val="single" w:sz="4" w:space="0" w:color="auto"/>
              <w:left w:val="single" w:sz="4" w:space="0" w:color="auto"/>
              <w:bottom w:val="nil"/>
              <w:right w:val="nil"/>
            </w:tcBorders>
            <w:vAlign w:val="center"/>
            <w:hideMark/>
          </w:tcPr>
          <w:p w14:paraId="3AF01EA7" w14:textId="77777777" w:rsidR="00831277" w:rsidRPr="00831277" w:rsidRDefault="00831277" w:rsidP="00831277">
            <w:pPr>
              <w:spacing w:before="0" w:after="0" w:line="240" w:lineRule="auto"/>
              <w:rPr>
                <w:rFonts w:ascii="Aptos Narrow" w:eastAsia="Times New Roman" w:hAnsi="Aptos Narrow"/>
                <w:b/>
                <w:bCs/>
                <w:color w:val="FFFFFF"/>
                <w:kern w:val="0"/>
                <w:sz w:val="24"/>
                <w:szCs w:val="24"/>
                <w:lang w:val="en-IE" w:eastAsia="en-IE"/>
              </w:rPr>
            </w:pPr>
          </w:p>
        </w:tc>
        <w:tc>
          <w:tcPr>
            <w:tcW w:w="4081"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8D4B56D" w14:textId="77777777" w:rsidR="00831277" w:rsidRPr="00831277" w:rsidRDefault="00831277" w:rsidP="00831277">
            <w:pPr>
              <w:spacing w:before="0" w:after="0" w:line="240" w:lineRule="auto"/>
              <w:rPr>
                <w:rFonts w:ascii="Aptos Narrow" w:eastAsia="Times New Roman" w:hAnsi="Aptos Narrow"/>
                <w:color w:val="000000"/>
                <w:kern w:val="0"/>
                <w:szCs w:val="22"/>
                <w:lang w:val="en-IE" w:eastAsia="en-IE"/>
              </w:rPr>
            </w:pPr>
            <w:r w:rsidRPr="00831277">
              <w:rPr>
                <w:rFonts w:ascii="Aptos Narrow" w:eastAsia="Times New Roman" w:hAnsi="Aptos Narrow"/>
                <w:color w:val="000000"/>
                <w:kern w:val="0"/>
                <w:szCs w:val="22"/>
                <w:lang w:val="en-IE" w:eastAsia="en-IE"/>
              </w:rPr>
              <w:t>Number of customers for whom updates of customer information were due in the last calendar year, in accordance with the obliged entity's policies and procedures</w:t>
            </w:r>
          </w:p>
        </w:tc>
        <w:tc>
          <w:tcPr>
            <w:tcW w:w="1821" w:type="dxa"/>
            <w:tcBorders>
              <w:top w:val="single" w:sz="4" w:space="0" w:color="000000"/>
              <w:left w:val="single" w:sz="4" w:space="0" w:color="000000"/>
              <w:bottom w:val="single" w:sz="4" w:space="0" w:color="000000"/>
              <w:right w:val="single" w:sz="4" w:space="0" w:color="000000"/>
            </w:tcBorders>
            <w:vAlign w:val="center"/>
            <w:hideMark/>
          </w:tcPr>
          <w:p w14:paraId="0340D864" w14:textId="77777777" w:rsidR="00831277" w:rsidRPr="00831277" w:rsidRDefault="00831277" w:rsidP="00831277">
            <w:pPr>
              <w:spacing w:before="0" w:after="0" w:line="240" w:lineRule="auto"/>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 xml:space="preserve">Customers – Information Updates Due </w:t>
            </w:r>
          </w:p>
        </w:tc>
        <w:tc>
          <w:tcPr>
            <w:tcW w:w="938" w:type="dxa"/>
            <w:tcBorders>
              <w:top w:val="single" w:sz="4" w:space="0" w:color="000000"/>
              <w:left w:val="single" w:sz="4" w:space="0" w:color="000000"/>
              <w:bottom w:val="single" w:sz="4" w:space="0" w:color="000000"/>
              <w:right w:val="single" w:sz="4" w:space="0" w:color="000000"/>
            </w:tcBorders>
            <w:vAlign w:val="center"/>
            <w:hideMark/>
          </w:tcPr>
          <w:p w14:paraId="69BA13DF" w14:textId="77777777" w:rsidR="00831277" w:rsidRPr="00831277" w:rsidRDefault="00831277" w:rsidP="00831277">
            <w:pPr>
              <w:spacing w:before="0" w:after="0" w:line="240" w:lineRule="auto"/>
              <w:jc w:val="center"/>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C0060</w:t>
            </w:r>
          </w:p>
        </w:tc>
        <w:tc>
          <w:tcPr>
            <w:tcW w:w="1352" w:type="dxa"/>
            <w:tcBorders>
              <w:top w:val="single" w:sz="4" w:space="0" w:color="000000"/>
              <w:left w:val="single" w:sz="4" w:space="0" w:color="000000"/>
              <w:bottom w:val="single" w:sz="4" w:space="0" w:color="000000"/>
              <w:right w:val="single" w:sz="4" w:space="0" w:color="000000"/>
            </w:tcBorders>
            <w:shd w:val="clear" w:color="000000" w:fill="4EA72E"/>
            <w:vAlign w:val="center"/>
            <w:hideMark/>
          </w:tcPr>
          <w:p w14:paraId="22993DEA" w14:textId="77777777" w:rsidR="00831277" w:rsidRPr="00831277" w:rsidRDefault="00831277" w:rsidP="00831277">
            <w:pPr>
              <w:spacing w:before="0" w:after="0" w:line="240" w:lineRule="auto"/>
              <w:jc w:val="center"/>
              <w:rPr>
                <w:rFonts w:ascii="Aptos Narrow" w:eastAsia="Times New Roman" w:hAnsi="Aptos Narrow"/>
                <w:b/>
                <w:bCs/>
                <w:color w:val="FFFFFF"/>
                <w:kern w:val="0"/>
                <w:szCs w:val="22"/>
                <w:lang w:val="en-IE" w:eastAsia="en-IE"/>
              </w:rPr>
            </w:pPr>
            <w:r w:rsidRPr="00831277">
              <w:rPr>
                <w:rFonts w:ascii="Aptos Narrow" w:eastAsia="Times New Roman" w:hAnsi="Aptos Narrow"/>
                <w:b/>
                <w:bCs/>
                <w:color w:val="FFFFFF"/>
                <w:kern w:val="0"/>
                <w:szCs w:val="22"/>
                <w:lang w:val="en-IE" w:eastAsia="en-IE"/>
              </w:rPr>
              <w:t xml:space="preserve">AML.07.03 </w:t>
            </w:r>
          </w:p>
        </w:tc>
      </w:tr>
      <w:tr w:rsidR="00624C6F" w:rsidRPr="00831277" w14:paraId="164E1D8C" w14:textId="77777777" w:rsidTr="00624C6F">
        <w:trPr>
          <w:trHeight w:val="564"/>
        </w:trPr>
        <w:tc>
          <w:tcPr>
            <w:tcW w:w="1731" w:type="dxa"/>
            <w:vMerge/>
            <w:tcBorders>
              <w:top w:val="single" w:sz="4" w:space="0" w:color="auto"/>
              <w:left w:val="single" w:sz="4" w:space="0" w:color="auto"/>
              <w:bottom w:val="nil"/>
              <w:right w:val="nil"/>
            </w:tcBorders>
            <w:vAlign w:val="center"/>
            <w:hideMark/>
          </w:tcPr>
          <w:p w14:paraId="62DA14FC" w14:textId="77777777" w:rsidR="00831277" w:rsidRPr="00831277" w:rsidRDefault="00831277" w:rsidP="00831277">
            <w:pPr>
              <w:spacing w:before="0" w:after="0" w:line="240" w:lineRule="auto"/>
              <w:rPr>
                <w:rFonts w:ascii="Aptos Narrow" w:eastAsia="Times New Roman" w:hAnsi="Aptos Narrow"/>
                <w:b/>
                <w:bCs/>
                <w:color w:val="FFFFFF"/>
                <w:kern w:val="0"/>
                <w:sz w:val="24"/>
                <w:szCs w:val="24"/>
                <w:lang w:val="en-IE" w:eastAsia="en-IE"/>
              </w:rPr>
            </w:pPr>
          </w:p>
        </w:tc>
        <w:tc>
          <w:tcPr>
            <w:tcW w:w="4081"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363E43B" w14:textId="77777777" w:rsidR="00831277" w:rsidRPr="00831277" w:rsidRDefault="00831277" w:rsidP="00831277">
            <w:pPr>
              <w:spacing w:before="0" w:after="0" w:line="240" w:lineRule="auto"/>
              <w:rPr>
                <w:rFonts w:ascii="Aptos Narrow" w:eastAsia="Times New Roman" w:hAnsi="Aptos Narrow"/>
                <w:color w:val="000000"/>
                <w:kern w:val="0"/>
                <w:szCs w:val="22"/>
                <w:lang w:val="en-IE" w:eastAsia="en-IE"/>
              </w:rPr>
            </w:pPr>
            <w:r w:rsidRPr="00831277">
              <w:rPr>
                <w:rFonts w:ascii="Aptos Narrow" w:eastAsia="Times New Roman" w:hAnsi="Aptos Narrow"/>
                <w:color w:val="000000"/>
                <w:kern w:val="0"/>
                <w:szCs w:val="22"/>
                <w:lang w:val="en-IE" w:eastAsia="en-IE"/>
              </w:rPr>
              <w:t>Number of customers for whom customer information was reviewed and updated in the last calendar year</w:t>
            </w:r>
          </w:p>
        </w:tc>
        <w:tc>
          <w:tcPr>
            <w:tcW w:w="1821" w:type="dxa"/>
            <w:tcBorders>
              <w:top w:val="single" w:sz="4" w:space="0" w:color="000000"/>
              <w:left w:val="single" w:sz="4" w:space="0" w:color="000000"/>
              <w:bottom w:val="single" w:sz="4" w:space="0" w:color="000000"/>
              <w:right w:val="single" w:sz="4" w:space="0" w:color="000000"/>
            </w:tcBorders>
            <w:vAlign w:val="center"/>
            <w:hideMark/>
          </w:tcPr>
          <w:p w14:paraId="0A379FBA" w14:textId="77777777" w:rsidR="00831277" w:rsidRPr="00831277" w:rsidRDefault="00831277" w:rsidP="00831277">
            <w:pPr>
              <w:spacing w:before="0" w:after="0" w:line="240" w:lineRule="auto"/>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Customers – Information Updates Completed</w:t>
            </w:r>
          </w:p>
        </w:tc>
        <w:tc>
          <w:tcPr>
            <w:tcW w:w="938" w:type="dxa"/>
            <w:tcBorders>
              <w:top w:val="single" w:sz="4" w:space="0" w:color="000000"/>
              <w:left w:val="single" w:sz="4" w:space="0" w:color="000000"/>
              <w:bottom w:val="single" w:sz="4" w:space="0" w:color="000000"/>
              <w:right w:val="single" w:sz="4" w:space="0" w:color="000000"/>
            </w:tcBorders>
            <w:vAlign w:val="center"/>
            <w:hideMark/>
          </w:tcPr>
          <w:p w14:paraId="12F75274" w14:textId="77777777" w:rsidR="00831277" w:rsidRPr="00831277" w:rsidRDefault="00831277" w:rsidP="00831277">
            <w:pPr>
              <w:spacing w:before="0" w:after="0" w:line="240" w:lineRule="auto"/>
              <w:jc w:val="center"/>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C0070</w:t>
            </w:r>
          </w:p>
        </w:tc>
        <w:tc>
          <w:tcPr>
            <w:tcW w:w="1352" w:type="dxa"/>
            <w:tcBorders>
              <w:top w:val="single" w:sz="4" w:space="0" w:color="000000"/>
              <w:left w:val="single" w:sz="4" w:space="0" w:color="000000"/>
              <w:bottom w:val="single" w:sz="4" w:space="0" w:color="000000"/>
              <w:right w:val="single" w:sz="4" w:space="0" w:color="000000"/>
            </w:tcBorders>
            <w:shd w:val="clear" w:color="000000" w:fill="4EA72E"/>
            <w:vAlign w:val="center"/>
            <w:hideMark/>
          </w:tcPr>
          <w:p w14:paraId="3522E23D" w14:textId="77777777" w:rsidR="00831277" w:rsidRPr="00831277" w:rsidRDefault="00831277" w:rsidP="00831277">
            <w:pPr>
              <w:spacing w:before="0" w:after="0" w:line="240" w:lineRule="auto"/>
              <w:jc w:val="center"/>
              <w:rPr>
                <w:rFonts w:ascii="Aptos Narrow" w:eastAsia="Times New Roman" w:hAnsi="Aptos Narrow"/>
                <w:b/>
                <w:bCs/>
                <w:color w:val="FFFFFF"/>
                <w:kern w:val="0"/>
                <w:szCs w:val="22"/>
                <w:lang w:val="en-IE" w:eastAsia="en-IE"/>
              </w:rPr>
            </w:pPr>
            <w:r w:rsidRPr="00831277">
              <w:rPr>
                <w:rFonts w:ascii="Aptos Narrow" w:eastAsia="Times New Roman" w:hAnsi="Aptos Narrow"/>
                <w:b/>
                <w:bCs/>
                <w:color w:val="FFFFFF"/>
                <w:kern w:val="0"/>
                <w:szCs w:val="22"/>
                <w:lang w:val="en-IE" w:eastAsia="en-IE"/>
              </w:rPr>
              <w:t xml:space="preserve">AML.07.03 </w:t>
            </w:r>
          </w:p>
        </w:tc>
      </w:tr>
      <w:tr w:rsidR="00624C6F" w:rsidRPr="00831277" w14:paraId="58F2EBAD" w14:textId="77777777" w:rsidTr="00624C6F">
        <w:trPr>
          <w:trHeight w:val="594"/>
        </w:trPr>
        <w:tc>
          <w:tcPr>
            <w:tcW w:w="1731" w:type="dxa"/>
            <w:vMerge w:val="restart"/>
            <w:tcBorders>
              <w:top w:val="single" w:sz="4" w:space="0" w:color="auto"/>
              <w:left w:val="single" w:sz="4" w:space="0" w:color="auto"/>
              <w:bottom w:val="nil"/>
              <w:right w:val="nil"/>
            </w:tcBorders>
            <w:shd w:val="clear" w:color="000000" w:fill="339933"/>
            <w:vAlign w:val="center"/>
            <w:hideMark/>
          </w:tcPr>
          <w:p w14:paraId="4DD0401A" w14:textId="77777777" w:rsidR="00831277" w:rsidRPr="00831277" w:rsidRDefault="00831277" w:rsidP="00831277">
            <w:pPr>
              <w:spacing w:before="0" w:after="0" w:line="240" w:lineRule="auto"/>
              <w:jc w:val="center"/>
              <w:rPr>
                <w:rFonts w:ascii="Aptos Narrow" w:eastAsia="Times New Roman" w:hAnsi="Aptos Narrow"/>
                <w:b/>
                <w:bCs/>
                <w:color w:val="FFFFFF"/>
                <w:kern w:val="0"/>
                <w:sz w:val="24"/>
                <w:szCs w:val="24"/>
                <w:lang w:val="en-IE" w:eastAsia="en-IE"/>
              </w:rPr>
            </w:pPr>
            <w:r w:rsidRPr="00831277">
              <w:rPr>
                <w:rFonts w:ascii="Aptos Narrow" w:eastAsia="Times New Roman" w:hAnsi="Aptos Narrow"/>
                <w:b/>
                <w:bCs/>
                <w:color w:val="FFFFFF"/>
                <w:kern w:val="0"/>
                <w:sz w:val="24"/>
                <w:szCs w:val="24"/>
                <w:lang w:val="en-IE" w:eastAsia="en-IE"/>
              </w:rPr>
              <w:t>5 - Transaction monitoring and Suspicious Activity Reporting</w:t>
            </w:r>
          </w:p>
        </w:tc>
        <w:tc>
          <w:tcPr>
            <w:tcW w:w="4081"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93800C8" w14:textId="289BA5BA" w:rsidR="00831277" w:rsidRPr="00831277" w:rsidRDefault="00831277" w:rsidP="00831277">
            <w:pPr>
              <w:spacing w:before="0" w:after="0" w:line="240" w:lineRule="auto"/>
              <w:rPr>
                <w:rFonts w:ascii="Aptos Narrow" w:eastAsia="Times New Roman" w:hAnsi="Aptos Narrow"/>
                <w:color w:val="000000"/>
                <w:kern w:val="0"/>
                <w:szCs w:val="22"/>
                <w:lang w:val="en-IE" w:eastAsia="en-IE"/>
              </w:rPr>
            </w:pPr>
            <w:r w:rsidRPr="00831277">
              <w:rPr>
                <w:rFonts w:ascii="Aptos Narrow" w:eastAsia="Times New Roman" w:hAnsi="Aptos Narrow"/>
                <w:color w:val="000000"/>
                <w:kern w:val="0"/>
                <w:szCs w:val="22"/>
                <w:lang w:val="en-IE" w:eastAsia="en-IE"/>
              </w:rPr>
              <w:t xml:space="preserve">The obliged entity has a transaction monitoring system in place </w:t>
            </w:r>
          </w:p>
        </w:tc>
        <w:tc>
          <w:tcPr>
            <w:tcW w:w="1821" w:type="dxa"/>
            <w:tcBorders>
              <w:top w:val="single" w:sz="4" w:space="0" w:color="000000"/>
              <w:left w:val="single" w:sz="4" w:space="0" w:color="000000"/>
              <w:bottom w:val="single" w:sz="4" w:space="0" w:color="000000"/>
              <w:right w:val="single" w:sz="4" w:space="0" w:color="000000"/>
            </w:tcBorders>
            <w:vAlign w:val="center"/>
            <w:hideMark/>
          </w:tcPr>
          <w:p w14:paraId="0482E29C" w14:textId="77777777" w:rsidR="00831277" w:rsidRPr="00831277" w:rsidRDefault="00831277" w:rsidP="00831277">
            <w:pPr>
              <w:spacing w:before="0" w:after="0" w:line="240" w:lineRule="auto"/>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The Obliged Entity Has a Transaction/Activity Monitoring System in place</w:t>
            </w:r>
          </w:p>
        </w:tc>
        <w:tc>
          <w:tcPr>
            <w:tcW w:w="938" w:type="dxa"/>
            <w:tcBorders>
              <w:top w:val="single" w:sz="4" w:space="0" w:color="000000"/>
              <w:left w:val="single" w:sz="4" w:space="0" w:color="000000"/>
              <w:bottom w:val="single" w:sz="4" w:space="0" w:color="000000"/>
              <w:right w:val="single" w:sz="4" w:space="0" w:color="000000"/>
            </w:tcBorders>
            <w:vAlign w:val="center"/>
            <w:hideMark/>
          </w:tcPr>
          <w:p w14:paraId="2C3C2801" w14:textId="77777777" w:rsidR="00831277" w:rsidRPr="00831277" w:rsidRDefault="00831277" w:rsidP="00831277">
            <w:pPr>
              <w:spacing w:before="0" w:after="0" w:line="240" w:lineRule="auto"/>
              <w:jc w:val="center"/>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C0010</w:t>
            </w:r>
          </w:p>
        </w:tc>
        <w:tc>
          <w:tcPr>
            <w:tcW w:w="1352" w:type="dxa"/>
            <w:tcBorders>
              <w:top w:val="single" w:sz="4" w:space="0" w:color="000000"/>
              <w:left w:val="single" w:sz="4" w:space="0" w:color="000000"/>
              <w:bottom w:val="single" w:sz="4" w:space="0" w:color="000000"/>
              <w:right w:val="single" w:sz="4" w:space="0" w:color="000000"/>
            </w:tcBorders>
            <w:shd w:val="clear" w:color="000000" w:fill="4EA72E"/>
            <w:vAlign w:val="center"/>
            <w:hideMark/>
          </w:tcPr>
          <w:p w14:paraId="1AD78415" w14:textId="77777777" w:rsidR="00831277" w:rsidRPr="00831277" w:rsidRDefault="00831277" w:rsidP="00831277">
            <w:pPr>
              <w:spacing w:before="0" w:after="0" w:line="240" w:lineRule="auto"/>
              <w:jc w:val="center"/>
              <w:rPr>
                <w:rFonts w:ascii="Aptos Narrow" w:eastAsia="Times New Roman" w:hAnsi="Aptos Narrow"/>
                <w:b/>
                <w:bCs/>
                <w:color w:val="FFFFFF"/>
                <w:kern w:val="0"/>
                <w:szCs w:val="22"/>
                <w:lang w:val="en-IE" w:eastAsia="en-IE"/>
              </w:rPr>
            </w:pPr>
            <w:r w:rsidRPr="00831277">
              <w:rPr>
                <w:rFonts w:ascii="Aptos Narrow" w:eastAsia="Times New Roman" w:hAnsi="Aptos Narrow"/>
                <w:b/>
                <w:bCs/>
                <w:color w:val="FFFFFF"/>
                <w:kern w:val="0"/>
                <w:szCs w:val="22"/>
                <w:lang w:val="en-IE" w:eastAsia="en-IE"/>
              </w:rPr>
              <w:t xml:space="preserve">AML.07.05 </w:t>
            </w:r>
          </w:p>
        </w:tc>
      </w:tr>
      <w:tr w:rsidR="00624C6F" w:rsidRPr="00831277" w14:paraId="61948F1A" w14:textId="77777777" w:rsidTr="00624C6F">
        <w:trPr>
          <w:trHeight w:val="846"/>
        </w:trPr>
        <w:tc>
          <w:tcPr>
            <w:tcW w:w="1731" w:type="dxa"/>
            <w:vMerge/>
            <w:tcBorders>
              <w:top w:val="single" w:sz="4" w:space="0" w:color="auto"/>
              <w:left w:val="single" w:sz="4" w:space="0" w:color="auto"/>
              <w:bottom w:val="nil"/>
              <w:right w:val="nil"/>
            </w:tcBorders>
            <w:vAlign w:val="center"/>
            <w:hideMark/>
          </w:tcPr>
          <w:p w14:paraId="7A4821B6" w14:textId="77777777" w:rsidR="00831277" w:rsidRPr="00831277" w:rsidRDefault="00831277" w:rsidP="00831277">
            <w:pPr>
              <w:spacing w:before="0" w:after="0" w:line="240" w:lineRule="auto"/>
              <w:rPr>
                <w:rFonts w:ascii="Aptos Narrow" w:eastAsia="Times New Roman" w:hAnsi="Aptos Narrow"/>
                <w:b/>
                <w:bCs/>
                <w:color w:val="FFFFFF"/>
                <w:kern w:val="0"/>
                <w:sz w:val="24"/>
                <w:szCs w:val="24"/>
                <w:lang w:val="en-IE" w:eastAsia="en-IE"/>
              </w:rPr>
            </w:pPr>
          </w:p>
        </w:tc>
        <w:tc>
          <w:tcPr>
            <w:tcW w:w="4081" w:type="dxa"/>
            <w:tcBorders>
              <w:top w:val="single" w:sz="4" w:space="0" w:color="000000"/>
              <w:left w:val="single" w:sz="4" w:space="0" w:color="000000"/>
              <w:bottom w:val="single" w:sz="4" w:space="0" w:color="000000"/>
              <w:right w:val="single" w:sz="4" w:space="0" w:color="000000"/>
            </w:tcBorders>
            <w:hideMark/>
          </w:tcPr>
          <w:p w14:paraId="3C424977" w14:textId="77777777" w:rsidR="00831277" w:rsidRPr="00831277" w:rsidRDefault="00831277" w:rsidP="00831277">
            <w:pPr>
              <w:spacing w:before="0" w:after="0" w:line="240" w:lineRule="auto"/>
              <w:rPr>
                <w:rFonts w:ascii="Calibri" w:eastAsia="Times New Roman" w:hAnsi="Calibri" w:cs="Calibri"/>
                <w:color w:val="auto"/>
                <w:kern w:val="0"/>
                <w:szCs w:val="22"/>
                <w:lang w:val="en-IE" w:eastAsia="en-IE"/>
              </w:rPr>
            </w:pPr>
            <w:r w:rsidRPr="00831277">
              <w:rPr>
                <w:rFonts w:ascii="Calibri" w:eastAsia="Times New Roman" w:hAnsi="Calibri" w:cs="Calibri"/>
                <w:color w:val="auto"/>
                <w:kern w:val="0"/>
                <w:szCs w:val="22"/>
                <w:lang w:val="en-IE" w:eastAsia="en-IE"/>
              </w:rPr>
              <w:t>The transaction monitoring system is:</w:t>
            </w:r>
            <w:r w:rsidRPr="00831277">
              <w:rPr>
                <w:rFonts w:ascii="Calibri" w:eastAsia="Times New Roman" w:hAnsi="Calibri" w:cs="Calibri"/>
                <w:color w:val="auto"/>
                <w:kern w:val="0"/>
                <w:szCs w:val="22"/>
                <w:lang w:val="en-IE" w:eastAsia="en-IE"/>
              </w:rPr>
              <w:br/>
              <w:t>a) Not automated; or</w:t>
            </w:r>
            <w:r w:rsidRPr="00831277">
              <w:rPr>
                <w:rFonts w:ascii="Calibri" w:eastAsia="Times New Roman" w:hAnsi="Calibri" w:cs="Calibri"/>
                <w:color w:val="auto"/>
                <w:kern w:val="0"/>
                <w:szCs w:val="22"/>
                <w:lang w:val="en-IE" w:eastAsia="en-IE"/>
              </w:rPr>
              <w:br/>
              <w:t>b) At least partly automated</w:t>
            </w:r>
          </w:p>
        </w:tc>
        <w:tc>
          <w:tcPr>
            <w:tcW w:w="1821" w:type="dxa"/>
            <w:tcBorders>
              <w:top w:val="single" w:sz="4" w:space="0" w:color="000000"/>
              <w:left w:val="single" w:sz="4" w:space="0" w:color="000000"/>
              <w:bottom w:val="single" w:sz="4" w:space="0" w:color="000000"/>
              <w:right w:val="single" w:sz="4" w:space="0" w:color="000000"/>
            </w:tcBorders>
            <w:vAlign w:val="center"/>
            <w:hideMark/>
          </w:tcPr>
          <w:p w14:paraId="560927EE" w14:textId="77777777" w:rsidR="00831277" w:rsidRPr="00831277" w:rsidRDefault="00831277" w:rsidP="00831277">
            <w:pPr>
              <w:spacing w:before="0" w:after="0" w:line="240" w:lineRule="auto"/>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Transaction / Activity Monitoring System Type</w:t>
            </w:r>
          </w:p>
        </w:tc>
        <w:tc>
          <w:tcPr>
            <w:tcW w:w="938" w:type="dxa"/>
            <w:tcBorders>
              <w:top w:val="single" w:sz="4" w:space="0" w:color="000000"/>
              <w:left w:val="single" w:sz="4" w:space="0" w:color="000000"/>
              <w:bottom w:val="single" w:sz="4" w:space="0" w:color="000000"/>
              <w:right w:val="single" w:sz="4" w:space="0" w:color="000000"/>
            </w:tcBorders>
            <w:vAlign w:val="center"/>
            <w:hideMark/>
          </w:tcPr>
          <w:p w14:paraId="384DBD2A" w14:textId="77777777" w:rsidR="00831277" w:rsidRPr="00831277" w:rsidRDefault="00831277" w:rsidP="00831277">
            <w:pPr>
              <w:spacing w:before="0" w:after="0" w:line="240" w:lineRule="auto"/>
              <w:jc w:val="center"/>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C0020</w:t>
            </w:r>
          </w:p>
        </w:tc>
        <w:tc>
          <w:tcPr>
            <w:tcW w:w="1352" w:type="dxa"/>
            <w:tcBorders>
              <w:top w:val="single" w:sz="4" w:space="0" w:color="000000"/>
              <w:left w:val="single" w:sz="4" w:space="0" w:color="000000"/>
              <w:bottom w:val="single" w:sz="4" w:space="0" w:color="000000"/>
              <w:right w:val="single" w:sz="4" w:space="0" w:color="000000"/>
            </w:tcBorders>
            <w:shd w:val="clear" w:color="000000" w:fill="4EA72E"/>
            <w:vAlign w:val="center"/>
            <w:hideMark/>
          </w:tcPr>
          <w:p w14:paraId="195EB6B9" w14:textId="77777777" w:rsidR="00831277" w:rsidRPr="00831277" w:rsidRDefault="00831277" w:rsidP="00831277">
            <w:pPr>
              <w:spacing w:before="0" w:after="0" w:line="240" w:lineRule="auto"/>
              <w:jc w:val="center"/>
              <w:rPr>
                <w:rFonts w:ascii="Aptos Narrow" w:eastAsia="Times New Roman" w:hAnsi="Aptos Narrow"/>
                <w:b/>
                <w:bCs/>
                <w:color w:val="FFFFFF"/>
                <w:kern w:val="0"/>
                <w:szCs w:val="22"/>
                <w:lang w:val="en-IE" w:eastAsia="en-IE"/>
              </w:rPr>
            </w:pPr>
            <w:r w:rsidRPr="00831277">
              <w:rPr>
                <w:rFonts w:ascii="Aptos Narrow" w:eastAsia="Times New Roman" w:hAnsi="Aptos Narrow"/>
                <w:b/>
                <w:bCs/>
                <w:color w:val="FFFFFF"/>
                <w:kern w:val="0"/>
                <w:szCs w:val="22"/>
                <w:lang w:val="en-IE" w:eastAsia="en-IE"/>
              </w:rPr>
              <w:t xml:space="preserve">AML.07.05 </w:t>
            </w:r>
          </w:p>
        </w:tc>
      </w:tr>
      <w:tr w:rsidR="00624C6F" w:rsidRPr="00831277" w14:paraId="30FC7657" w14:textId="77777777" w:rsidTr="00624C6F">
        <w:trPr>
          <w:trHeight w:val="564"/>
        </w:trPr>
        <w:tc>
          <w:tcPr>
            <w:tcW w:w="1731" w:type="dxa"/>
            <w:vMerge/>
            <w:tcBorders>
              <w:top w:val="single" w:sz="4" w:space="0" w:color="auto"/>
              <w:left w:val="single" w:sz="4" w:space="0" w:color="auto"/>
              <w:bottom w:val="nil"/>
              <w:right w:val="nil"/>
            </w:tcBorders>
            <w:vAlign w:val="center"/>
            <w:hideMark/>
          </w:tcPr>
          <w:p w14:paraId="1B42C59E" w14:textId="77777777" w:rsidR="00831277" w:rsidRPr="00831277" w:rsidRDefault="00831277" w:rsidP="00831277">
            <w:pPr>
              <w:spacing w:before="0" w:after="0" w:line="240" w:lineRule="auto"/>
              <w:rPr>
                <w:rFonts w:ascii="Aptos Narrow" w:eastAsia="Times New Roman" w:hAnsi="Aptos Narrow"/>
                <w:b/>
                <w:bCs/>
                <w:color w:val="FFFFFF"/>
                <w:kern w:val="0"/>
                <w:sz w:val="24"/>
                <w:szCs w:val="24"/>
                <w:lang w:val="en-IE" w:eastAsia="en-IE"/>
              </w:rPr>
            </w:pPr>
          </w:p>
        </w:tc>
        <w:tc>
          <w:tcPr>
            <w:tcW w:w="4081" w:type="dxa"/>
            <w:tcBorders>
              <w:top w:val="single" w:sz="4" w:space="0" w:color="000000"/>
              <w:left w:val="single" w:sz="4" w:space="0" w:color="000000"/>
              <w:bottom w:val="single" w:sz="4" w:space="0" w:color="000000"/>
              <w:right w:val="single" w:sz="4" w:space="0" w:color="000000"/>
            </w:tcBorders>
            <w:hideMark/>
          </w:tcPr>
          <w:p w14:paraId="6BA40AD3" w14:textId="77777777" w:rsidR="00831277" w:rsidRPr="00831277" w:rsidRDefault="00831277" w:rsidP="00831277">
            <w:pPr>
              <w:spacing w:before="0" w:after="0" w:line="240" w:lineRule="auto"/>
              <w:rPr>
                <w:rFonts w:ascii="Aptos Narrow" w:eastAsia="Times New Roman" w:hAnsi="Aptos Narrow"/>
                <w:color w:val="000000"/>
                <w:kern w:val="0"/>
                <w:szCs w:val="22"/>
                <w:lang w:val="en-IE" w:eastAsia="en-IE"/>
              </w:rPr>
            </w:pPr>
            <w:r w:rsidRPr="00831277">
              <w:rPr>
                <w:rFonts w:ascii="Aptos Narrow" w:eastAsia="Times New Roman" w:hAnsi="Aptos Narrow"/>
                <w:b/>
                <w:bCs/>
                <w:color w:val="000000"/>
                <w:kern w:val="0"/>
                <w:szCs w:val="22"/>
                <w:lang w:val="en-IE" w:eastAsia="en-IE"/>
              </w:rPr>
              <w:t xml:space="preserve">If manual system: </w:t>
            </w:r>
            <w:r w:rsidRPr="00831277">
              <w:rPr>
                <w:rFonts w:ascii="Aptos Narrow" w:eastAsia="Times New Roman" w:hAnsi="Aptos Narrow"/>
                <w:color w:val="000000"/>
                <w:kern w:val="0"/>
                <w:szCs w:val="22"/>
                <w:lang w:val="en-IE" w:eastAsia="en-IE"/>
              </w:rPr>
              <w:t>Average time in days to analyse the transaction since the moment it occurred</w:t>
            </w:r>
          </w:p>
        </w:tc>
        <w:tc>
          <w:tcPr>
            <w:tcW w:w="1821" w:type="dxa"/>
            <w:tcBorders>
              <w:top w:val="single" w:sz="4" w:space="0" w:color="000000"/>
              <w:left w:val="single" w:sz="4" w:space="0" w:color="000000"/>
              <w:bottom w:val="single" w:sz="4" w:space="0" w:color="000000"/>
              <w:right w:val="single" w:sz="4" w:space="0" w:color="000000"/>
            </w:tcBorders>
            <w:vAlign w:val="center"/>
            <w:hideMark/>
          </w:tcPr>
          <w:p w14:paraId="0F4024FC" w14:textId="77777777" w:rsidR="00831277" w:rsidRPr="00831277" w:rsidRDefault="00831277" w:rsidP="00831277">
            <w:pPr>
              <w:spacing w:before="0" w:after="0" w:line="240" w:lineRule="auto"/>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If manual system: Average Alert Analysis Time (Days)</w:t>
            </w:r>
          </w:p>
        </w:tc>
        <w:tc>
          <w:tcPr>
            <w:tcW w:w="938" w:type="dxa"/>
            <w:tcBorders>
              <w:top w:val="single" w:sz="4" w:space="0" w:color="000000"/>
              <w:left w:val="single" w:sz="4" w:space="0" w:color="000000"/>
              <w:bottom w:val="single" w:sz="4" w:space="0" w:color="000000"/>
              <w:right w:val="single" w:sz="4" w:space="0" w:color="000000"/>
            </w:tcBorders>
            <w:vAlign w:val="center"/>
            <w:hideMark/>
          </w:tcPr>
          <w:p w14:paraId="2AD7936B" w14:textId="77777777" w:rsidR="00831277" w:rsidRPr="00831277" w:rsidRDefault="00831277" w:rsidP="00831277">
            <w:pPr>
              <w:spacing w:before="0" w:after="0" w:line="240" w:lineRule="auto"/>
              <w:jc w:val="center"/>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C0030</w:t>
            </w:r>
          </w:p>
        </w:tc>
        <w:tc>
          <w:tcPr>
            <w:tcW w:w="1352" w:type="dxa"/>
            <w:tcBorders>
              <w:top w:val="single" w:sz="4" w:space="0" w:color="000000"/>
              <w:left w:val="single" w:sz="4" w:space="0" w:color="000000"/>
              <w:bottom w:val="single" w:sz="4" w:space="0" w:color="000000"/>
              <w:right w:val="single" w:sz="4" w:space="0" w:color="000000"/>
            </w:tcBorders>
            <w:shd w:val="clear" w:color="000000" w:fill="4EA72E"/>
            <w:vAlign w:val="center"/>
            <w:hideMark/>
          </w:tcPr>
          <w:p w14:paraId="2B3F285E" w14:textId="77777777" w:rsidR="00831277" w:rsidRPr="00831277" w:rsidRDefault="00831277" w:rsidP="00831277">
            <w:pPr>
              <w:spacing w:before="0" w:after="0" w:line="240" w:lineRule="auto"/>
              <w:jc w:val="center"/>
              <w:rPr>
                <w:rFonts w:ascii="Aptos Narrow" w:eastAsia="Times New Roman" w:hAnsi="Aptos Narrow"/>
                <w:b/>
                <w:bCs/>
                <w:color w:val="FFFFFF"/>
                <w:kern w:val="0"/>
                <w:szCs w:val="22"/>
                <w:lang w:val="en-IE" w:eastAsia="en-IE"/>
              </w:rPr>
            </w:pPr>
            <w:r w:rsidRPr="00831277">
              <w:rPr>
                <w:rFonts w:ascii="Aptos Narrow" w:eastAsia="Times New Roman" w:hAnsi="Aptos Narrow"/>
                <w:b/>
                <w:bCs/>
                <w:color w:val="FFFFFF"/>
                <w:kern w:val="0"/>
                <w:szCs w:val="22"/>
                <w:lang w:val="en-IE" w:eastAsia="en-IE"/>
              </w:rPr>
              <w:t xml:space="preserve">AML.07.05 </w:t>
            </w:r>
          </w:p>
        </w:tc>
      </w:tr>
      <w:tr w:rsidR="00624C6F" w:rsidRPr="00831277" w14:paraId="74A0E38E" w14:textId="77777777" w:rsidTr="00624C6F">
        <w:trPr>
          <w:trHeight w:val="564"/>
        </w:trPr>
        <w:tc>
          <w:tcPr>
            <w:tcW w:w="1731" w:type="dxa"/>
            <w:vMerge/>
            <w:tcBorders>
              <w:top w:val="single" w:sz="4" w:space="0" w:color="auto"/>
              <w:left w:val="single" w:sz="4" w:space="0" w:color="auto"/>
              <w:bottom w:val="nil"/>
              <w:right w:val="nil"/>
            </w:tcBorders>
            <w:vAlign w:val="center"/>
            <w:hideMark/>
          </w:tcPr>
          <w:p w14:paraId="6054B96D" w14:textId="77777777" w:rsidR="00831277" w:rsidRPr="00831277" w:rsidRDefault="00831277" w:rsidP="00831277">
            <w:pPr>
              <w:spacing w:before="0" w:after="0" w:line="240" w:lineRule="auto"/>
              <w:rPr>
                <w:rFonts w:ascii="Aptos Narrow" w:eastAsia="Times New Roman" w:hAnsi="Aptos Narrow"/>
                <w:b/>
                <w:bCs/>
                <w:color w:val="FFFFFF"/>
                <w:kern w:val="0"/>
                <w:sz w:val="24"/>
                <w:szCs w:val="24"/>
                <w:lang w:val="en-IE" w:eastAsia="en-IE"/>
              </w:rPr>
            </w:pPr>
          </w:p>
        </w:tc>
        <w:tc>
          <w:tcPr>
            <w:tcW w:w="4081" w:type="dxa"/>
            <w:vMerge w:val="restart"/>
            <w:tcBorders>
              <w:top w:val="single" w:sz="4" w:space="0" w:color="000000"/>
              <w:left w:val="single" w:sz="4" w:space="0" w:color="000000"/>
              <w:bottom w:val="nil"/>
              <w:right w:val="single" w:sz="4" w:space="0" w:color="000000"/>
            </w:tcBorders>
            <w:shd w:val="clear" w:color="000000" w:fill="FFFFFF"/>
            <w:hideMark/>
          </w:tcPr>
          <w:p w14:paraId="2D5A71ED" w14:textId="77777777" w:rsidR="00831277" w:rsidRPr="00831277" w:rsidRDefault="00831277" w:rsidP="00831277">
            <w:pPr>
              <w:spacing w:before="0" w:after="0" w:line="240" w:lineRule="auto"/>
              <w:rPr>
                <w:rFonts w:ascii="Aptos Narrow" w:eastAsia="Times New Roman" w:hAnsi="Aptos Narrow"/>
                <w:color w:val="000000"/>
                <w:kern w:val="0"/>
                <w:szCs w:val="22"/>
                <w:lang w:val="en-IE" w:eastAsia="en-IE"/>
              </w:rPr>
            </w:pPr>
            <w:r w:rsidRPr="00831277">
              <w:rPr>
                <w:rFonts w:ascii="Aptos Narrow" w:eastAsia="Times New Roman" w:hAnsi="Aptos Narrow"/>
                <w:b/>
                <w:bCs/>
                <w:color w:val="000000"/>
                <w:kern w:val="0"/>
                <w:szCs w:val="22"/>
                <w:lang w:val="en-IE" w:eastAsia="en-IE"/>
              </w:rPr>
              <w:t>If automated system:</w:t>
            </w:r>
            <w:r w:rsidRPr="00831277">
              <w:rPr>
                <w:rFonts w:ascii="Aptos Narrow" w:eastAsia="Times New Roman" w:hAnsi="Aptos Narrow"/>
                <w:color w:val="000000"/>
                <w:kern w:val="0"/>
                <w:szCs w:val="22"/>
                <w:lang w:val="en-IE" w:eastAsia="en-IE"/>
              </w:rPr>
              <w:t xml:space="preserve"> The system can generate alerts in case of inconsistencies between CDD information relating to the customer and the following elements:</w:t>
            </w:r>
            <w:r w:rsidRPr="00831277">
              <w:rPr>
                <w:rFonts w:ascii="Aptos Narrow" w:eastAsia="Times New Roman" w:hAnsi="Aptos Narrow"/>
                <w:color w:val="000000"/>
                <w:kern w:val="0"/>
                <w:szCs w:val="22"/>
                <w:lang w:val="en-IE" w:eastAsia="en-IE"/>
              </w:rPr>
              <w:br/>
              <w:t>a) Number of transactions</w:t>
            </w:r>
            <w:r w:rsidRPr="00831277">
              <w:rPr>
                <w:rFonts w:ascii="Aptos Narrow" w:eastAsia="Times New Roman" w:hAnsi="Aptos Narrow"/>
                <w:color w:val="000000"/>
                <w:kern w:val="0"/>
                <w:szCs w:val="22"/>
                <w:lang w:val="en-IE" w:eastAsia="en-IE"/>
              </w:rPr>
              <w:br/>
              <w:t>b) Value of aggregated transactions</w:t>
            </w:r>
            <w:r w:rsidRPr="00831277">
              <w:rPr>
                <w:rFonts w:ascii="Aptos Narrow" w:eastAsia="Times New Roman" w:hAnsi="Aptos Narrow"/>
                <w:color w:val="000000"/>
                <w:kern w:val="0"/>
                <w:szCs w:val="22"/>
                <w:lang w:val="en-IE" w:eastAsia="en-IE"/>
              </w:rPr>
              <w:br/>
              <w:t>c) value of single transactions</w:t>
            </w:r>
            <w:r w:rsidRPr="00831277">
              <w:rPr>
                <w:rFonts w:ascii="Aptos Narrow" w:eastAsia="Times New Roman" w:hAnsi="Aptos Narrow"/>
                <w:color w:val="000000"/>
                <w:kern w:val="0"/>
                <w:szCs w:val="22"/>
                <w:lang w:val="en-IE" w:eastAsia="en-IE"/>
              </w:rPr>
              <w:br/>
              <w:t>d) counterparties</w:t>
            </w:r>
            <w:r w:rsidRPr="00831277">
              <w:rPr>
                <w:rFonts w:ascii="Aptos Narrow" w:eastAsia="Times New Roman" w:hAnsi="Aptos Narrow"/>
                <w:color w:val="000000"/>
                <w:kern w:val="0"/>
                <w:szCs w:val="22"/>
                <w:lang w:val="en-IE" w:eastAsia="en-IE"/>
              </w:rPr>
              <w:br/>
              <w:t>e) countries</w:t>
            </w:r>
          </w:p>
        </w:tc>
        <w:tc>
          <w:tcPr>
            <w:tcW w:w="1821" w:type="dxa"/>
            <w:tcBorders>
              <w:top w:val="single" w:sz="4" w:space="0" w:color="000000"/>
              <w:left w:val="single" w:sz="4" w:space="0" w:color="000000"/>
              <w:bottom w:val="single" w:sz="4" w:space="0" w:color="000000"/>
              <w:right w:val="single" w:sz="4" w:space="0" w:color="000000"/>
            </w:tcBorders>
            <w:vAlign w:val="center"/>
            <w:hideMark/>
          </w:tcPr>
          <w:p w14:paraId="01D15716" w14:textId="77777777" w:rsidR="00831277" w:rsidRPr="00831277" w:rsidRDefault="00831277" w:rsidP="00831277">
            <w:pPr>
              <w:spacing w:before="0" w:after="0" w:line="240" w:lineRule="auto"/>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Automated Monitoring System - Alerts on Number of Transactions</w:t>
            </w:r>
          </w:p>
        </w:tc>
        <w:tc>
          <w:tcPr>
            <w:tcW w:w="938" w:type="dxa"/>
            <w:tcBorders>
              <w:top w:val="single" w:sz="4" w:space="0" w:color="000000"/>
              <w:left w:val="single" w:sz="4" w:space="0" w:color="000000"/>
              <w:bottom w:val="single" w:sz="4" w:space="0" w:color="000000"/>
              <w:right w:val="single" w:sz="4" w:space="0" w:color="000000"/>
            </w:tcBorders>
            <w:vAlign w:val="center"/>
            <w:hideMark/>
          </w:tcPr>
          <w:p w14:paraId="57068D21" w14:textId="77777777" w:rsidR="00831277" w:rsidRPr="00831277" w:rsidRDefault="00831277" w:rsidP="00831277">
            <w:pPr>
              <w:spacing w:before="0" w:after="0" w:line="240" w:lineRule="auto"/>
              <w:jc w:val="center"/>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C0040</w:t>
            </w:r>
          </w:p>
        </w:tc>
        <w:tc>
          <w:tcPr>
            <w:tcW w:w="1352" w:type="dxa"/>
            <w:tcBorders>
              <w:top w:val="single" w:sz="4" w:space="0" w:color="000000"/>
              <w:left w:val="single" w:sz="4" w:space="0" w:color="000000"/>
              <w:bottom w:val="single" w:sz="4" w:space="0" w:color="000000"/>
              <w:right w:val="single" w:sz="4" w:space="0" w:color="000000"/>
            </w:tcBorders>
            <w:shd w:val="clear" w:color="000000" w:fill="4EA72E"/>
            <w:vAlign w:val="center"/>
            <w:hideMark/>
          </w:tcPr>
          <w:p w14:paraId="3161164A" w14:textId="77777777" w:rsidR="00831277" w:rsidRPr="00831277" w:rsidRDefault="00831277" w:rsidP="00831277">
            <w:pPr>
              <w:spacing w:before="0" w:after="0" w:line="240" w:lineRule="auto"/>
              <w:jc w:val="center"/>
              <w:rPr>
                <w:rFonts w:ascii="Aptos Narrow" w:eastAsia="Times New Roman" w:hAnsi="Aptos Narrow"/>
                <w:b/>
                <w:bCs/>
                <w:color w:val="FFFFFF"/>
                <w:kern w:val="0"/>
                <w:szCs w:val="22"/>
                <w:lang w:val="en-IE" w:eastAsia="en-IE"/>
              </w:rPr>
            </w:pPr>
            <w:r w:rsidRPr="00831277">
              <w:rPr>
                <w:rFonts w:ascii="Aptos Narrow" w:eastAsia="Times New Roman" w:hAnsi="Aptos Narrow"/>
                <w:b/>
                <w:bCs/>
                <w:color w:val="FFFFFF"/>
                <w:kern w:val="0"/>
                <w:szCs w:val="22"/>
                <w:lang w:val="en-IE" w:eastAsia="en-IE"/>
              </w:rPr>
              <w:t xml:space="preserve">AML.07.05 </w:t>
            </w:r>
          </w:p>
        </w:tc>
      </w:tr>
      <w:tr w:rsidR="00624C6F" w:rsidRPr="00831277" w14:paraId="272AA8AB" w14:textId="77777777" w:rsidTr="00624C6F">
        <w:trPr>
          <w:trHeight w:val="564"/>
        </w:trPr>
        <w:tc>
          <w:tcPr>
            <w:tcW w:w="1731" w:type="dxa"/>
            <w:vMerge/>
            <w:tcBorders>
              <w:top w:val="single" w:sz="4" w:space="0" w:color="auto"/>
              <w:left w:val="single" w:sz="4" w:space="0" w:color="auto"/>
              <w:bottom w:val="nil"/>
              <w:right w:val="nil"/>
            </w:tcBorders>
            <w:vAlign w:val="center"/>
            <w:hideMark/>
          </w:tcPr>
          <w:p w14:paraId="5B46B426" w14:textId="77777777" w:rsidR="00831277" w:rsidRPr="00831277" w:rsidRDefault="00831277" w:rsidP="00831277">
            <w:pPr>
              <w:spacing w:before="0" w:after="0" w:line="240" w:lineRule="auto"/>
              <w:rPr>
                <w:rFonts w:ascii="Aptos Narrow" w:eastAsia="Times New Roman" w:hAnsi="Aptos Narrow"/>
                <w:b/>
                <w:bCs/>
                <w:color w:val="FFFFFF"/>
                <w:kern w:val="0"/>
                <w:sz w:val="24"/>
                <w:szCs w:val="24"/>
                <w:lang w:val="en-IE" w:eastAsia="en-IE"/>
              </w:rPr>
            </w:pPr>
          </w:p>
        </w:tc>
        <w:tc>
          <w:tcPr>
            <w:tcW w:w="4081" w:type="dxa"/>
            <w:vMerge/>
            <w:tcBorders>
              <w:top w:val="single" w:sz="4" w:space="0" w:color="000000"/>
              <w:left w:val="single" w:sz="4" w:space="0" w:color="000000"/>
              <w:bottom w:val="nil"/>
              <w:right w:val="single" w:sz="4" w:space="0" w:color="000000"/>
            </w:tcBorders>
            <w:vAlign w:val="center"/>
            <w:hideMark/>
          </w:tcPr>
          <w:p w14:paraId="4279EF7E" w14:textId="77777777" w:rsidR="00831277" w:rsidRPr="00831277" w:rsidRDefault="00831277" w:rsidP="00831277">
            <w:pPr>
              <w:spacing w:before="0" w:after="0" w:line="240" w:lineRule="auto"/>
              <w:rPr>
                <w:rFonts w:ascii="Aptos Narrow" w:eastAsia="Times New Roman" w:hAnsi="Aptos Narrow"/>
                <w:color w:val="000000"/>
                <w:kern w:val="0"/>
                <w:szCs w:val="22"/>
                <w:lang w:val="en-IE" w:eastAsia="en-IE"/>
              </w:rPr>
            </w:pPr>
          </w:p>
        </w:tc>
        <w:tc>
          <w:tcPr>
            <w:tcW w:w="1821" w:type="dxa"/>
            <w:tcBorders>
              <w:top w:val="single" w:sz="4" w:space="0" w:color="000000"/>
              <w:left w:val="single" w:sz="4" w:space="0" w:color="000000"/>
              <w:bottom w:val="single" w:sz="4" w:space="0" w:color="000000"/>
              <w:right w:val="single" w:sz="4" w:space="0" w:color="000000"/>
            </w:tcBorders>
            <w:vAlign w:val="center"/>
            <w:hideMark/>
          </w:tcPr>
          <w:p w14:paraId="5AE59EDF" w14:textId="77777777" w:rsidR="00831277" w:rsidRPr="00831277" w:rsidRDefault="00831277" w:rsidP="00831277">
            <w:pPr>
              <w:spacing w:before="0" w:after="0" w:line="240" w:lineRule="auto"/>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Automated Monitoring System - Alerts on Value of Aggregated Transactions</w:t>
            </w:r>
          </w:p>
        </w:tc>
        <w:tc>
          <w:tcPr>
            <w:tcW w:w="938" w:type="dxa"/>
            <w:tcBorders>
              <w:top w:val="single" w:sz="4" w:space="0" w:color="000000"/>
              <w:left w:val="single" w:sz="4" w:space="0" w:color="000000"/>
              <w:bottom w:val="single" w:sz="4" w:space="0" w:color="000000"/>
              <w:right w:val="single" w:sz="4" w:space="0" w:color="000000"/>
            </w:tcBorders>
            <w:vAlign w:val="center"/>
            <w:hideMark/>
          </w:tcPr>
          <w:p w14:paraId="360CB2A5" w14:textId="77777777" w:rsidR="00831277" w:rsidRPr="00831277" w:rsidRDefault="00831277" w:rsidP="00831277">
            <w:pPr>
              <w:spacing w:before="0" w:after="0" w:line="240" w:lineRule="auto"/>
              <w:jc w:val="center"/>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C0050</w:t>
            </w:r>
          </w:p>
        </w:tc>
        <w:tc>
          <w:tcPr>
            <w:tcW w:w="1352" w:type="dxa"/>
            <w:tcBorders>
              <w:top w:val="single" w:sz="4" w:space="0" w:color="000000"/>
              <w:left w:val="single" w:sz="4" w:space="0" w:color="000000"/>
              <w:bottom w:val="single" w:sz="4" w:space="0" w:color="000000"/>
              <w:right w:val="single" w:sz="4" w:space="0" w:color="000000"/>
            </w:tcBorders>
            <w:shd w:val="clear" w:color="000000" w:fill="4EA72E"/>
            <w:vAlign w:val="center"/>
            <w:hideMark/>
          </w:tcPr>
          <w:p w14:paraId="202E316B" w14:textId="77777777" w:rsidR="00831277" w:rsidRPr="00831277" w:rsidRDefault="00831277" w:rsidP="00831277">
            <w:pPr>
              <w:spacing w:before="0" w:after="0" w:line="240" w:lineRule="auto"/>
              <w:jc w:val="center"/>
              <w:rPr>
                <w:rFonts w:ascii="Aptos Narrow" w:eastAsia="Times New Roman" w:hAnsi="Aptos Narrow"/>
                <w:b/>
                <w:bCs/>
                <w:color w:val="FFFFFF"/>
                <w:kern w:val="0"/>
                <w:szCs w:val="22"/>
                <w:lang w:val="en-IE" w:eastAsia="en-IE"/>
              </w:rPr>
            </w:pPr>
            <w:r w:rsidRPr="00831277">
              <w:rPr>
                <w:rFonts w:ascii="Aptos Narrow" w:eastAsia="Times New Roman" w:hAnsi="Aptos Narrow"/>
                <w:b/>
                <w:bCs/>
                <w:color w:val="FFFFFF"/>
                <w:kern w:val="0"/>
                <w:szCs w:val="22"/>
                <w:lang w:val="en-IE" w:eastAsia="en-IE"/>
              </w:rPr>
              <w:t xml:space="preserve">AML.07.05 </w:t>
            </w:r>
          </w:p>
        </w:tc>
      </w:tr>
      <w:tr w:rsidR="00624C6F" w:rsidRPr="00831277" w14:paraId="4DB18280" w14:textId="77777777" w:rsidTr="00624C6F">
        <w:trPr>
          <w:trHeight w:val="564"/>
        </w:trPr>
        <w:tc>
          <w:tcPr>
            <w:tcW w:w="1731" w:type="dxa"/>
            <w:vMerge/>
            <w:tcBorders>
              <w:top w:val="single" w:sz="4" w:space="0" w:color="auto"/>
              <w:left w:val="single" w:sz="4" w:space="0" w:color="auto"/>
              <w:bottom w:val="nil"/>
              <w:right w:val="nil"/>
            </w:tcBorders>
            <w:vAlign w:val="center"/>
            <w:hideMark/>
          </w:tcPr>
          <w:p w14:paraId="2A9576F3" w14:textId="77777777" w:rsidR="00831277" w:rsidRPr="00831277" w:rsidRDefault="00831277" w:rsidP="00831277">
            <w:pPr>
              <w:spacing w:before="0" w:after="0" w:line="240" w:lineRule="auto"/>
              <w:rPr>
                <w:rFonts w:ascii="Aptos Narrow" w:eastAsia="Times New Roman" w:hAnsi="Aptos Narrow"/>
                <w:b/>
                <w:bCs/>
                <w:color w:val="FFFFFF"/>
                <w:kern w:val="0"/>
                <w:sz w:val="24"/>
                <w:szCs w:val="24"/>
                <w:lang w:val="en-IE" w:eastAsia="en-IE"/>
              </w:rPr>
            </w:pPr>
          </w:p>
        </w:tc>
        <w:tc>
          <w:tcPr>
            <w:tcW w:w="4081" w:type="dxa"/>
            <w:vMerge/>
            <w:tcBorders>
              <w:top w:val="single" w:sz="4" w:space="0" w:color="000000"/>
              <w:left w:val="single" w:sz="4" w:space="0" w:color="000000"/>
              <w:bottom w:val="nil"/>
              <w:right w:val="single" w:sz="4" w:space="0" w:color="000000"/>
            </w:tcBorders>
            <w:vAlign w:val="center"/>
            <w:hideMark/>
          </w:tcPr>
          <w:p w14:paraId="4300FF0D" w14:textId="77777777" w:rsidR="00831277" w:rsidRPr="00831277" w:rsidRDefault="00831277" w:rsidP="00831277">
            <w:pPr>
              <w:spacing w:before="0" w:after="0" w:line="240" w:lineRule="auto"/>
              <w:rPr>
                <w:rFonts w:ascii="Aptos Narrow" w:eastAsia="Times New Roman" w:hAnsi="Aptos Narrow"/>
                <w:color w:val="000000"/>
                <w:kern w:val="0"/>
                <w:szCs w:val="22"/>
                <w:lang w:val="en-IE" w:eastAsia="en-IE"/>
              </w:rPr>
            </w:pPr>
          </w:p>
        </w:tc>
        <w:tc>
          <w:tcPr>
            <w:tcW w:w="1821" w:type="dxa"/>
            <w:tcBorders>
              <w:top w:val="single" w:sz="4" w:space="0" w:color="000000"/>
              <w:left w:val="single" w:sz="4" w:space="0" w:color="000000"/>
              <w:bottom w:val="single" w:sz="4" w:space="0" w:color="000000"/>
              <w:right w:val="single" w:sz="4" w:space="0" w:color="000000"/>
            </w:tcBorders>
            <w:vAlign w:val="center"/>
            <w:hideMark/>
          </w:tcPr>
          <w:p w14:paraId="18456719" w14:textId="77777777" w:rsidR="00831277" w:rsidRPr="00831277" w:rsidRDefault="00831277" w:rsidP="00831277">
            <w:pPr>
              <w:spacing w:before="0" w:after="0" w:line="240" w:lineRule="auto"/>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Automated Monitoring System - Alerts on Value of Single Transactions</w:t>
            </w:r>
          </w:p>
        </w:tc>
        <w:tc>
          <w:tcPr>
            <w:tcW w:w="938" w:type="dxa"/>
            <w:tcBorders>
              <w:top w:val="single" w:sz="4" w:space="0" w:color="000000"/>
              <w:left w:val="single" w:sz="4" w:space="0" w:color="000000"/>
              <w:bottom w:val="single" w:sz="4" w:space="0" w:color="000000"/>
              <w:right w:val="single" w:sz="4" w:space="0" w:color="000000"/>
            </w:tcBorders>
            <w:vAlign w:val="center"/>
            <w:hideMark/>
          </w:tcPr>
          <w:p w14:paraId="3990E799" w14:textId="77777777" w:rsidR="00831277" w:rsidRPr="00831277" w:rsidRDefault="00831277" w:rsidP="00831277">
            <w:pPr>
              <w:spacing w:before="0" w:after="0" w:line="240" w:lineRule="auto"/>
              <w:jc w:val="center"/>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C0060</w:t>
            </w:r>
          </w:p>
        </w:tc>
        <w:tc>
          <w:tcPr>
            <w:tcW w:w="1352" w:type="dxa"/>
            <w:tcBorders>
              <w:top w:val="single" w:sz="4" w:space="0" w:color="000000"/>
              <w:left w:val="single" w:sz="4" w:space="0" w:color="000000"/>
              <w:bottom w:val="single" w:sz="4" w:space="0" w:color="000000"/>
              <w:right w:val="single" w:sz="4" w:space="0" w:color="000000"/>
            </w:tcBorders>
            <w:shd w:val="clear" w:color="000000" w:fill="4EA72E"/>
            <w:vAlign w:val="center"/>
            <w:hideMark/>
          </w:tcPr>
          <w:p w14:paraId="0711B74C" w14:textId="77777777" w:rsidR="00831277" w:rsidRPr="00831277" w:rsidRDefault="00831277" w:rsidP="00831277">
            <w:pPr>
              <w:spacing w:before="0" w:after="0" w:line="240" w:lineRule="auto"/>
              <w:jc w:val="center"/>
              <w:rPr>
                <w:rFonts w:ascii="Aptos Narrow" w:eastAsia="Times New Roman" w:hAnsi="Aptos Narrow"/>
                <w:b/>
                <w:bCs/>
                <w:color w:val="FFFFFF"/>
                <w:kern w:val="0"/>
                <w:szCs w:val="22"/>
                <w:lang w:val="en-IE" w:eastAsia="en-IE"/>
              </w:rPr>
            </w:pPr>
            <w:r w:rsidRPr="00831277">
              <w:rPr>
                <w:rFonts w:ascii="Aptos Narrow" w:eastAsia="Times New Roman" w:hAnsi="Aptos Narrow"/>
                <w:b/>
                <w:bCs/>
                <w:color w:val="FFFFFF"/>
                <w:kern w:val="0"/>
                <w:szCs w:val="22"/>
                <w:lang w:val="en-IE" w:eastAsia="en-IE"/>
              </w:rPr>
              <w:t xml:space="preserve">AML.07.05 </w:t>
            </w:r>
          </w:p>
        </w:tc>
      </w:tr>
      <w:tr w:rsidR="00624C6F" w:rsidRPr="00831277" w14:paraId="756E0C6A" w14:textId="77777777" w:rsidTr="00624C6F">
        <w:trPr>
          <w:trHeight w:val="564"/>
        </w:trPr>
        <w:tc>
          <w:tcPr>
            <w:tcW w:w="1731" w:type="dxa"/>
            <w:vMerge/>
            <w:tcBorders>
              <w:top w:val="single" w:sz="4" w:space="0" w:color="auto"/>
              <w:left w:val="single" w:sz="4" w:space="0" w:color="auto"/>
              <w:bottom w:val="nil"/>
              <w:right w:val="nil"/>
            </w:tcBorders>
            <w:vAlign w:val="center"/>
            <w:hideMark/>
          </w:tcPr>
          <w:p w14:paraId="2DE84291" w14:textId="77777777" w:rsidR="00831277" w:rsidRPr="00831277" w:rsidRDefault="00831277" w:rsidP="00831277">
            <w:pPr>
              <w:spacing w:before="0" w:after="0" w:line="240" w:lineRule="auto"/>
              <w:rPr>
                <w:rFonts w:ascii="Aptos Narrow" w:eastAsia="Times New Roman" w:hAnsi="Aptos Narrow"/>
                <w:b/>
                <w:bCs/>
                <w:color w:val="FFFFFF"/>
                <w:kern w:val="0"/>
                <w:sz w:val="24"/>
                <w:szCs w:val="24"/>
                <w:lang w:val="en-IE" w:eastAsia="en-IE"/>
              </w:rPr>
            </w:pPr>
          </w:p>
        </w:tc>
        <w:tc>
          <w:tcPr>
            <w:tcW w:w="4081" w:type="dxa"/>
            <w:vMerge/>
            <w:tcBorders>
              <w:top w:val="single" w:sz="4" w:space="0" w:color="000000"/>
              <w:left w:val="single" w:sz="4" w:space="0" w:color="000000"/>
              <w:bottom w:val="nil"/>
              <w:right w:val="single" w:sz="4" w:space="0" w:color="000000"/>
            </w:tcBorders>
            <w:vAlign w:val="center"/>
            <w:hideMark/>
          </w:tcPr>
          <w:p w14:paraId="424E74E4" w14:textId="77777777" w:rsidR="00831277" w:rsidRPr="00831277" w:rsidRDefault="00831277" w:rsidP="00831277">
            <w:pPr>
              <w:spacing w:before="0" w:after="0" w:line="240" w:lineRule="auto"/>
              <w:rPr>
                <w:rFonts w:ascii="Aptos Narrow" w:eastAsia="Times New Roman" w:hAnsi="Aptos Narrow"/>
                <w:color w:val="000000"/>
                <w:kern w:val="0"/>
                <w:szCs w:val="22"/>
                <w:lang w:val="en-IE" w:eastAsia="en-IE"/>
              </w:rPr>
            </w:pPr>
          </w:p>
        </w:tc>
        <w:tc>
          <w:tcPr>
            <w:tcW w:w="1821" w:type="dxa"/>
            <w:tcBorders>
              <w:top w:val="single" w:sz="4" w:space="0" w:color="000000"/>
              <w:left w:val="single" w:sz="4" w:space="0" w:color="000000"/>
              <w:bottom w:val="single" w:sz="4" w:space="0" w:color="000000"/>
              <w:right w:val="single" w:sz="4" w:space="0" w:color="000000"/>
            </w:tcBorders>
            <w:vAlign w:val="center"/>
            <w:hideMark/>
          </w:tcPr>
          <w:p w14:paraId="56E71BDA" w14:textId="77777777" w:rsidR="00831277" w:rsidRPr="00831277" w:rsidRDefault="00831277" w:rsidP="00831277">
            <w:pPr>
              <w:spacing w:before="0" w:after="0" w:line="240" w:lineRule="auto"/>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Automated Monitoring System - Alerts on Counterparties</w:t>
            </w:r>
          </w:p>
        </w:tc>
        <w:tc>
          <w:tcPr>
            <w:tcW w:w="938" w:type="dxa"/>
            <w:tcBorders>
              <w:top w:val="single" w:sz="4" w:space="0" w:color="000000"/>
              <w:left w:val="single" w:sz="4" w:space="0" w:color="000000"/>
              <w:bottom w:val="nil"/>
              <w:right w:val="single" w:sz="4" w:space="0" w:color="000000"/>
            </w:tcBorders>
            <w:vAlign w:val="center"/>
            <w:hideMark/>
          </w:tcPr>
          <w:p w14:paraId="7B246FE8" w14:textId="77777777" w:rsidR="00831277" w:rsidRPr="00831277" w:rsidRDefault="00831277" w:rsidP="00831277">
            <w:pPr>
              <w:spacing w:before="0" w:after="0" w:line="240" w:lineRule="auto"/>
              <w:jc w:val="center"/>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C0070</w:t>
            </w:r>
          </w:p>
        </w:tc>
        <w:tc>
          <w:tcPr>
            <w:tcW w:w="1352" w:type="dxa"/>
            <w:tcBorders>
              <w:top w:val="single" w:sz="4" w:space="0" w:color="000000"/>
              <w:left w:val="single" w:sz="4" w:space="0" w:color="000000"/>
              <w:bottom w:val="single" w:sz="4" w:space="0" w:color="000000"/>
              <w:right w:val="single" w:sz="4" w:space="0" w:color="000000"/>
            </w:tcBorders>
            <w:shd w:val="clear" w:color="000000" w:fill="4EA72E"/>
            <w:vAlign w:val="center"/>
            <w:hideMark/>
          </w:tcPr>
          <w:p w14:paraId="3FE5FED5" w14:textId="77777777" w:rsidR="00831277" w:rsidRPr="00831277" w:rsidRDefault="00831277" w:rsidP="00831277">
            <w:pPr>
              <w:spacing w:before="0" w:after="0" w:line="240" w:lineRule="auto"/>
              <w:jc w:val="center"/>
              <w:rPr>
                <w:rFonts w:ascii="Aptos Narrow" w:eastAsia="Times New Roman" w:hAnsi="Aptos Narrow"/>
                <w:b/>
                <w:bCs/>
                <w:color w:val="FFFFFF"/>
                <w:kern w:val="0"/>
                <w:szCs w:val="22"/>
                <w:lang w:val="en-IE" w:eastAsia="en-IE"/>
              </w:rPr>
            </w:pPr>
            <w:r w:rsidRPr="00831277">
              <w:rPr>
                <w:rFonts w:ascii="Aptos Narrow" w:eastAsia="Times New Roman" w:hAnsi="Aptos Narrow"/>
                <w:b/>
                <w:bCs/>
                <w:color w:val="FFFFFF"/>
                <w:kern w:val="0"/>
                <w:szCs w:val="22"/>
                <w:lang w:val="en-IE" w:eastAsia="en-IE"/>
              </w:rPr>
              <w:t xml:space="preserve">AML.07.05 </w:t>
            </w:r>
          </w:p>
        </w:tc>
      </w:tr>
      <w:tr w:rsidR="00624C6F" w:rsidRPr="00831277" w14:paraId="3F5551ED" w14:textId="77777777" w:rsidTr="00624C6F">
        <w:trPr>
          <w:trHeight w:val="297"/>
        </w:trPr>
        <w:tc>
          <w:tcPr>
            <w:tcW w:w="1731" w:type="dxa"/>
            <w:vMerge/>
            <w:tcBorders>
              <w:top w:val="single" w:sz="4" w:space="0" w:color="auto"/>
              <w:left w:val="single" w:sz="4" w:space="0" w:color="auto"/>
              <w:bottom w:val="nil"/>
              <w:right w:val="nil"/>
            </w:tcBorders>
            <w:vAlign w:val="center"/>
            <w:hideMark/>
          </w:tcPr>
          <w:p w14:paraId="19DF32F3" w14:textId="77777777" w:rsidR="00831277" w:rsidRPr="00831277" w:rsidRDefault="00831277" w:rsidP="00831277">
            <w:pPr>
              <w:spacing w:before="0" w:after="0" w:line="240" w:lineRule="auto"/>
              <w:rPr>
                <w:rFonts w:ascii="Aptos Narrow" w:eastAsia="Times New Roman" w:hAnsi="Aptos Narrow"/>
                <w:b/>
                <w:bCs/>
                <w:color w:val="FFFFFF"/>
                <w:kern w:val="0"/>
                <w:sz w:val="24"/>
                <w:szCs w:val="24"/>
                <w:lang w:val="en-IE" w:eastAsia="en-IE"/>
              </w:rPr>
            </w:pPr>
          </w:p>
        </w:tc>
        <w:tc>
          <w:tcPr>
            <w:tcW w:w="4081" w:type="dxa"/>
            <w:vMerge/>
            <w:tcBorders>
              <w:top w:val="single" w:sz="4" w:space="0" w:color="000000"/>
              <w:left w:val="single" w:sz="4" w:space="0" w:color="000000"/>
              <w:bottom w:val="nil"/>
              <w:right w:val="single" w:sz="4" w:space="0" w:color="000000"/>
            </w:tcBorders>
            <w:vAlign w:val="center"/>
            <w:hideMark/>
          </w:tcPr>
          <w:p w14:paraId="22B2523F" w14:textId="77777777" w:rsidR="00831277" w:rsidRPr="00831277" w:rsidRDefault="00831277" w:rsidP="00831277">
            <w:pPr>
              <w:spacing w:before="0" w:after="0" w:line="240" w:lineRule="auto"/>
              <w:rPr>
                <w:rFonts w:ascii="Aptos Narrow" w:eastAsia="Times New Roman" w:hAnsi="Aptos Narrow"/>
                <w:color w:val="000000"/>
                <w:kern w:val="0"/>
                <w:szCs w:val="22"/>
                <w:lang w:val="en-IE" w:eastAsia="en-IE"/>
              </w:rPr>
            </w:pPr>
          </w:p>
        </w:tc>
        <w:tc>
          <w:tcPr>
            <w:tcW w:w="1821" w:type="dxa"/>
            <w:tcBorders>
              <w:top w:val="single" w:sz="4" w:space="0" w:color="000000"/>
              <w:left w:val="single" w:sz="4" w:space="0" w:color="000000"/>
              <w:bottom w:val="single" w:sz="4" w:space="0" w:color="000000"/>
              <w:right w:val="nil"/>
            </w:tcBorders>
            <w:vAlign w:val="center"/>
            <w:hideMark/>
          </w:tcPr>
          <w:p w14:paraId="2E09F6AE" w14:textId="76318F22" w:rsidR="00831277" w:rsidRPr="00831277" w:rsidRDefault="00831277" w:rsidP="00831277">
            <w:pPr>
              <w:spacing w:before="0" w:after="0" w:line="240" w:lineRule="auto"/>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Automated Monitoring System</w:t>
            </w:r>
            <w:r w:rsidR="00162DD2">
              <w:rPr>
                <w:rFonts w:ascii="Aptos Narrow" w:eastAsia="Times New Roman" w:hAnsi="Aptos Narrow"/>
                <w:b/>
                <w:bCs/>
                <w:color w:val="000000"/>
                <w:kern w:val="0"/>
                <w:szCs w:val="22"/>
                <w:lang w:val="en-IE" w:eastAsia="en-IE"/>
              </w:rPr>
              <w:t xml:space="preserve"> </w:t>
            </w:r>
            <w:r w:rsidRPr="00831277">
              <w:rPr>
                <w:rFonts w:ascii="Aptos Narrow" w:eastAsia="Times New Roman" w:hAnsi="Aptos Narrow"/>
                <w:b/>
                <w:bCs/>
                <w:color w:val="000000"/>
                <w:kern w:val="0"/>
                <w:szCs w:val="22"/>
                <w:lang w:val="en-IE" w:eastAsia="en-IE"/>
              </w:rPr>
              <w:t>- Alerts on Countries</w:t>
            </w:r>
          </w:p>
        </w:tc>
        <w:tc>
          <w:tcPr>
            <w:tcW w:w="938" w:type="dxa"/>
            <w:tcBorders>
              <w:top w:val="single" w:sz="4" w:space="0" w:color="auto"/>
              <w:left w:val="single" w:sz="4" w:space="0" w:color="auto"/>
              <w:bottom w:val="single" w:sz="4" w:space="0" w:color="auto"/>
              <w:right w:val="single" w:sz="4" w:space="0" w:color="auto"/>
            </w:tcBorders>
            <w:noWrap/>
            <w:vAlign w:val="center"/>
            <w:hideMark/>
          </w:tcPr>
          <w:p w14:paraId="4F49491A" w14:textId="77777777" w:rsidR="00831277" w:rsidRPr="00831277" w:rsidRDefault="00831277" w:rsidP="00831277">
            <w:pPr>
              <w:spacing w:before="0" w:after="0" w:line="240" w:lineRule="auto"/>
              <w:jc w:val="center"/>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C0080</w:t>
            </w:r>
          </w:p>
        </w:tc>
        <w:tc>
          <w:tcPr>
            <w:tcW w:w="1352" w:type="dxa"/>
            <w:tcBorders>
              <w:top w:val="single" w:sz="4" w:space="0" w:color="000000"/>
              <w:left w:val="nil"/>
              <w:bottom w:val="single" w:sz="4" w:space="0" w:color="000000"/>
              <w:right w:val="single" w:sz="4" w:space="0" w:color="000000"/>
            </w:tcBorders>
            <w:shd w:val="clear" w:color="000000" w:fill="4EA72E"/>
            <w:vAlign w:val="center"/>
            <w:hideMark/>
          </w:tcPr>
          <w:p w14:paraId="498646C2" w14:textId="77777777" w:rsidR="00831277" w:rsidRPr="00831277" w:rsidRDefault="00831277" w:rsidP="00831277">
            <w:pPr>
              <w:spacing w:before="0" w:after="0" w:line="240" w:lineRule="auto"/>
              <w:jc w:val="center"/>
              <w:rPr>
                <w:rFonts w:ascii="Aptos Narrow" w:eastAsia="Times New Roman" w:hAnsi="Aptos Narrow"/>
                <w:b/>
                <w:bCs/>
                <w:color w:val="FFFFFF"/>
                <w:kern w:val="0"/>
                <w:szCs w:val="22"/>
                <w:lang w:val="en-IE" w:eastAsia="en-IE"/>
              </w:rPr>
            </w:pPr>
            <w:r w:rsidRPr="00831277">
              <w:rPr>
                <w:rFonts w:ascii="Aptos Narrow" w:eastAsia="Times New Roman" w:hAnsi="Aptos Narrow"/>
                <w:b/>
                <w:bCs/>
                <w:color w:val="FFFFFF"/>
                <w:kern w:val="0"/>
                <w:szCs w:val="22"/>
                <w:lang w:val="en-IE" w:eastAsia="en-IE"/>
              </w:rPr>
              <w:t xml:space="preserve">AML.07.05 </w:t>
            </w:r>
          </w:p>
        </w:tc>
      </w:tr>
      <w:tr w:rsidR="00624C6F" w:rsidRPr="00831277" w14:paraId="538B98DB" w14:textId="77777777" w:rsidTr="00624C6F">
        <w:trPr>
          <w:trHeight w:val="564"/>
        </w:trPr>
        <w:tc>
          <w:tcPr>
            <w:tcW w:w="1731" w:type="dxa"/>
            <w:vMerge/>
            <w:tcBorders>
              <w:top w:val="single" w:sz="4" w:space="0" w:color="auto"/>
              <w:left w:val="single" w:sz="4" w:space="0" w:color="auto"/>
              <w:bottom w:val="nil"/>
              <w:right w:val="nil"/>
            </w:tcBorders>
            <w:vAlign w:val="center"/>
            <w:hideMark/>
          </w:tcPr>
          <w:p w14:paraId="4734B595" w14:textId="77777777" w:rsidR="00831277" w:rsidRPr="00831277" w:rsidRDefault="00831277" w:rsidP="00831277">
            <w:pPr>
              <w:spacing w:before="0" w:after="0" w:line="240" w:lineRule="auto"/>
              <w:rPr>
                <w:rFonts w:ascii="Aptos Narrow" w:eastAsia="Times New Roman" w:hAnsi="Aptos Narrow"/>
                <w:b/>
                <w:bCs/>
                <w:color w:val="FFFFFF"/>
                <w:kern w:val="0"/>
                <w:sz w:val="24"/>
                <w:szCs w:val="24"/>
                <w:lang w:val="en-IE" w:eastAsia="en-IE"/>
              </w:rPr>
            </w:pPr>
          </w:p>
        </w:tc>
        <w:tc>
          <w:tcPr>
            <w:tcW w:w="4081" w:type="dxa"/>
            <w:tcBorders>
              <w:top w:val="single" w:sz="4" w:space="0" w:color="000000"/>
              <w:left w:val="single" w:sz="4" w:space="0" w:color="000000"/>
              <w:bottom w:val="single" w:sz="4" w:space="0" w:color="000000"/>
              <w:right w:val="single" w:sz="4" w:space="0" w:color="000000"/>
            </w:tcBorders>
            <w:hideMark/>
          </w:tcPr>
          <w:p w14:paraId="4C26EFB7" w14:textId="77777777" w:rsidR="00831277" w:rsidRPr="00831277" w:rsidRDefault="00831277" w:rsidP="00831277">
            <w:pPr>
              <w:spacing w:before="0" w:after="0" w:line="240" w:lineRule="auto"/>
              <w:rPr>
                <w:rFonts w:ascii="Aptos Narrow" w:eastAsia="Times New Roman" w:hAnsi="Aptos Narrow"/>
                <w:color w:val="000000"/>
                <w:kern w:val="0"/>
                <w:szCs w:val="22"/>
                <w:lang w:val="en-IE" w:eastAsia="en-IE"/>
              </w:rPr>
            </w:pPr>
            <w:r w:rsidRPr="00831277">
              <w:rPr>
                <w:rFonts w:ascii="Aptos Narrow" w:eastAsia="Times New Roman" w:hAnsi="Aptos Narrow"/>
                <w:b/>
                <w:bCs/>
                <w:color w:val="000000"/>
                <w:kern w:val="0"/>
                <w:szCs w:val="22"/>
                <w:lang w:val="en-IE" w:eastAsia="en-IE"/>
              </w:rPr>
              <w:t>If automated system:</w:t>
            </w:r>
            <w:r w:rsidRPr="00831277">
              <w:rPr>
                <w:rFonts w:ascii="Aptos Narrow" w:eastAsia="Times New Roman" w:hAnsi="Aptos Narrow"/>
                <w:color w:val="000000"/>
                <w:kern w:val="0"/>
                <w:szCs w:val="22"/>
                <w:lang w:val="en-IE" w:eastAsia="en-IE"/>
              </w:rPr>
              <w:t xml:space="preserve"> Number of alerts not analysed at the end of the calendar year</w:t>
            </w:r>
          </w:p>
        </w:tc>
        <w:tc>
          <w:tcPr>
            <w:tcW w:w="1821" w:type="dxa"/>
            <w:tcBorders>
              <w:top w:val="single" w:sz="4" w:space="0" w:color="000000"/>
              <w:left w:val="single" w:sz="4" w:space="0" w:color="000000"/>
              <w:bottom w:val="single" w:sz="4" w:space="0" w:color="000000"/>
              <w:right w:val="nil"/>
            </w:tcBorders>
            <w:vAlign w:val="center"/>
            <w:hideMark/>
          </w:tcPr>
          <w:p w14:paraId="0CC7307A" w14:textId="77777777" w:rsidR="00831277" w:rsidRPr="00831277" w:rsidRDefault="00831277" w:rsidP="00831277">
            <w:pPr>
              <w:spacing w:before="0" w:after="0" w:line="240" w:lineRule="auto"/>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 xml:space="preserve">If automated system: Alerts Pending </w:t>
            </w:r>
          </w:p>
        </w:tc>
        <w:tc>
          <w:tcPr>
            <w:tcW w:w="938" w:type="dxa"/>
            <w:tcBorders>
              <w:top w:val="single" w:sz="4" w:space="0" w:color="auto"/>
              <w:left w:val="single" w:sz="4" w:space="0" w:color="auto"/>
              <w:bottom w:val="single" w:sz="4" w:space="0" w:color="auto"/>
              <w:right w:val="single" w:sz="4" w:space="0" w:color="auto"/>
            </w:tcBorders>
            <w:noWrap/>
            <w:vAlign w:val="bottom"/>
            <w:hideMark/>
          </w:tcPr>
          <w:p w14:paraId="509B6880" w14:textId="77777777" w:rsidR="00831277" w:rsidRPr="00831277" w:rsidRDefault="00831277" w:rsidP="00831277">
            <w:pPr>
              <w:spacing w:before="0" w:after="0" w:line="240" w:lineRule="auto"/>
              <w:jc w:val="center"/>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C0090</w:t>
            </w:r>
          </w:p>
        </w:tc>
        <w:tc>
          <w:tcPr>
            <w:tcW w:w="1352" w:type="dxa"/>
            <w:tcBorders>
              <w:top w:val="single" w:sz="4" w:space="0" w:color="000000"/>
              <w:left w:val="nil"/>
              <w:bottom w:val="single" w:sz="4" w:space="0" w:color="000000"/>
              <w:right w:val="single" w:sz="4" w:space="0" w:color="000000"/>
            </w:tcBorders>
            <w:shd w:val="clear" w:color="000000" w:fill="4EA72E"/>
            <w:vAlign w:val="center"/>
            <w:hideMark/>
          </w:tcPr>
          <w:p w14:paraId="7504C878" w14:textId="77777777" w:rsidR="00831277" w:rsidRPr="00831277" w:rsidRDefault="00831277" w:rsidP="00831277">
            <w:pPr>
              <w:spacing w:before="0" w:after="0" w:line="240" w:lineRule="auto"/>
              <w:jc w:val="center"/>
              <w:rPr>
                <w:rFonts w:ascii="Aptos Narrow" w:eastAsia="Times New Roman" w:hAnsi="Aptos Narrow"/>
                <w:b/>
                <w:bCs/>
                <w:color w:val="FFFFFF"/>
                <w:kern w:val="0"/>
                <w:szCs w:val="22"/>
                <w:lang w:val="en-IE" w:eastAsia="en-IE"/>
              </w:rPr>
            </w:pPr>
            <w:r w:rsidRPr="00831277">
              <w:rPr>
                <w:rFonts w:ascii="Aptos Narrow" w:eastAsia="Times New Roman" w:hAnsi="Aptos Narrow"/>
                <w:b/>
                <w:bCs/>
                <w:color w:val="FFFFFF"/>
                <w:kern w:val="0"/>
                <w:szCs w:val="22"/>
                <w:lang w:val="en-IE" w:eastAsia="en-IE"/>
              </w:rPr>
              <w:t xml:space="preserve">AML.07.05 </w:t>
            </w:r>
          </w:p>
        </w:tc>
      </w:tr>
      <w:tr w:rsidR="00624C6F" w:rsidRPr="00831277" w14:paraId="09187387" w14:textId="77777777" w:rsidTr="00624C6F">
        <w:trPr>
          <w:trHeight w:val="846"/>
        </w:trPr>
        <w:tc>
          <w:tcPr>
            <w:tcW w:w="1731" w:type="dxa"/>
            <w:vMerge/>
            <w:tcBorders>
              <w:top w:val="single" w:sz="4" w:space="0" w:color="auto"/>
              <w:left w:val="single" w:sz="4" w:space="0" w:color="auto"/>
              <w:bottom w:val="nil"/>
              <w:right w:val="nil"/>
            </w:tcBorders>
            <w:vAlign w:val="center"/>
            <w:hideMark/>
          </w:tcPr>
          <w:p w14:paraId="2D73EDBD" w14:textId="77777777" w:rsidR="00831277" w:rsidRPr="00831277" w:rsidRDefault="00831277" w:rsidP="00831277">
            <w:pPr>
              <w:spacing w:before="0" w:after="0" w:line="240" w:lineRule="auto"/>
              <w:rPr>
                <w:rFonts w:ascii="Aptos Narrow" w:eastAsia="Times New Roman" w:hAnsi="Aptos Narrow"/>
                <w:b/>
                <w:bCs/>
                <w:color w:val="FFFFFF"/>
                <w:kern w:val="0"/>
                <w:sz w:val="24"/>
                <w:szCs w:val="24"/>
                <w:lang w:val="en-IE" w:eastAsia="en-IE"/>
              </w:rPr>
            </w:pPr>
          </w:p>
        </w:tc>
        <w:tc>
          <w:tcPr>
            <w:tcW w:w="4081" w:type="dxa"/>
            <w:tcBorders>
              <w:top w:val="single" w:sz="4" w:space="0" w:color="000000"/>
              <w:left w:val="single" w:sz="4" w:space="0" w:color="000000"/>
              <w:bottom w:val="single" w:sz="4" w:space="0" w:color="000000"/>
              <w:right w:val="single" w:sz="4" w:space="0" w:color="000000"/>
            </w:tcBorders>
            <w:vAlign w:val="bottom"/>
            <w:hideMark/>
          </w:tcPr>
          <w:p w14:paraId="53743FE1" w14:textId="77777777" w:rsidR="00831277" w:rsidRPr="00831277" w:rsidRDefault="00831277" w:rsidP="00831277">
            <w:pPr>
              <w:spacing w:before="0" w:after="0" w:line="240" w:lineRule="auto"/>
              <w:rPr>
                <w:rFonts w:ascii="Aptos Narrow" w:eastAsia="Times New Roman" w:hAnsi="Aptos Narrow"/>
                <w:color w:val="000000"/>
                <w:kern w:val="0"/>
                <w:szCs w:val="22"/>
                <w:lang w:val="en-IE" w:eastAsia="en-IE"/>
              </w:rPr>
            </w:pPr>
            <w:r w:rsidRPr="00831277">
              <w:rPr>
                <w:rFonts w:ascii="Aptos Narrow" w:eastAsia="Times New Roman" w:hAnsi="Aptos Narrow"/>
                <w:b/>
                <w:bCs/>
                <w:color w:val="000000"/>
                <w:kern w:val="0"/>
                <w:szCs w:val="22"/>
                <w:lang w:val="en-IE" w:eastAsia="en-IE"/>
              </w:rPr>
              <w:t>If automated system:</w:t>
            </w:r>
            <w:r w:rsidRPr="00831277">
              <w:rPr>
                <w:rFonts w:ascii="Aptos Narrow" w:eastAsia="Times New Roman" w:hAnsi="Aptos Narrow"/>
                <w:color w:val="000000"/>
                <w:kern w:val="0"/>
                <w:szCs w:val="22"/>
                <w:lang w:val="en-IE" w:eastAsia="en-IE"/>
              </w:rPr>
              <w:t xml:space="preserve"> Average time to analyse an alert in the last calendar year (number of days between that the alert was generated and the moment that the alert was closed)</w:t>
            </w:r>
          </w:p>
        </w:tc>
        <w:tc>
          <w:tcPr>
            <w:tcW w:w="1821" w:type="dxa"/>
            <w:tcBorders>
              <w:top w:val="single" w:sz="4" w:space="0" w:color="000000"/>
              <w:left w:val="single" w:sz="4" w:space="0" w:color="000000"/>
              <w:bottom w:val="single" w:sz="4" w:space="0" w:color="000000"/>
              <w:right w:val="nil"/>
            </w:tcBorders>
            <w:vAlign w:val="center"/>
            <w:hideMark/>
          </w:tcPr>
          <w:p w14:paraId="2DC37ADF" w14:textId="77777777" w:rsidR="00831277" w:rsidRPr="00831277" w:rsidRDefault="00831277" w:rsidP="00831277">
            <w:pPr>
              <w:spacing w:before="0" w:after="0" w:line="240" w:lineRule="auto"/>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If automated system: Average Alert Analysis Time (Days)</w:t>
            </w:r>
          </w:p>
        </w:tc>
        <w:tc>
          <w:tcPr>
            <w:tcW w:w="938" w:type="dxa"/>
            <w:tcBorders>
              <w:top w:val="single" w:sz="4" w:space="0" w:color="auto"/>
              <w:left w:val="single" w:sz="4" w:space="0" w:color="auto"/>
              <w:bottom w:val="single" w:sz="4" w:space="0" w:color="auto"/>
              <w:right w:val="single" w:sz="4" w:space="0" w:color="auto"/>
            </w:tcBorders>
            <w:noWrap/>
            <w:vAlign w:val="bottom"/>
            <w:hideMark/>
          </w:tcPr>
          <w:p w14:paraId="3F4D9893" w14:textId="77777777" w:rsidR="00831277" w:rsidRPr="00831277" w:rsidRDefault="00831277" w:rsidP="00831277">
            <w:pPr>
              <w:spacing w:before="0" w:after="0" w:line="240" w:lineRule="auto"/>
              <w:jc w:val="center"/>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C0100</w:t>
            </w:r>
          </w:p>
        </w:tc>
        <w:tc>
          <w:tcPr>
            <w:tcW w:w="1352" w:type="dxa"/>
            <w:tcBorders>
              <w:top w:val="single" w:sz="4" w:space="0" w:color="000000"/>
              <w:left w:val="nil"/>
              <w:bottom w:val="single" w:sz="4" w:space="0" w:color="000000"/>
              <w:right w:val="single" w:sz="4" w:space="0" w:color="000000"/>
            </w:tcBorders>
            <w:shd w:val="clear" w:color="000000" w:fill="4EA72E"/>
            <w:vAlign w:val="center"/>
            <w:hideMark/>
          </w:tcPr>
          <w:p w14:paraId="1EE317E5" w14:textId="77777777" w:rsidR="00831277" w:rsidRPr="00831277" w:rsidRDefault="00831277" w:rsidP="00831277">
            <w:pPr>
              <w:spacing w:before="0" w:after="0" w:line="240" w:lineRule="auto"/>
              <w:jc w:val="center"/>
              <w:rPr>
                <w:rFonts w:ascii="Aptos Narrow" w:eastAsia="Times New Roman" w:hAnsi="Aptos Narrow"/>
                <w:b/>
                <w:bCs/>
                <w:color w:val="FFFFFF"/>
                <w:kern w:val="0"/>
                <w:szCs w:val="22"/>
                <w:lang w:val="en-IE" w:eastAsia="en-IE"/>
              </w:rPr>
            </w:pPr>
            <w:r w:rsidRPr="00831277">
              <w:rPr>
                <w:rFonts w:ascii="Aptos Narrow" w:eastAsia="Times New Roman" w:hAnsi="Aptos Narrow"/>
                <w:b/>
                <w:bCs/>
                <w:color w:val="FFFFFF"/>
                <w:kern w:val="0"/>
                <w:szCs w:val="22"/>
                <w:lang w:val="en-IE" w:eastAsia="en-IE"/>
              </w:rPr>
              <w:t xml:space="preserve">AML.07.05 </w:t>
            </w:r>
          </w:p>
        </w:tc>
      </w:tr>
      <w:tr w:rsidR="00624C6F" w:rsidRPr="00831277" w14:paraId="3D4138E0" w14:textId="77777777" w:rsidTr="00624C6F">
        <w:trPr>
          <w:trHeight w:val="297"/>
        </w:trPr>
        <w:tc>
          <w:tcPr>
            <w:tcW w:w="1731" w:type="dxa"/>
            <w:vMerge/>
            <w:tcBorders>
              <w:top w:val="single" w:sz="4" w:space="0" w:color="auto"/>
              <w:left w:val="single" w:sz="4" w:space="0" w:color="auto"/>
              <w:bottom w:val="nil"/>
              <w:right w:val="nil"/>
            </w:tcBorders>
            <w:vAlign w:val="center"/>
            <w:hideMark/>
          </w:tcPr>
          <w:p w14:paraId="0A14B286" w14:textId="77777777" w:rsidR="00831277" w:rsidRPr="00831277" w:rsidRDefault="00831277" w:rsidP="00831277">
            <w:pPr>
              <w:spacing w:before="0" w:after="0" w:line="240" w:lineRule="auto"/>
              <w:rPr>
                <w:rFonts w:ascii="Aptos Narrow" w:eastAsia="Times New Roman" w:hAnsi="Aptos Narrow"/>
                <w:b/>
                <w:bCs/>
                <w:color w:val="FFFFFF"/>
                <w:kern w:val="0"/>
                <w:sz w:val="24"/>
                <w:szCs w:val="24"/>
                <w:lang w:val="en-IE" w:eastAsia="en-IE"/>
              </w:rPr>
            </w:pPr>
          </w:p>
        </w:tc>
        <w:tc>
          <w:tcPr>
            <w:tcW w:w="4081" w:type="dxa"/>
            <w:vMerge w:val="restart"/>
            <w:tcBorders>
              <w:top w:val="single" w:sz="4" w:space="0" w:color="000000"/>
              <w:left w:val="single" w:sz="4" w:space="0" w:color="000000"/>
              <w:bottom w:val="nil"/>
              <w:right w:val="single" w:sz="4" w:space="0" w:color="000000"/>
            </w:tcBorders>
            <w:hideMark/>
          </w:tcPr>
          <w:p w14:paraId="57118629" w14:textId="77777777" w:rsidR="00831277" w:rsidRPr="00831277" w:rsidRDefault="00831277" w:rsidP="00831277">
            <w:pPr>
              <w:spacing w:before="0" w:after="0" w:line="240" w:lineRule="auto"/>
              <w:rPr>
                <w:rFonts w:ascii="Aptos Narrow" w:eastAsia="Times New Roman" w:hAnsi="Aptos Narrow"/>
                <w:color w:val="000000"/>
                <w:kern w:val="0"/>
                <w:szCs w:val="22"/>
                <w:lang w:val="en-IE" w:eastAsia="en-IE"/>
              </w:rPr>
            </w:pPr>
            <w:r w:rsidRPr="00831277">
              <w:rPr>
                <w:rFonts w:ascii="Aptos Narrow" w:eastAsia="Times New Roman" w:hAnsi="Aptos Narrow"/>
                <w:b/>
                <w:bCs/>
                <w:color w:val="000000"/>
                <w:kern w:val="0"/>
                <w:szCs w:val="22"/>
                <w:lang w:val="en-IE" w:eastAsia="en-IE"/>
              </w:rPr>
              <w:t>If automated system:</w:t>
            </w:r>
            <w:r w:rsidRPr="00831277">
              <w:rPr>
                <w:rFonts w:ascii="Aptos Narrow" w:eastAsia="Times New Roman" w:hAnsi="Aptos Narrow"/>
                <w:color w:val="000000"/>
                <w:kern w:val="0"/>
                <w:szCs w:val="22"/>
                <w:lang w:val="en-IE" w:eastAsia="en-IE"/>
              </w:rPr>
              <w:t xml:space="preserve"> Ratio between number of alerts and number of STRs</w:t>
            </w:r>
          </w:p>
        </w:tc>
        <w:tc>
          <w:tcPr>
            <w:tcW w:w="1821" w:type="dxa"/>
            <w:tcBorders>
              <w:top w:val="single" w:sz="4" w:space="0" w:color="000000"/>
              <w:left w:val="single" w:sz="4" w:space="0" w:color="000000"/>
              <w:bottom w:val="single" w:sz="4" w:space="0" w:color="000000"/>
              <w:right w:val="nil"/>
            </w:tcBorders>
            <w:vAlign w:val="center"/>
            <w:hideMark/>
          </w:tcPr>
          <w:p w14:paraId="5654B7AC" w14:textId="77777777" w:rsidR="00831277" w:rsidRPr="00831277" w:rsidRDefault="00831277" w:rsidP="00831277">
            <w:pPr>
              <w:spacing w:before="0" w:after="0" w:line="240" w:lineRule="auto"/>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If automated system: total number of alerts</w:t>
            </w:r>
          </w:p>
        </w:tc>
        <w:tc>
          <w:tcPr>
            <w:tcW w:w="938" w:type="dxa"/>
            <w:tcBorders>
              <w:top w:val="single" w:sz="4" w:space="0" w:color="auto"/>
              <w:left w:val="single" w:sz="4" w:space="0" w:color="auto"/>
              <w:bottom w:val="single" w:sz="4" w:space="0" w:color="auto"/>
              <w:right w:val="single" w:sz="4" w:space="0" w:color="auto"/>
            </w:tcBorders>
            <w:noWrap/>
            <w:vAlign w:val="bottom"/>
            <w:hideMark/>
          </w:tcPr>
          <w:p w14:paraId="0B172717" w14:textId="77777777" w:rsidR="00831277" w:rsidRPr="00831277" w:rsidRDefault="00831277" w:rsidP="00831277">
            <w:pPr>
              <w:spacing w:before="0" w:after="0" w:line="240" w:lineRule="auto"/>
              <w:jc w:val="center"/>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C0110</w:t>
            </w:r>
          </w:p>
        </w:tc>
        <w:tc>
          <w:tcPr>
            <w:tcW w:w="1352" w:type="dxa"/>
            <w:tcBorders>
              <w:top w:val="single" w:sz="4" w:space="0" w:color="000000"/>
              <w:left w:val="nil"/>
              <w:bottom w:val="single" w:sz="4" w:space="0" w:color="000000"/>
              <w:right w:val="single" w:sz="4" w:space="0" w:color="000000"/>
            </w:tcBorders>
            <w:shd w:val="clear" w:color="000000" w:fill="4EA72E"/>
            <w:vAlign w:val="center"/>
            <w:hideMark/>
          </w:tcPr>
          <w:p w14:paraId="12435C86" w14:textId="77777777" w:rsidR="00831277" w:rsidRPr="00831277" w:rsidRDefault="00831277" w:rsidP="00831277">
            <w:pPr>
              <w:spacing w:before="0" w:after="0" w:line="240" w:lineRule="auto"/>
              <w:jc w:val="center"/>
              <w:rPr>
                <w:rFonts w:ascii="Aptos Narrow" w:eastAsia="Times New Roman" w:hAnsi="Aptos Narrow"/>
                <w:b/>
                <w:bCs/>
                <w:color w:val="FFFFFF"/>
                <w:kern w:val="0"/>
                <w:szCs w:val="22"/>
                <w:lang w:val="en-IE" w:eastAsia="en-IE"/>
              </w:rPr>
            </w:pPr>
            <w:r w:rsidRPr="00831277">
              <w:rPr>
                <w:rFonts w:ascii="Aptos Narrow" w:eastAsia="Times New Roman" w:hAnsi="Aptos Narrow"/>
                <w:b/>
                <w:bCs/>
                <w:color w:val="FFFFFF"/>
                <w:kern w:val="0"/>
                <w:szCs w:val="22"/>
                <w:lang w:val="en-IE" w:eastAsia="en-IE"/>
              </w:rPr>
              <w:t xml:space="preserve">AML.07.05 </w:t>
            </w:r>
          </w:p>
        </w:tc>
      </w:tr>
      <w:tr w:rsidR="00624C6F" w:rsidRPr="00831277" w14:paraId="6474E9E1" w14:textId="77777777" w:rsidTr="00624C6F">
        <w:trPr>
          <w:trHeight w:val="564"/>
        </w:trPr>
        <w:tc>
          <w:tcPr>
            <w:tcW w:w="1731" w:type="dxa"/>
            <w:vMerge/>
            <w:tcBorders>
              <w:top w:val="single" w:sz="4" w:space="0" w:color="auto"/>
              <w:left w:val="single" w:sz="4" w:space="0" w:color="auto"/>
              <w:bottom w:val="nil"/>
              <w:right w:val="nil"/>
            </w:tcBorders>
            <w:vAlign w:val="center"/>
            <w:hideMark/>
          </w:tcPr>
          <w:p w14:paraId="0A2FCC0F" w14:textId="77777777" w:rsidR="00831277" w:rsidRPr="00831277" w:rsidRDefault="00831277" w:rsidP="00831277">
            <w:pPr>
              <w:spacing w:before="0" w:after="0" w:line="240" w:lineRule="auto"/>
              <w:rPr>
                <w:rFonts w:ascii="Aptos Narrow" w:eastAsia="Times New Roman" w:hAnsi="Aptos Narrow"/>
                <w:b/>
                <w:bCs/>
                <w:color w:val="FFFFFF"/>
                <w:kern w:val="0"/>
                <w:sz w:val="24"/>
                <w:szCs w:val="24"/>
                <w:lang w:val="en-IE" w:eastAsia="en-IE"/>
              </w:rPr>
            </w:pPr>
          </w:p>
        </w:tc>
        <w:tc>
          <w:tcPr>
            <w:tcW w:w="4081" w:type="dxa"/>
            <w:vMerge/>
            <w:tcBorders>
              <w:top w:val="single" w:sz="4" w:space="0" w:color="000000"/>
              <w:left w:val="single" w:sz="4" w:space="0" w:color="000000"/>
              <w:bottom w:val="nil"/>
              <w:right w:val="single" w:sz="4" w:space="0" w:color="000000"/>
            </w:tcBorders>
            <w:vAlign w:val="center"/>
            <w:hideMark/>
          </w:tcPr>
          <w:p w14:paraId="66B41764" w14:textId="77777777" w:rsidR="00831277" w:rsidRPr="00831277" w:rsidRDefault="00831277" w:rsidP="00831277">
            <w:pPr>
              <w:spacing w:before="0" w:after="0" w:line="240" w:lineRule="auto"/>
              <w:rPr>
                <w:rFonts w:ascii="Aptos Narrow" w:eastAsia="Times New Roman" w:hAnsi="Aptos Narrow"/>
                <w:color w:val="000000"/>
                <w:kern w:val="0"/>
                <w:szCs w:val="22"/>
                <w:lang w:val="en-IE" w:eastAsia="en-IE"/>
              </w:rPr>
            </w:pPr>
          </w:p>
        </w:tc>
        <w:tc>
          <w:tcPr>
            <w:tcW w:w="1821" w:type="dxa"/>
            <w:tcBorders>
              <w:top w:val="nil"/>
              <w:left w:val="nil"/>
              <w:bottom w:val="nil"/>
              <w:right w:val="nil"/>
            </w:tcBorders>
            <w:vAlign w:val="bottom"/>
            <w:hideMark/>
          </w:tcPr>
          <w:p w14:paraId="25F23D28" w14:textId="664CFEE4" w:rsidR="00831277" w:rsidRPr="00831277" w:rsidRDefault="00831277" w:rsidP="00831277">
            <w:pPr>
              <w:spacing w:before="0" w:after="0" w:line="240" w:lineRule="auto"/>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If automated system: total number of</w:t>
            </w:r>
            <w:r w:rsidR="00162DD2">
              <w:rPr>
                <w:rFonts w:ascii="Aptos Narrow" w:eastAsia="Times New Roman" w:hAnsi="Aptos Narrow"/>
                <w:b/>
                <w:bCs/>
                <w:color w:val="000000"/>
                <w:kern w:val="0"/>
                <w:szCs w:val="22"/>
                <w:lang w:val="en-IE" w:eastAsia="en-IE"/>
              </w:rPr>
              <w:t xml:space="preserve"> </w:t>
            </w:r>
            <w:r w:rsidRPr="00831277">
              <w:rPr>
                <w:rFonts w:ascii="Aptos Narrow" w:eastAsia="Times New Roman" w:hAnsi="Aptos Narrow"/>
                <w:b/>
                <w:bCs/>
                <w:color w:val="000000"/>
                <w:kern w:val="0"/>
                <w:szCs w:val="22"/>
                <w:lang w:val="en-IE" w:eastAsia="en-IE"/>
              </w:rPr>
              <w:t>STRs submitted to the FIU</w:t>
            </w:r>
          </w:p>
        </w:tc>
        <w:tc>
          <w:tcPr>
            <w:tcW w:w="938" w:type="dxa"/>
            <w:tcBorders>
              <w:top w:val="single" w:sz="4" w:space="0" w:color="auto"/>
              <w:left w:val="single" w:sz="4" w:space="0" w:color="auto"/>
              <w:bottom w:val="single" w:sz="4" w:space="0" w:color="auto"/>
              <w:right w:val="single" w:sz="4" w:space="0" w:color="auto"/>
            </w:tcBorders>
            <w:noWrap/>
            <w:vAlign w:val="bottom"/>
            <w:hideMark/>
          </w:tcPr>
          <w:p w14:paraId="5920FB99" w14:textId="77777777" w:rsidR="00831277" w:rsidRPr="00831277" w:rsidRDefault="00831277" w:rsidP="00831277">
            <w:pPr>
              <w:spacing w:before="0" w:after="0" w:line="240" w:lineRule="auto"/>
              <w:jc w:val="center"/>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C0120</w:t>
            </w:r>
          </w:p>
        </w:tc>
        <w:tc>
          <w:tcPr>
            <w:tcW w:w="1352" w:type="dxa"/>
            <w:tcBorders>
              <w:top w:val="single" w:sz="4" w:space="0" w:color="000000"/>
              <w:left w:val="nil"/>
              <w:bottom w:val="single" w:sz="4" w:space="0" w:color="000000"/>
              <w:right w:val="single" w:sz="4" w:space="0" w:color="000000"/>
            </w:tcBorders>
            <w:shd w:val="clear" w:color="000000" w:fill="4EA72E"/>
            <w:vAlign w:val="center"/>
            <w:hideMark/>
          </w:tcPr>
          <w:p w14:paraId="61611524" w14:textId="77777777" w:rsidR="00831277" w:rsidRPr="00831277" w:rsidRDefault="00831277" w:rsidP="00831277">
            <w:pPr>
              <w:spacing w:before="0" w:after="0" w:line="240" w:lineRule="auto"/>
              <w:jc w:val="center"/>
              <w:rPr>
                <w:rFonts w:ascii="Aptos Narrow" w:eastAsia="Times New Roman" w:hAnsi="Aptos Narrow"/>
                <w:b/>
                <w:bCs/>
                <w:color w:val="FFFFFF"/>
                <w:kern w:val="0"/>
                <w:szCs w:val="22"/>
                <w:lang w:val="en-IE" w:eastAsia="en-IE"/>
              </w:rPr>
            </w:pPr>
            <w:r w:rsidRPr="00831277">
              <w:rPr>
                <w:rFonts w:ascii="Aptos Narrow" w:eastAsia="Times New Roman" w:hAnsi="Aptos Narrow"/>
                <w:b/>
                <w:bCs/>
                <w:color w:val="FFFFFF"/>
                <w:kern w:val="0"/>
                <w:szCs w:val="22"/>
                <w:lang w:val="en-IE" w:eastAsia="en-IE"/>
              </w:rPr>
              <w:t xml:space="preserve">AML.07.05 </w:t>
            </w:r>
          </w:p>
        </w:tc>
      </w:tr>
      <w:tr w:rsidR="00624C6F" w:rsidRPr="00831277" w14:paraId="70E9B508" w14:textId="77777777" w:rsidTr="00624C6F">
        <w:trPr>
          <w:trHeight w:val="1262"/>
        </w:trPr>
        <w:tc>
          <w:tcPr>
            <w:tcW w:w="1731" w:type="dxa"/>
            <w:vMerge/>
            <w:tcBorders>
              <w:top w:val="single" w:sz="4" w:space="0" w:color="auto"/>
              <w:left w:val="single" w:sz="4" w:space="0" w:color="auto"/>
              <w:bottom w:val="nil"/>
              <w:right w:val="nil"/>
            </w:tcBorders>
            <w:vAlign w:val="center"/>
            <w:hideMark/>
          </w:tcPr>
          <w:p w14:paraId="743D5AD7" w14:textId="77777777" w:rsidR="00831277" w:rsidRPr="00831277" w:rsidRDefault="00831277" w:rsidP="00831277">
            <w:pPr>
              <w:spacing w:before="0" w:after="0" w:line="240" w:lineRule="auto"/>
              <w:rPr>
                <w:rFonts w:ascii="Aptos Narrow" w:eastAsia="Times New Roman" w:hAnsi="Aptos Narrow"/>
                <w:b/>
                <w:bCs/>
                <w:color w:val="FFFFFF"/>
                <w:kern w:val="0"/>
                <w:sz w:val="24"/>
                <w:szCs w:val="24"/>
                <w:lang w:val="en-IE" w:eastAsia="en-IE"/>
              </w:rPr>
            </w:pPr>
          </w:p>
        </w:tc>
        <w:tc>
          <w:tcPr>
            <w:tcW w:w="4081" w:type="dxa"/>
            <w:tcBorders>
              <w:top w:val="nil"/>
              <w:left w:val="single" w:sz="4" w:space="0" w:color="000000"/>
              <w:bottom w:val="nil"/>
              <w:right w:val="single" w:sz="4" w:space="0" w:color="000000"/>
            </w:tcBorders>
            <w:hideMark/>
          </w:tcPr>
          <w:p w14:paraId="70D2DED7" w14:textId="32DB4E44" w:rsidR="00831277" w:rsidRPr="00831277" w:rsidRDefault="00831277" w:rsidP="00831277">
            <w:pPr>
              <w:spacing w:before="0" w:after="0" w:line="240" w:lineRule="auto"/>
              <w:rPr>
                <w:rFonts w:ascii="Aptos Narrow" w:eastAsia="Times New Roman" w:hAnsi="Aptos Narrow"/>
                <w:color w:val="000000"/>
                <w:kern w:val="0"/>
                <w:szCs w:val="22"/>
                <w:lang w:val="en-IE" w:eastAsia="en-IE"/>
              </w:rPr>
            </w:pPr>
            <w:r w:rsidRPr="00831277">
              <w:rPr>
                <w:rFonts w:ascii="Aptos Narrow" w:eastAsia="Times New Roman" w:hAnsi="Aptos Narrow"/>
                <w:color w:val="000000"/>
                <w:kern w:val="0"/>
                <w:szCs w:val="22"/>
                <w:lang w:val="en-IE" w:eastAsia="en-IE"/>
              </w:rPr>
              <w:t xml:space="preserve">The entity has implemented a tool that enables it to analyse the information available on distributed ledgers and generate alerts where unusual patterns or risk factors are identified, in relation to the transactions carried out by the customer </w:t>
            </w:r>
          </w:p>
        </w:tc>
        <w:tc>
          <w:tcPr>
            <w:tcW w:w="1821" w:type="dxa"/>
            <w:tcBorders>
              <w:top w:val="single" w:sz="4" w:space="0" w:color="000000"/>
              <w:left w:val="single" w:sz="4" w:space="0" w:color="000000"/>
              <w:bottom w:val="single" w:sz="4" w:space="0" w:color="000000"/>
              <w:right w:val="single" w:sz="4" w:space="0" w:color="000000"/>
            </w:tcBorders>
            <w:vAlign w:val="center"/>
            <w:hideMark/>
          </w:tcPr>
          <w:p w14:paraId="64BBDE4E" w14:textId="77777777" w:rsidR="00831277" w:rsidRPr="00831277" w:rsidRDefault="00831277" w:rsidP="00831277">
            <w:pPr>
              <w:spacing w:before="0" w:after="0" w:line="240" w:lineRule="auto"/>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DLT/Blockchain Analysis Tool</w:t>
            </w:r>
          </w:p>
        </w:tc>
        <w:tc>
          <w:tcPr>
            <w:tcW w:w="938" w:type="dxa"/>
            <w:tcBorders>
              <w:top w:val="nil"/>
              <w:left w:val="single" w:sz="4" w:space="0" w:color="000000"/>
              <w:bottom w:val="single" w:sz="4" w:space="0" w:color="000000"/>
              <w:right w:val="single" w:sz="4" w:space="0" w:color="000000"/>
            </w:tcBorders>
            <w:vAlign w:val="center"/>
            <w:hideMark/>
          </w:tcPr>
          <w:p w14:paraId="164C4E73" w14:textId="77777777" w:rsidR="00831277" w:rsidRPr="00831277" w:rsidRDefault="00831277" w:rsidP="00831277">
            <w:pPr>
              <w:spacing w:before="0" w:after="0" w:line="240" w:lineRule="auto"/>
              <w:jc w:val="center"/>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C0130</w:t>
            </w:r>
          </w:p>
        </w:tc>
        <w:tc>
          <w:tcPr>
            <w:tcW w:w="1352" w:type="dxa"/>
            <w:tcBorders>
              <w:top w:val="single" w:sz="4" w:space="0" w:color="000000"/>
              <w:left w:val="nil"/>
              <w:bottom w:val="single" w:sz="4" w:space="0" w:color="000000"/>
              <w:right w:val="single" w:sz="4" w:space="0" w:color="000000"/>
            </w:tcBorders>
            <w:shd w:val="clear" w:color="000000" w:fill="4EA72E"/>
            <w:vAlign w:val="center"/>
            <w:hideMark/>
          </w:tcPr>
          <w:p w14:paraId="086A4BC7" w14:textId="77777777" w:rsidR="00831277" w:rsidRPr="00831277" w:rsidRDefault="00831277" w:rsidP="00831277">
            <w:pPr>
              <w:spacing w:before="0" w:after="0" w:line="240" w:lineRule="auto"/>
              <w:jc w:val="center"/>
              <w:rPr>
                <w:rFonts w:ascii="Aptos Narrow" w:eastAsia="Times New Roman" w:hAnsi="Aptos Narrow"/>
                <w:b/>
                <w:bCs/>
                <w:color w:val="FFFFFF"/>
                <w:kern w:val="0"/>
                <w:szCs w:val="22"/>
                <w:lang w:val="en-IE" w:eastAsia="en-IE"/>
              </w:rPr>
            </w:pPr>
            <w:r w:rsidRPr="00831277">
              <w:rPr>
                <w:rFonts w:ascii="Aptos Narrow" w:eastAsia="Times New Roman" w:hAnsi="Aptos Narrow"/>
                <w:b/>
                <w:bCs/>
                <w:color w:val="FFFFFF"/>
                <w:kern w:val="0"/>
                <w:szCs w:val="22"/>
                <w:lang w:val="en-IE" w:eastAsia="en-IE"/>
              </w:rPr>
              <w:t xml:space="preserve">AML.07.05 </w:t>
            </w:r>
          </w:p>
        </w:tc>
      </w:tr>
      <w:tr w:rsidR="00624C6F" w:rsidRPr="00831277" w14:paraId="61DAAF0C" w14:textId="77777777" w:rsidTr="00624C6F">
        <w:trPr>
          <w:trHeight w:val="1218"/>
        </w:trPr>
        <w:tc>
          <w:tcPr>
            <w:tcW w:w="1731" w:type="dxa"/>
            <w:vMerge/>
            <w:tcBorders>
              <w:top w:val="single" w:sz="4" w:space="0" w:color="auto"/>
              <w:left w:val="single" w:sz="4" w:space="0" w:color="auto"/>
              <w:bottom w:val="nil"/>
              <w:right w:val="nil"/>
            </w:tcBorders>
            <w:vAlign w:val="center"/>
            <w:hideMark/>
          </w:tcPr>
          <w:p w14:paraId="50D2E665" w14:textId="77777777" w:rsidR="00831277" w:rsidRPr="00831277" w:rsidRDefault="00831277" w:rsidP="00831277">
            <w:pPr>
              <w:spacing w:before="0" w:after="0" w:line="240" w:lineRule="auto"/>
              <w:rPr>
                <w:rFonts w:ascii="Aptos Narrow" w:eastAsia="Times New Roman" w:hAnsi="Aptos Narrow"/>
                <w:b/>
                <w:bCs/>
                <w:color w:val="FFFFFF"/>
                <w:kern w:val="0"/>
                <w:sz w:val="24"/>
                <w:szCs w:val="24"/>
                <w:lang w:val="en-IE" w:eastAsia="en-IE"/>
              </w:rPr>
            </w:pPr>
          </w:p>
        </w:tc>
        <w:tc>
          <w:tcPr>
            <w:tcW w:w="4081" w:type="dxa"/>
            <w:tcBorders>
              <w:top w:val="single" w:sz="4" w:space="0" w:color="000000"/>
              <w:left w:val="single" w:sz="4" w:space="0" w:color="000000"/>
              <w:bottom w:val="single" w:sz="4" w:space="0" w:color="000000"/>
              <w:right w:val="single" w:sz="4" w:space="0" w:color="000000"/>
            </w:tcBorders>
            <w:shd w:val="clear" w:color="000000" w:fill="FFFFFF"/>
            <w:hideMark/>
          </w:tcPr>
          <w:p w14:paraId="45DD9F83" w14:textId="77777777" w:rsidR="00831277" w:rsidRPr="00831277" w:rsidRDefault="00831277" w:rsidP="00831277">
            <w:pPr>
              <w:spacing w:before="0" w:after="0" w:line="240" w:lineRule="auto"/>
              <w:rPr>
                <w:rFonts w:ascii="Aptos Narrow" w:eastAsia="Times New Roman" w:hAnsi="Aptos Narrow"/>
                <w:color w:val="000000"/>
                <w:kern w:val="0"/>
                <w:szCs w:val="22"/>
                <w:lang w:val="en-IE" w:eastAsia="en-IE"/>
              </w:rPr>
            </w:pPr>
            <w:r w:rsidRPr="00831277">
              <w:rPr>
                <w:rFonts w:ascii="Aptos Narrow" w:eastAsia="Times New Roman" w:hAnsi="Aptos Narrow"/>
                <w:color w:val="000000"/>
                <w:kern w:val="0"/>
                <w:szCs w:val="22"/>
                <w:lang w:val="en-IE" w:eastAsia="en-IE"/>
              </w:rPr>
              <w:t xml:space="preserve">Average number of days between the date of identification of potential suspicious transactions (prior to the analysis of the transaction) and the date when the transaction is reported to the FIU (after the analysis of the transaction) during the last calendar year </w:t>
            </w:r>
          </w:p>
        </w:tc>
        <w:tc>
          <w:tcPr>
            <w:tcW w:w="1821" w:type="dxa"/>
            <w:tcBorders>
              <w:top w:val="single" w:sz="4" w:space="0" w:color="000000"/>
              <w:left w:val="single" w:sz="4" w:space="0" w:color="000000"/>
              <w:bottom w:val="single" w:sz="4" w:space="0" w:color="000000"/>
              <w:right w:val="single" w:sz="4" w:space="0" w:color="000000"/>
            </w:tcBorders>
            <w:vAlign w:val="center"/>
            <w:hideMark/>
          </w:tcPr>
          <w:p w14:paraId="623D30DD" w14:textId="77777777" w:rsidR="00831277" w:rsidRPr="00831277" w:rsidRDefault="00831277" w:rsidP="00831277">
            <w:pPr>
              <w:spacing w:before="0" w:after="0" w:line="240" w:lineRule="auto"/>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Average STR Processing Time (Days)</w:t>
            </w:r>
          </w:p>
        </w:tc>
        <w:tc>
          <w:tcPr>
            <w:tcW w:w="938" w:type="dxa"/>
            <w:tcBorders>
              <w:top w:val="single" w:sz="4" w:space="0" w:color="000000"/>
              <w:left w:val="single" w:sz="4" w:space="0" w:color="000000"/>
              <w:bottom w:val="single" w:sz="4" w:space="0" w:color="000000"/>
              <w:right w:val="single" w:sz="4" w:space="0" w:color="000000"/>
            </w:tcBorders>
            <w:vAlign w:val="center"/>
            <w:hideMark/>
          </w:tcPr>
          <w:p w14:paraId="60888B0A" w14:textId="77777777" w:rsidR="00831277" w:rsidRPr="00831277" w:rsidRDefault="00831277" w:rsidP="00831277">
            <w:pPr>
              <w:spacing w:before="0" w:after="0" w:line="240" w:lineRule="auto"/>
              <w:jc w:val="center"/>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C0140</w:t>
            </w:r>
          </w:p>
        </w:tc>
        <w:tc>
          <w:tcPr>
            <w:tcW w:w="1352" w:type="dxa"/>
            <w:tcBorders>
              <w:top w:val="single" w:sz="4" w:space="0" w:color="000000"/>
              <w:left w:val="nil"/>
              <w:bottom w:val="single" w:sz="4" w:space="0" w:color="000000"/>
              <w:right w:val="single" w:sz="4" w:space="0" w:color="000000"/>
            </w:tcBorders>
            <w:shd w:val="clear" w:color="000000" w:fill="4EA72E"/>
            <w:vAlign w:val="center"/>
            <w:hideMark/>
          </w:tcPr>
          <w:p w14:paraId="714AE907" w14:textId="77777777" w:rsidR="00831277" w:rsidRPr="00831277" w:rsidRDefault="00831277" w:rsidP="00831277">
            <w:pPr>
              <w:spacing w:before="0" w:after="0" w:line="240" w:lineRule="auto"/>
              <w:jc w:val="center"/>
              <w:rPr>
                <w:rFonts w:ascii="Aptos Narrow" w:eastAsia="Times New Roman" w:hAnsi="Aptos Narrow"/>
                <w:b/>
                <w:bCs/>
                <w:color w:val="FFFFFF"/>
                <w:kern w:val="0"/>
                <w:szCs w:val="22"/>
                <w:lang w:val="en-IE" w:eastAsia="en-IE"/>
              </w:rPr>
            </w:pPr>
            <w:r w:rsidRPr="00831277">
              <w:rPr>
                <w:rFonts w:ascii="Aptos Narrow" w:eastAsia="Times New Roman" w:hAnsi="Aptos Narrow"/>
                <w:b/>
                <w:bCs/>
                <w:color w:val="FFFFFF"/>
                <w:kern w:val="0"/>
                <w:szCs w:val="22"/>
                <w:lang w:val="en-IE" w:eastAsia="en-IE"/>
              </w:rPr>
              <w:t xml:space="preserve">AML.07.05 </w:t>
            </w:r>
          </w:p>
        </w:tc>
      </w:tr>
      <w:tr w:rsidR="00624C6F" w:rsidRPr="00831277" w14:paraId="5E963B22" w14:textId="77777777" w:rsidTr="00624C6F">
        <w:trPr>
          <w:trHeight w:val="297"/>
        </w:trPr>
        <w:tc>
          <w:tcPr>
            <w:tcW w:w="1731" w:type="dxa"/>
            <w:vMerge/>
            <w:tcBorders>
              <w:top w:val="single" w:sz="4" w:space="0" w:color="auto"/>
              <w:left w:val="single" w:sz="4" w:space="0" w:color="auto"/>
              <w:bottom w:val="nil"/>
              <w:right w:val="nil"/>
            </w:tcBorders>
            <w:vAlign w:val="center"/>
            <w:hideMark/>
          </w:tcPr>
          <w:p w14:paraId="1D7A42CB" w14:textId="77777777" w:rsidR="00831277" w:rsidRPr="00831277" w:rsidRDefault="00831277" w:rsidP="00831277">
            <w:pPr>
              <w:spacing w:before="0" w:after="0" w:line="240" w:lineRule="auto"/>
              <w:rPr>
                <w:rFonts w:ascii="Aptos Narrow" w:eastAsia="Times New Roman" w:hAnsi="Aptos Narrow"/>
                <w:b/>
                <w:bCs/>
                <w:color w:val="FFFFFF"/>
                <w:kern w:val="0"/>
                <w:sz w:val="24"/>
                <w:szCs w:val="24"/>
                <w:lang w:val="en-IE" w:eastAsia="en-IE"/>
              </w:rPr>
            </w:pPr>
          </w:p>
        </w:tc>
        <w:tc>
          <w:tcPr>
            <w:tcW w:w="4081"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6611AA4" w14:textId="77777777" w:rsidR="00831277" w:rsidRPr="00831277" w:rsidRDefault="00831277" w:rsidP="00831277">
            <w:pPr>
              <w:spacing w:before="0" w:after="0" w:line="240" w:lineRule="auto"/>
              <w:rPr>
                <w:rFonts w:ascii="Aptos Narrow" w:eastAsia="Times New Roman" w:hAnsi="Aptos Narrow"/>
                <w:color w:val="000000"/>
                <w:kern w:val="0"/>
                <w:szCs w:val="22"/>
                <w:lang w:val="en-IE" w:eastAsia="en-IE"/>
              </w:rPr>
            </w:pPr>
            <w:r w:rsidRPr="00831277">
              <w:rPr>
                <w:rFonts w:ascii="Aptos Narrow" w:eastAsia="Times New Roman" w:hAnsi="Aptos Narrow"/>
                <w:color w:val="000000"/>
                <w:kern w:val="0"/>
                <w:szCs w:val="22"/>
                <w:lang w:val="en-IE" w:eastAsia="en-IE"/>
              </w:rPr>
              <w:t>Total number of STRs submitted to the FIU during the last calendar year</w:t>
            </w:r>
          </w:p>
        </w:tc>
        <w:tc>
          <w:tcPr>
            <w:tcW w:w="1821" w:type="dxa"/>
            <w:tcBorders>
              <w:top w:val="single" w:sz="4" w:space="0" w:color="000000"/>
              <w:left w:val="single" w:sz="4" w:space="0" w:color="000000"/>
              <w:bottom w:val="single" w:sz="4" w:space="0" w:color="000000"/>
              <w:right w:val="single" w:sz="4" w:space="0" w:color="000000"/>
            </w:tcBorders>
            <w:vAlign w:val="center"/>
            <w:hideMark/>
          </w:tcPr>
          <w:p w14:paraId="06480EED" w14:textId="77777777" w:rsidR="00831277" w:rsidRPr="00831277" w:rsidRDefault="00831277" w:rsidP="00831277">
            <w:pPr>
              <w:spacing w:before="0" w:after="0" w:line="240" w:lineRule="auto"/>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STRs Submitted (Total)</w:t>
            </w:r>
          </w:p>
        </w:tc>
        <w:tc>
          <w:tcPr>
            <w:tcW w:w="938" w:type="dxa"/>
            <w:tcBorders>
              <w:top w:val="single" w:sz="4" w:space="0" w:color="000000"/>
              <w:left w:val="single" w:sz="4" w:space="0" w:color="000000"/>
              <w:bottom w:val="single" w:sz="4" w:space="0" w:color="000000"/>
              <w:right w:val="single" w:sz="4" w:space="0" w:color="000000"/>
            </w:tcBorders>
            <w:vAlign w:val="center"/>
            <w:hideMark/>
          </w:tcPr>
          <w:p w14:paraId="15714BA1" w14:textId="77777777" w:rsidR="00831277" w:rsidRPr="00831277" w:rsidRDefault="00831277" w:rsidP="00831277">
            <w:pPr>
              <w:spacing w:before="0" w:after="0" w:line="240" w:lineRule="auto"/>
              <w:jc w:val="center"/>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C0150</w:t>
            </w:r>
          </w:p>
        </w:tc>
        <w:tc>
          <w:tcPr>
            <w:tcW w:w="1352" w:type="dxa"/>
            <w:tcBorders>
              <w:top w:val="single" w:sz="4" w:space="0" w:color="000000"/>
              <w:left w:val="nil"/>
              <w:bottom w:val="single" w:sz="4" w:space="0" w:color="000000"/>
              <w:right w:val="single" w:sz="4" w:space="0" w:color="000000"/>
            </w:tcBorders>
            <w:shd w:val="clear" w:color="000000" w:fill="4EA72E"/>
            <w:vAlign w:val="center"/>
            <w:hideMark/>
          </w:tcPr>
          <w:p w14:paraId="366F1570" w14:textId="77777777" w:rsidR="00831277" w:rsidRPr="00831277" w:rsidRDefault="00831277" w:rsidP="00831277">
            <w:pPr>
              <w:spacing w:before="0" w:after="0" w:line="240" w:lineRule="auto"/>
              <w:jc w:val="center"/>
              <w:rPr>
                <w:rFonts w:ascii="Aptos Narrow" w:eastAsia="Times New Roman" w:hAnsi="Aptos Narrow"/>
                <w:b/>
                <w:bCs/>
                <w:color w:val="FFFFFF"/>
                <w:kern w:val="0"/>
                <w:szCs w:val="22"/>
                <w:lang w:val="en-IE" w:eastAsia="en-IE"/>
              </w:rPr>
            </w:pPr>
            <w:r w:rsidRPr="00831277">
              <w:rPr>
                <w:rFonts w:ascii="Aptos Narrow" w:eastAsia="Times New Roman" w:hAnsi="Aptos Narrow"/>
                <w:b/>
                <w:bCs/>
                <w:color w:val="FFFFFF"/>
                <w:kern w:val="0"/>
                <w:szCs w:val="22"/>
                <w:lang w:val="en-IE" w:eastAsia="en-IE"/>
              </w:rPr>
              <w:t xml:space="preserve">AML.07.05 </w:t>
            </w:r>
          </w:p>
        </w:tc>
      </w:tr>
      <w:tr w:rsidR="00624C6F" w:rsidRPr="00831277" w14:paraId="4F6C3F21" w14:textId="77777777" w:rsidTr="00624C6F">
        <w:trPr>
          <w:trHeight w:val="846"/>
        </w:trPr>
        <w:tc>
          <w:tcPr>
            <w:tcW w:w="1731" w:type="dxa"/>
            <w:vMerge w:val="restart"/>
            <w:tcBorders>
              <w:top w:val="single" w:sz="4" w:space="0" w:color="auto"/>
              <w:left w:val="single" w:sz="4" w:space="0" w:color="auto"/>
              <w:bottom w:val="nil"/>
              <w:right w:val="nil"/>
            </w:tcBorders>
            <w:shd w:val="clear" w:color="000000" w:fill="339933"/>
            <w:vAlign w:val="center"/>
            <w:hideMark/>
          </w:tcPr>
          <w:p w14:paraId="44677233" w14:textId="77777777" w:rsidR="00831277" w:rsidRPr="00831277" w:rsidRDefault="00831277" w:rsidP="00831277">
            <w:pPr>
              <w:spacing w:before="0" w:after="0" w:line="240" w:lineRule="auto"/>
              <w:jc w:val="center"/>
              <w:rPr>
                <w:rFonts w:ascii="Aptos Narrow" w:eastAsia="Times New Roman" w:hAnsi="Aptos Narrow"/>
                <w:b/>
                <w:bCs/>
                <w:color w:val="FFFFFF"/>
                <w:kern w:val="0"/>
                <w:sz w:val="24"/>
                <w:szCs w:val="24"/>
                <w:lang w:val="en-IE" w:eastAsia="en-IE"/>
              </w:rPr>
            </w:pPr>
            <w:r w:rsidRPr="00831277">
              <w:rPr>
                <w:rFonts w:ascii="Aptos Narrow" w:eastAsia="Times New Roman" w:hAnsi="Aptos Narrow"/>
                <w:b/>
                <w:bCs/>
                <w:color w:val="FFFFFF"/>
                <w:kern w:val="0"/>
                <w:sz w:val="24"/>
                <w:szCs w:val="24"/>
                <w:lang w:val="en-IE" w:eastAsia="en-IE"/>
              </w:rPr>
              <w:t>6 - Targeted Financial Sanctions and Compliance with Fund Transfers Regulation</w:t>
            </w:r>
          </w:p>
        </w:tc>
        <w:tc>
          <w:tcPr>
            <w:tcW w:w="4081"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F94E91D" w14:textId="77777777" w:rsidR="00831277" w:rsidRPr="00831277" w:rsidRDefault="00831277" w:rsidP="00831277">
            <w:pPr>
              <w:spacing w:before="0" w:after="0" w:line="240" w:lineRule="auto"/>
              <w:rPr>
                <w:rFonts w:ascii="Aptos Narrow" w:eastAsia="Times New Roman" w:hAnsi="Aptos Narrow"/>
                <w:color w:val="000000"/>
                <w:kern w:val="0"/>
                <w:szCs w:val="22"/>
                <w:lang w:val="en-IE" w:eastAsia="en-IE"/>
              </w:rPr>
            </w:pPr>
            <w:r w:rsidRPr="00831277">
              <w:rPr>
                <w:rFonts w:ascii="Aptos Narrow" w:eastAsia="Times New Roman" w:hAnsi="Aptos Narrow"/>
                <w:color w:val="000000"/>
                <w:kern w:val="0"/>
                <w:szCs w:val="22"/>
                <w:lang w:val="en-IE" w:eastAsia="en-IE"/>
              </w:rPr>
              <w:t>Maximum number of hours between the publication of the TFS by the authorities and the implementation of these changes in the institution's screening tools</w:t>
            </w:r>
          </w:p>
        </w:tc>
        <w:tc>
          <w:tcPr>
            <w:tcW w:w="1821" w:type="dxa"/>
            <w:tcBorders>
              <w:top w:val="single" w:sz="4" w:space="0" w:color="000000"/>
              <w:left w:val="single" w:sz="4" w:space="0" w:color="000000"/>
              <w:bottom w:val="single" w:sz="4" w:space="0" w:color="000000"/>
              <w:right w:val="single" w:sz="4" w:space="0" w:color="000000"/>
            </w:tcBorders>
            <w:vAlign w:val="center"/>
            <w:hideMark/>
          </w:tcPr>
          <w:p w14:paraId="1EBFEE88" w14:textId="77777777" w:rsidR="00831277" w:rsidRPr="00831277" w:rsidRDefault="00831277" w:rsidP="00831277">
            <w:pPr>
              <w:spacing w:before="0" w:after="0" w:line="240" w:lineRule="auto"/>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TFS Implementation Time (Hours)</w:t>
            </w:r>
          </w:p>
        </w:tc>
        <w:tc>
          <w:tcPr>
            <w:tcW w:w="938" w:type="dxa"/>
            <w:tcBorders>
              <w:top w:val="single" w:sz="4" w:space="0" w:color="000000"/>
              <w:left w:val="single" w:sz="4" w:space="0" w:color="000000"/>
              <w:bottom w:val="single" w:sz="4" w:space="0" w:color="000000"/>
              <w:right w:val="single" w:sz="4" w:space="0" w:color="000000"/>
            </w:tcBorders>
            <w:vAlign w:val="center"/>
            <w:hideMark/>
          </w:tcPr>
          <w:p w14:paraId="442E8796" w14:textId="77777777" w:rsidR="00831277" w:rsidRPr="00831277" w:rsidRDefault="00831277" w:rsidP="00831277">
            <w:pPr>
              <w:spacing w:before="0" w:after="0" w:line="240" w:lineRule="auto"/>
              <w:jc w:val="center"/>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C0010</w:t>
            </w:r>
          </w:p>
        </w:tc>
        <w:tc>
          <w:tcPr>
            <w:tcW w:w="1352" w:type="dxa"/>
            <w:tcBorders>
              <w:top w:val="single" w:sz="4" w:space="0" w:color="000000"/>
              <w:left w:val="single" w:sz="4" w:space="0" w:color="000000"/>
              <w:bottom w:val="single" w:sz="4" w:space="0" w:color="000000"/>
              <w:right w:val="single" w:sz="4" w:space="0" w:color="000000"/>
            </w:tcBorders>
            <w:shd w:val="clear" w:color="000000" w:fill="4EA72E"/>
            <w:vAlign w:val="center"/>
            <w:hideMark/>
          </w:tcPr>
          <w:p w14:paraId="48145777" w14:textId="77777777" w:rsidR="00831277" w:rsidRPr="00831277" w:rsidRDefault="00831277" w:rsidP="00831277">
            <w:pPr>
              <w:spacing w:before="0" w:after="0" w:line="240" w:lineRule="auto"/>
              <w:jc w:val="center"/>
              <w:rPr>
                <w:rFonts w:ascii="Aptos Narrow" w:eastAsia="Times New Roman" w:hAnsi="Aptos Narrow"/>
                <w:b/>
                <w:bCs/>
                <w:color w:val="FFFFFF"/>
                <w:kern w:val="0"/>
                <w:szCs w:val="22"/>
                <w:lang w:val="en-IE" w:eastAsia="en-IE"/>
              </w:rPr>
            </w:pPr>
            <w:r w:rsidRPr="00831277">
              <w:rPr>
                <w:rFonts w:ascii="Aptos Narrow" w:eastAsia="Times New Roman" w:hAnsi="Aptos Narrow"/>
                <w:b/>
                <w:bCs/>
                <w:color w:val="FFFFFF"/>
                <w:kern w:val="0"/>
                <w:szCs w:val="22"/>
                <w:lang w:val="en-IE" w:eastAsia="en-IE"/>
              </w:rPr>
              <w:t xml:space="preserve">AML.07.06 </w:t>
            </w:r>
          </w:p>
        </w:tc>
      </w:tr>
      <w:tr w:rsidR="00624C6F" w:rsidRPr="00831277" w14:paraId="0B1958EC" w14:textId="77777777" w:rsidTr="00624C6F">
        <w:trPr>
          <w:trHeight w:val="1128"/>
        </w:trPr>
        <w:tc>
          <w:tcPr>
            <w:tcW w:w="1731" w:type="dxa"/>
            <w:vMerge/>
            <w:tcBorders>
              <w:top w:val="single" w:sz="4" w:space="0" w:color="auto"/>
              <w:left w:val="single" w:sz="4" w:space="0" w:color="auto"/>
              <w:bottom w:val="nil"/>
              <w:right w:val="nil"/>
            </w:tcBorders>
            <w:vAlign w:val="center"/>
            <w:hideMark/>
          </w:tcPr>
          <w:p w14:paraId="06BEB919" w14:textId="77777777" w:rsidR="00831277" w:rsidRPr="00831277" w:rsidRDefault="00831277" w:rsidP="00831277">
            <w:pPr>
              <w:spacing w:before="0" w:after="0" w:line="240" w:lineRule="auto"/>
              <w:rPr>
                <w:rFonts w:ascii="Aptos Narrow" w:eastAsia="Times New Roman" w:hAnsi="Aptos Narrow"/>
                <w:b/>
                <w:bCs/>
                <w:color w:val="FFFFFF"/>
                <w:kern w:val="0"/>
                <w:sz w:val="24"/>
                <w:szCs w:val="24"/>
                <w:lang w:val="en-IE" w:eastAsia="en-IE"/>
              </w:rPr>
            </w:pPr>
          </w:p>
        </w:tc>
        <w:tc>
          <w:tcPr>
            <w:tcW w:w="4081"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DCF9AF8" w14:textId="77777777" w:rsidR="00831277" w:rsidRPr="00831277" w:rsidRDefault="00831277" w:rsidP="00831277">
            <w:pPr>
              <w:spacing w:before="0" w:after="0" w:line="240" w:lineRule="auto"/>
              <w:rPr>
                <w:rFonts w:ascii="Aptos Narrow" w:eastAsia="Times New Roman" w:hAnsi="Aptos Narrow"/>
                <w:color w:val="000000"/>
                <w:kern w:val="0"/>
                <w:szCs w:val="22"/>
                <w:lang w:val="en-IE" w:eastAsia="en-IE"/>
              </w:rPr>
            </w:pPr>
            <w:r w:rsidRPr="00831277">
              <w:rPr>
                <w:rFonts w:ascii="Aptos Narrow" w:eastAsia="Times New Roman" w:hAnsi="Aptos Narrow"/>
                <w:color w:val="000000"/>
                <w:kern w:val="0"/>
                <w:szCs w:val="22"/>
                <w:lang w:val="en-IE" w:eastAsia="en-IE"/>
              </w:rPr>
              <w:t>Number of outbound transfers for which requests were received from a counterparty in the transfer chain for information that is missing, incomplete or provided using inadmissible characters in the last calendar year</w:t>
            </w:r>
          </w:p>
        </w:tc>
        <w:tc>
          <w:tcPr>
            <w:tcW w:w="1821" w:type="dxa"/>
            <w:tcBorders>
              <w:top w:val="single" w:sz="4" w:space="0" w:color="000000"/>
              <w:left w:val="single" w:sz="4" w:space="0" w:color="000000"/>
              <w:bottom w:val="single" w:sz="4" w:space="0" w:color="000000"/>
              <w:right w:val="single" w:sz="4" w:space="0" w:color="000000"/>
            </w:tcBorders>
            <w:vAlign w:val="center"/>
            <w:hideMark/>
          </w:tcPr>
          <w:p w14:paraId="0079005A" w14:textId="77777777" w:rsidR="00831277" w:rsidRPr="00831277" w:rsidRDefault="00831277" w:rsidP="00831277">
            <w:pPr>
              <w:spacing w:before="0" w:after="0" w:line="240" w:lineRule="auto"/>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Outbound Transfers with Information Requests (RFI)</w:t>
            </w:r>
          </w:p>
        </w:tc>
        <w:tc>
          <w:tcPr>
            <w:tcW w:w="938" w:type="dxa"/>
            <w:tcBorders>
              <w:top w:val="single" w:sz="4" w:space="0" w:color="000000"/>
              <w:left w:val="single" w:sz="4" w:space="0" w:color="000000"/>
              <w:bottom w:val="single" w:sz="4" w:space="0" w:color="000000"/>
              <w:right w:val="single" w:sz="4" w:space="0" w:color="000000"/>
            </w:tcBorders>
            <w:vAlign w:val="center"/>
            <w:hideMark/>
          </w:tcPr>
          <w:p w14:paraId="3D0F3185" w14:textId="77777777" w:rsidR="00831277" w:rsidRPr="00831277" w:rsidRDefault="00831277" w:rsidP="00831277">
            <w:pPr>
              <w:spacing w:before="0" w:after="0" w:line="240" w:lineRule="auto"/>
              <w:jc w:val="center"/>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C0020</w:t>
            </w:r>
          </w:p>
        </w:tc>
        <w:tc>
          <w:tcPr>
            <w:tcW w:w="1352" w:type="dxa"/>
            <w:tcBorders>
              <w:top w:val="single" w:sz="4" w:space="0" w:color="000000"/>
              <w:left w:val="single" w:sz="4" w:space="0" w:color="000000"/>
              <w:bottom w:val="single" w:sz="4" w:space="0" w:color="000000"/>
              <w:right w:val="single" w:sz="4" w:space="0" w:color="000000"/>
            </w:tcBorders>
            <w:shd w:val="clear" w:color="000000" w:fill="4EA72E"/>
            <w:vAlign w:val="center"/>
            <w:hideMark/>
          </w:tcPr>
          <w:p w14:paraId="0AEB9755" w14:textId="77777777" w:rsidR="00831277" w:rsidRPr="00831277" w:rsidRDefault="00831277" w:rsidP="00831277">
            <w:pPr>
              <w:spacing w:before="0" w:after="0" w:line="240" w:lineRule="auto"/>
              <w:jc w:val="center"/>
              <w:rPr>
                <w:rFonts w:ascii="Aptos Narrow" w:eastAsia="Times New Roman" w:hAnsi="Aptos Narrow"/>
                <w:b/>
                <w:bCs/>
                <w:color w:val="FFFFFF"/>
                <w:kern w:val="0"/>
                <w:szCs w:val="22"/>
                <w:lang w:val="en-IE" w:eastAsia="en-IE"/>
              </w:rPr>
            </w:pPr>
            <w:r w:rsidRPr="00831277">
              <w:rPr>
                <w:rFonts w:ascii="Aptos Narrow" w:eastAsia="Times New Roman" w:hAnsi="Aptos Narrow"/>
                <w:b/>
                <w:bCs/>
                <w:color w:val="FFFFFF"/>
                <w:kern w:val="0"/>
                <w:szCs w:val="22"/>
                <w:lang w:val="en-IE" w:eastAsia="en-IE"/>
              </w:rPr>
              <w:t xml:space="preserve">AML.07.06 </w:t>
            </w:r>
          </w:p>
        </w:tc>
      </w:tr>
      <w:tr w:rsidR="00624C6F" w:rsidRPr="00831277" w14:paraId="7E783016" w14:textId="77777777" w:rsidTr="00624C6F">
        <w:trPr>
          <w:trHeight w:val="282"/>
        </w:trPr>
        <w:tc>
          <w:tcPr>
            <w:tcW w:w="1731" w:type="dxa"/>
            <w:vMerge/>
            <w:tcBorders>
              <w:top w:val="single" w:sz="4" w:space="0" w:color="auto"/>
              <w:left w:val="single" w:sz="4" w:space="0" w:color="auto"/>
              <w:bottom w:val="nil"/>
              <w:right w:val="nil"/>
            </w:tcBorders>
            <w:vAlign w:val="center"/>
            <w:hideMark/>
          </w:tcPr>
          <w:p w14:paraId="6674FC52" w14:textId="77777777" w:rsidR="00831277" w:rsidRPr="00831277" w:rsidRDefault="00831277" w:rsidP="00831277">
            <w:pPr>
              <w:spacing w:before="0" w:after="0" w:line="240" w:lineRule="auto"/>
              <w:rPr>
                <w:rFonts w:ascii="Aptos Narrow" w:eastAsia="Times New Roman" w:hAnsi="Aptos Narrow"/>
                <w:b/>
                <w:bCs/>
                <w:color w:val="FFFFFF"/>
                <w:kern w:val="0"/>
                <w:sz w:val="24"/>
                <w:szCs w:val="24"/>
                <w:lang w:val="en-IE" w:eastAsia="en-IE"/>
              </w:rPr>
            </w:pPr>
          </w:p>
        </w:tc>
        <w:tc>
          <w:tcPr>
            <w:tcW w:w="4081"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100C489" w14:textId="77777777" w:rsidR="00831277" w:rsidRPr="00831277" w:rsidRDefault="00831277" w:rsidP="00831277">
            <w:pPr>
              <w:spacing w:before="0" w:after="0" w:line="240" w:lineRule="auto"/>
              <w:rPr>
                <w:rFonts w:ascii="Aptos Narrow" w:eastAsia="Times New Roman" w:hAnsi="Aptos Narrow"/>
                <w:color w:val="000000"/>
                <w:kern w:val="0"/>
                <w:szCs w:val="22"/>
                <w:lang w:val="en-IE" w:eastAsia="en-IE"/>
              </w:rPr>
            </w:pPr>
            <w:r w:rsidRPr="00831277">
              <w:rPr>
                <w:rFonts w:ascii="Aptos Narrow" w:eastAsia="Times New Roman" w:hAnsi="Aptos Narrow"/>
                <w:color w:val="000000"/>
                <w:kern w:val="0"/>
                <w:szCs w:val="22"/>
                <w:lang w:val="en-IE" w:eastAsia="en-IE"/>
              </w:rPr>
              <w:t>Total number of outbound transfers in the last calendar year</w:t>
            </w:r>
          </w:p>
        </w:tc>
        <w:tc>
          <w:tcPr>
            <w:tcW w:w="1821" w:type="dxa"/>
            <w:tcBorders>
              <w:top w:val="single" w:sz="4" w:space="0" w:color="000000"/>
              <w:left w:val="single" w:sz="4" w:space="0" w:color="000000"/>
              <w:bottom w:val="single" w:sz="4" w:space="0" w:color="000000"/>
              <w:right w:val="single" w:sz="4" w:space="0" w:color="000000"/>
            </w:tcBorders>
            <w:vAlign w:val="center"/>
            <w:hideMark/>
          </w:tcPr>
          <w:p w14:paraId="05808115" w14:textId="77777777" w:rsidR="00831277" w:rsidRPr="00831277" w:rsidRDefault="00831277" w:rsidP="00831277">
            <w:pPr>
              <w:spacing w:before="0" w:after="0" w:line="240" w:lineRule="auto"/>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Total Outbound Transfers</w:t>
            </w:r>
          </w:p>
        </w:tc>
        <w:tc>
          <w:tcPr>
            <w:tcW w:w="938" w:type="dxa"/>
            <w:tcBorders>
              <w:top w:val="single" w:sz="4" w:space="0" w:color="000000"/>
              <w:left w:val="single" w:sz="4" w:space="0" w:color="000000"/>
              <w:bottom w:val="single" w:sz="4" w:space="0" w:color="000000"/>
              <w:right w:val="single" w:sz="4" w:space="0" w:color="000000"/>
            </w:tcBorders>
            <w:vAlign w:val="center"/>
            <w:hideMark/>
          </w:tcPr>
          <w:p w14:paraId="2DE4B6C8" w14:textId="77777777" w:rsidR="00831277" w:rsidRPr="00831277" w:rsidRDefault="00831277" w:rsidP="00831277">
            <w:pPr>
              <w:spacing w:before="0" w:after="0" w:line="240" w:lineRule="auto"/>
              <w:jc w:val="center"/>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C0030</w:t>
            </w:r>
          </w:p>
        </w:tc>
        <w:tc>
          <w:tcPr>
            <w:tcW w:w="1352" w:type="dxa"/>
            <w:tcBorders>
              <w:top w:val="single" w:sz="4" w:space="0" w:color="000000"/>
              <w:left w:val="single" w:sz="4" w:space="0" w:color="000000"/>
              <w:bottom w:val="single" w:sz="4" w:space="0" w:color="000000"/>
              <w:right w:val="single" w:sz="4" w:space="0" w:color="000000"/>
            </w:tcBorders>
            <w:shd w:val="clear" w:color="000000" w:fill="4EA72E"/>
            <w:vAlign w:val="center"/>
            <w:hideMark/>
          </w:tcPr>
          <w:p w14:paraId="3A44DA51" w14:textId="77777777" w:rsidR="00831277" w:rsidRPr="00831277" w:rsidRDefault="00831277" w:rsidP="00831277">
            <w:pPr>
              <w:spacing w:before="0" w:after="0" w:line="240" w:lineRule="auto"/>
              <w:jc w:val="center"/>
              <w:rPr>
                <w:rFonts w:ascii="Aptos Narrow" w:eastAsia="Times New Roman" w:hAnsi="Aptos Narrow"/>
                <w:b/>
                <w:bCs/>
                <w:color w:val="FFFFFF"/>
                <w:kern w:val="0"/>
                <w:szCs w:val="22"/>
                <w:lang w:val="en-IE" w:eastAsia="en-IE"/>
              </w:rPr>
            </w:pPr>
            <w:r w:rsidRPr="00831277">
              <w:rPr>
                <w:rFonts w:ascii="Aptos Narrow" w:eastAsia="Times New Roman" w:hAnsi="Aptos Narrow"/>
                <w:b/>
                <w:bCs/>
                <w:color w:val="FFFFFF"/>
                <w:kern w:val="0"/>
                <w:szCs w:val="22"/>
                <w:lang w:val="en-IE" w:eastAsia="en-IE"/>
              </w:rPr>
              <w:t xml:space="preserve">AML.07.06 </w:t>
            </w:r>
          </w:p>
        </w:tc>
      </w:tr>
      <w:tr w:rsidR="00624C6F" w:rsidRPr="00831277" w14:paraId="3AD2DED3" w14:textId="77777777" w:rsidTr="00624C6F">
        <w:trPr>
          <w:trHeight w:val="846"/>
        </w:trPr>
        <w:tc>
          <w:tcPr>
            <w:tcW w:w="1731" w:type="dxa"/>
            <w:vMerge/>
            <w:tcBorders>
              <w:top w:val="single" w:sz="4" w:space="0" w:color="auto"/>
              <w:left w:val="single" w:sz="4" w:space="0" w:color="auto"/>
              <w:bottom w:val="nil"/>
              <w:right w:val="nil"/>
            </w:tcBorders>
            <w:vAlign w:val="center"/>
            <w:hideMark/>
          </w:tcPr>
          <w:p w14:paraId="63D9B3F3" w14:textId="77777777" w:rsidR="00831277" w:rsidRPr="00831277" w:rsidRDefault="00831277" w:rsidP="00831277">
            <w:pPr>
              <w:spacing w:before="0" w:after="0" w:line="240" w:lineRule="auto"/>
              <w:rPr>
                <w:rFonts w:ascii="Aptos Narrow" w:eastAsia="Times New Roman" w:hAnsi="Aptos Narrow"/>
                <w:b/>
                <w:bCs/>
                <w:color w:val="FFFFFF"/>
                <w:kern w:val="0"/>
                <w:sz w:val="24"/>
                <w:szCs w:val="24"/>
                <w:lang w:val="en-IE" w:eastAsia="en-IE"/>
              </w:rPr>
            </w:pPr>
          </w:p>
        </w:tc>
        <w:tc>
          <w:tcPr>
            <w:tcW w:w="4081"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1D96A23" w14:textId="77777777" w:rsidR="00831277" w:rsidRPr="00831277" w:rsidRDefault="00831277" w:rsidP="00831277">
            <w:pPr>
              <w:spacing w:before="0" w:after="0" w:line="240" w:lineRule="auto"/>
              <w:rPr>
                <w:rFonts w:ascii="Aptos Narrow" w:eastAsia="Times New Roman" w:hAnsi="Aptos Narrow"/>
                <w:color w:val="000000"/>
                <w:kern w:val="0"/>
                <w:szCs w:val="22"/>
                <w:lang w:val="en-IE" w:eastAsia="en-IE"/>
              </w:rPr>
            </w:pPr>
            <w:r w:rsidRPr="00831277">
              <w:rPr>
                <w:rFonts w:ascii="Aptos Narrow" w:eastAsia="Times New Roman" w:hAnsi="Aptos Narrow"/>
                <w:color w:val="000000"/>
                <w:kern w:val="0"/>
                <w:szCs w:val="22"/>
                <w:lang w:val="en-IE" w:eastAsia="en-IE"/>
              </w:rPr>
              <w:t>% of outbound transfers rejected or returned by the counterparty in the transfer chain due to information that is missing, incomplete or provided using inadmissible characters in the last calendar year</w:t>
            </w:r>
          </w:p>
        </w:tc>
        <w:tc>
          <w:tcPr>
            <w:tcW w:w="1821" w:type="dxa"/>
            <w:tcBorders>
              <w:top w:val="single" w:sz="4" w:space="0" w:color="000000"/>
              <w:left w:val="single" w:sz="4" w:space="0" w:color="000000"/>
              <w:bottom w:val="single" w:sz="4" w:space="0" w:color="000000"/>
              <w:right w:val="single" w:sz="4" w:space="0" w:color="000000"/>
            </w:tcBorders>
            <w:vAlign w:val="center"/>
            <w:hideMark/>
          </w:tcPr>
          <w:p w14:paraId="7CC99A07" w14:textId="77777777" w:rsidR="00831277" w:rsidRPr="00831277" w:rsidRDefault="00831277" w:rsidP="00831277">
            <w:pPr>
              <w:spacing w:before="0" w:after="0" w:line="240" w:lineRule="auto"/>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Rejected/Returned Outbound Transfers (%)</w:t>
            </w:r>
          </w:p>
        </w:tc>
        <w:tc>
          <w:tcPr>
            <w:tcW w:w="938" w:type="dxa"/>
            <w:tcBorders>
              <w:top w:val="single" w:sz="4" w:space="0" w:color="000000"/>
              <w:left w:val="single" w:sz="4" w:space="0" w:color="000000"/>
              <w:bottom w:val="single" w:sz="4" w:space="0" w:color="000000"/>
              <w:right w:val="single" w:sz="4" w:space="0" w:color="000000"/>
            </w:tcBorders>
            <w:vAlign w:val="center"/>
            <w:hideMark/>
          </w:tcPr>
          <w:p w14:paraId="5D26EC29" w14:textId="77777777" w:rsidR="00831277" w:rsidRPr="00831277" w:rsidRDefault="00831277" w:rsidP="00831277">
            <w:pPr>
              <w:spacing w:before="0" w:after="0" w:line="240" w:lineRule="auto"/>
              <w:jc w:val="center"/>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C0040</w:t>
            </w:r>
          </w:p>
        </w:tc>
        <w:tc>
          <w:tcPr>
            <w:tcW w:w="1352" w:type="dxa"/>
            <w:tcBorders>
              <w:top w:val="single" w:sz="4" w:space="0" w:color="000000"/>
              <w:left w:val="single" w:sz="4" w:space="0" w:color="000000"/>
              <w:bottom w:val="single" w:sz="4" w:space="0" w:color="000000"/>
              <w:right w:val="single" w:sz="4" w:space="0" w:color="000000"/>
            </w:tcBorders>
            <w:shd w:val="clear" w:color="000000" w:fill="4EA72E"/>
            <w:vAlign w:val="center"/>
            <w:hideMark/>
          </w:tcPr>
          <w:p w14:paraId="393ED735" w14:textId="77777777" w:rsidR="00831277" w:rsidRPr="00831277" w:rsidRDefault="00831277" w:rsidP="00831277">
            <w:pPr>
              <w:spacing w:before="0" w:after="0" w:line="240" w:lineRule="auto"/>
              <w:jc w:val="center"/>
              <w:rPr>
                <w:rFonts w:ascii="Aptos Narrow" w:eastAsia="Times New Roman" w:hAnsi="Aptos Narrow"/>
                <w:b/>
                <w:bCs/>
                <w:color w:val="FFFFFF"/>
                <w:kern w:val="0"/>
                <w:szCs w:val="22"/>
                <w:lang w:val="en-IE" w:eastAsia="en-IE"/>
              </w:rPr>
            </w:pPr>
            <w:r w:rsidRPr="00831277">
              <w:rPr>
                <w:rFonts w:ascii="Aptos Narrow" w:eastAsia="Times New Roman" w:hAnsi="Aptos Narrow"/>
                <w:b/>
                <w:bCs/>
                <w:color w:val="FFFFFF"/>
                <w:kern w:val="0"/>
                <w:szCs w:val="22"/>
                <w:lang w:val="en-IE" w:eastAsia="en-IE"/>
              </w:rPr>
              <w:t xml:space="preserve">AML.07.06 </w:t>
            </w:r>
          </w:p>
        </w:tc>
      </w:tr>
      <w:tr w:rsidR="00624C6F" w:rsidRPr="00831277" w14:paraId="4CFA319B" w14:textId="77777777" w:rsidTr="00624C6F">
        <w:trPr>
          <w:trHeight w:val="297"/>
        </w:trPr>
        <w:tc>
          <w:tcPr>
            <w:tcW w:w="1731" w:type="dxa"/>
            <w:vMerge w:val="restart"/>
            <w:tcBorders>
              <w:top w:val="single" w:sz="4" w:space="0" w:color="auto"/>
              <w:left w:val="nil"/>
              <w:bottom w:val="nil"/>
              <w:right w:val="nil"/>
            </w:tcBorders>
            <w:shd w:val="clear" w:color="000000" w:fill="339933"/>
            <w:vAlign w:val="center"/>
            <w:hideMark/>
          </w:tcPr>
          <w:p w14:paraId="46BB24EF" w14:textId="77777777" w:rsidR="00831277" w:rsidRPr="00831277" w:rsidRDefault="00831277" w:rsidP="00831277">
            <w:pPr>
              <w:spacing w:before="0" w:after="0" w:line="240" w:lineRule="auto"/>
              <w:jc w:val="center"/>
              <w:rPr>
                <w:rFonts w:ascii="Aptos Narrow" w:eastAsia="Times New Roman" w:hAnsi="Aptos Narrow"/>
                <w:b/>
                <w:bCs/>
                <w:color w:val="FFFFFF"/>
                <w:kern w:val="0"/>
                <w:sz w:val="24"/>
                <w:szCs w:val="24"/>
                <w:lang w:val="en-IE" w:eastAsia="en-IE"/>
              </w:rPr>
            </w:pPr>
            <w:r w:rsidRPr="00831277">
              <w:rPr>
                <w:rFonts w:ascii="Aptos Narrow" w:eastAsia="Times New Roman" w:hAnsi="Aptos Narrow"/>
                <w:b/>
                <w:bCs/>
                <w:color w:val="FFFFFF"/>
                <w:kern w:val="0"/>
                <w:sz w:val="24"/>
                <w:szCs w:val="24"/>
                <w:lang w:val="en-IE" w:eastAsia="en-IE"/>
              </w:rPr>
              <w:t xml:space="preserve">7 - Group-wide AML/CFT Framework </w:t>
            </w:r>
            <w:r w:rsidRPr="00831277">
              <w:rPr>
                <w:rFonts w:ascii="Aptos Narrow" w:eastAsia="Times New Roman" w:hAnsi="Aptos Narrow"/>
                <w:color w:val="FFFFFF"/>
                <w:kern w:val="0"/>
                <w:sz w:val="24"/>
                <w:szCs w:val="24"/>
                <w:lang w:val="en-IE" w:eastAsia="en-IE"/>
              </w:rPr>
              <w:t>(AML/CFT governance structures, Group-wide ML/TF risk assessment, Group policies and procedures, including sharing of information, Group-wide AML/CFT function)</w:t>
            </w:r>
          </w:p>
        </w:tc>
        <w:tc>
          <w:tcPr>
            <w:tcW w:w="4081" w:type="dxa"/>
            <w:vMerge w:val="restart"/>
            <w:tcBorders>
              <w:top w:val="single" w:sz="4" w:space="0" w:color="000000"/>
              <w:left w:val="single" w:sz="4" w:space="0" w:color="000000"/>
              <w:bottom w:val="nil"/>
              <w:right w:val="single" w:sz="4" w:space="0" w:color="000000"/>
            </w:tcBorders>
            <w:vAlign w:val="center"/>
            <w:hideMark/>
          </w:tcPr>
          <w:p w14:paraId="1484CE54" w14:textId="63DA41F2" w:rsidR="00831277" w:rsidRPr="00831277" w:rsidRDefault="00831277" w:rsidP="00831277">
            <w:pPr>
              <w:spacing w:before="0" w:after="0" w:line="240" w:lineRule="auto"/>
              <w:rPr>
                <w:rFonts w:ascii="Aptos Narrow" w:eastAsia="Times New Roman" w:hAnsi="Aptos Narrow"/>
                <w:color w:val="000000"/>
                <w:kern w:val="0"/>
                <w:szCs w:val="22"/>
                <w:lang w:val="en-IE" w:eastAsia="en-IE"/>
              </w:rPr>
            </w:pPr>
            <w:r w:rsidRPr="00831277">
              <w:rPr>
                <w:rFonts w:ascii="Aptos Narrow" w:eastAsia="Times New Roman" w:hAnsi="Aptos Narrow"/>
                <w:color w:val="000000"/>
                <w:kern w:val="0"/>
                <w:szCs w:val="22"/>
                <w:lang w:val="en-IE" w:eastAsia="en-IE"/>
              </w:rPr>
              <w:t>% of group entities that provided reports to the Group AML compliance on the following areas in the last calendar year (should only be answered by the parent company):</w:t>
            </w:r>
            <w:r w:rsidRPr="00831277">
              <w:rPr>
                <w:rFonts w:ascii="Aptos Narrow" w:eastAsia="Times New Roman" w:hAnsi="Aptos Narrow"/>
                <w:color w:val="000000"/>
                <w:kern w:val="0"/>
                <w:szCs w:val="22"/>
                <w:lang w:val="en-IE" w:eastAsia="en-IE"/>
              </w:rPr>
              <w:br/>
              <w:t>a) CDD</w:t>
            </w:r>
            <w:r w:rsidRPr="00831277">
              <w:rPr>
                <w:rFonts w:ascii="Aptos Narrow" w:eastAsia="Times New Roman" w:hAnsi="Aptos Narrow"/>
                <w:color w:val="000000"/>
                <w:kern w:val="0"/>
                <w:szCs w:val="22"/>
                <w:lang w:val="en-IE" w:eastAsia="en-IE"/>
              </w:rPr>
              <w:br/>
              <w:t>b) ongoing monitoring</w:t>
            </w:r>
            <w:r w:rsidRPr="00831277">
              <w:rPr>
                <w:rFonts w:ascii="Aptos Narrow" w:eastAsia="Times New Roman" w:hAnsi="Aptos Narrow"/>
                <w:color w:val="000000"/>
                <w:kern w:val="0"/>
                <w:szCs w:val="22"/>
                <w:lang w:val="en-IE" w:eastAsia="en-IE"/>
              </w:rPr>
              <w:br/>
              <w:t>c) STRs</w:t>
            </w:r>
            <w:r w:rsidRPr="00831277">
              <w:rPr>
                <w:rFonts w:ascii="Aptos Narrow" w:eastAsia="Times New Roman" w:hAnsi="Aptos Narrow"/>
                <w:color w:val="000000"/>
                <w:kern w:val="0"/>
                <w:szCs w:val="22"/>
                <w:lang w:val="en-IE" w:eastAsia="en-IE"/>
              </w:rPr>
              <w:br/>
              <w:t xml:space="preserve">d) identity and transaction level information on </w:t>
            </w:r>
            <w:r w:rsidR="003D7BAF" w:rsidRPr="00831277">
              <w:rPr>
                <w:rFonts w:ascii="Aptos Narrow" w:eastAsia="Times New Roman" w:hAnsi="Aptos Narrow"/>
                <w:color w:val="000000"/>
                <w:kern w:val="0"/>
                <w:szCs w:val="22"/>
                <w:lang w:val="en-IE" w:eastAsia="en-IE"/>
              </w:rPr>
              <w:t>high-risk</w:t>
            </w:r>
            <w:r w:rsidRPr="00831277">
              <w:rPr>
                <w:rFonts w:ascii="Aptos Narrow" w:eastAsia="Times New Roman" w:hAnsi="Aptos Narrow"/>
                <w:color w:val="000000"/>
                <w:kern w:val="0"/>
                <w:szCs w:val="22"/>
                <w:lang w:val="en-IE" w:eastAsia="en-IE"/>
              </w:rPr>
              <w:t xml:space="preserve"> customers </w:t>
            </w:r>
            <w:r w:rsidRPr="00831277">
              <w:rPr>
                <w:rFonts w:ascii="Aptos Narrow" w:eastAsia="Times New Roman" w:hAnsi="Aptos Narrow"/>
                <w:color w:val="000000"/>
                <w:kern w:val="0"/>
                <w:szCs w:val="22"/>
                <w:lang w:val="en-IE" w:eastAsia="en-IE"/>
              </w:rPr>
              <w:br/>
              <w:t>e) deficiencies</w:t>
            </w:r>
          </w:p>
        </w:tc>
        <w:tc>
          <w:tcPr>
            <w:tcW w:w="1821" w:type="dxa"/>
            <w:tcBorders>
              <w:top w:val="single" w:sz="4" w:space="0" w:color="000000"/>
              <w:left w:val="single" w:sz="4" w:space="0" w:color="000000"/>
              <w:bottom w:val="single" w:sz="4" w:space="0" w:color="000000"/>
              <w:right w:val="single" w:sz="4" w:space="0" w:color="000000"/>
            </w:tcBorders>
            <w:vAlign w:val="center"/>
            <w:hideMark/>
          </w:tcPr>
          <w:p w14:paraId="45EC1667" w14:textId="77777777" w:rsidR="00831277" w:rsidRPr="00831277" w:rsidRDefault="00831277" w:rsidP="00831277">
            <w:pPr>
              <w:spacing w:before="0" w:after="0" w:line="240" w:lineRule="auto"/>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Group Reporting - Group Entities Reporting on CDD</w:t>
            </w:r>
          </w:p>
        </w:tc>
        <w:tc>
          <w:tcPr>
            <w:tcW w:w="938" w:type="dxa"/>
            <w:tcBorders>
              <w:top w:val="single" w:sz="4" w:space="0" w:color="000000"/>
              <w:left w:val="single" w:sz="4" w:space="0" w:color="000000"/>
              <w:bottom w:val="single" w:sz="4" w:space="0" w:color="000000"/>
              <w:right w:val="single" w:sz="4" w:space="0" w:color="000000"/>
            </w:tcBorders>
            <w:vAlign w:val="center"/>
            <w:hideMark/>
          </w:tcPr>
          <w:p w14:paraId="0D243581" w14:textId="77777777" w:rsidR="00831277" w:rsidRPr="00831277" w:rsidRDefault="00831277" w:rsidP="00831277">
            <w:pPr>
              <w:spacing w:before="0" w:after="0" w:line="240" w:lineRule="auto"/>
              <w:jc w:val="center"/>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C0010</w:t>
            </w:r>
          </w:p>
        </w:tc>
        <w:tc>
          <w:tcPr>
            <w:tcW w:w="1352" w:type="dxa"/>
            <w:tcBorders>
              <w:top w:val="single" w:sz="4" w:space="0" w:color="000000"/>
              <w:left w:val="single" w:sz="4" w:space="0" w:color="000000"/>
              <w:bottom w:val="single" w:sz="4" w:space="0" w:color="000000"/>
              <w:right w:val="single" w:sz="4" w:space="0" w:color="000000"/>
            </w:tcBorders>
            <w:shd w:val="clear" w:color="000000" w:fill="4EA72E"/>
            <w:vAlign w:val="center"/>
            <w:hideMark/>
          </w:tcPr>
          <w:p w14:paraId="41253F4D" w14:textId="77777777" w:rsidR="00831277" w:rsidRPr="00831277" w:rsidRDefault="00831277" w:rsidP="00831277">
            <w:pPr>
              <w:spacing w:before="0" w:after="0" w:line="240" w:lineRule="auto"/>
              <w:jc w:val="center"/>
              <w:rPr>
                <w:rFonts w:ascii="Aptos Narrow" w:eastAsia="Times New Roman" w:hAnsi="Aptos Narrow"/>
                <w:b/>
                <w:bCs/>
                <w:color w:val="FFFFFF"/>
                <w:kern w:val="0"/>
                <w:szCs w:val="22"/>
                <w:lang w:val="en-IE" w:eastAsia="en-IE"/>
              </w:rPr>
            </w:pPr>
            <w:r w:rsidRPr="00831277">
              <w:rPr>
                <w:rFonts w:ascii="Aptos Narrow" w:eastAsia="Times New Roman" w:hAnsi="Aptos Narrow"/>
                <w:b/>
                <w:bCs/>
                <w:color w:val="FFFFFF"/>
                <w:kern w:val="0"/>
                <w:szCs w:val="22"/>
                <w:lang w:val="en-IE" w:eastAsia="en-IE"/>
              </w:rPr>
              <w:t xml:space="preserve">AML.07.07 </w:t>
            </w:r>
          </w:p>
        </w:tc>
      </w:tr>
      <w:tr w:rsidR="00624C6F" w:rsidRPr="00831277" w14:paraId="03EC86DA" w14:textId="77777777" w:rsidTr="00624C6F">
        <w:trPr>
          <w:trHeight w:val="846"/>
        </w:trPr>
        <w:tc>
          <w:tcPr>
            <w:tcW w:w="1731" w:type="dxa"/>
            <w:vMerge/>
            <w:tcBorders>
              <w:top w:val="single" w:sz="4" w:space="0" w:color="auto"/>
              <w:left w:val="nil"/>
              <w:bottom w:val="nil"/>
              <w:right w:val="nil"/>
            </w:tcBorders>
            <w:vAlign w:val="center"/>
            <w:hideMark/>
          </w:tcPr>
          <w:p w14:paraId="354DEFD6" w14:textId="77777777" w:rsidR="00831277" w:rsidRPr="00831277" w:rsidRDefault="00831277" w:rsidP="00831277">
            <w:pPr>
              <w:spacing w:before="0" w:after="0" w:line="240" w:lineRule="auto"/>
              <w:rPr>
                <w:rFonts w:ascii="Aptos Narrow" w:eastAsia="Times New Roman" w:hAnsi="Aptos Narrow"/>
                <w:b/>
                <w:bCs/>
                <w:color w:val="FFFFFF"/>
                <w:kern w:val="0"/>
                <w:sz w:val="24"/>
                <w:szCs w:val="24"/>
                <w:lang w:val="en-IE" w:eastAsia="en-IE"/>
              </w:rPr>
            </w:pPr>
          </w:p>
        </w:tc>
        <w:tc>
          <w:tcPr>
            <w:tcW w:w="4081" w:type="dxa"/>
            <w:vMerge/>
            <w:tcBorders>
              <w:top w:val="single" w:sz="4" w:space="0" w:color="000000"/>
              <w:left w:val="single" w:sz="4" w:space="0" w:color="000000"/>
              <w:bottom w:val="nil"/>
              <w:right w:val="single" w:sz="4" w:space="0" w:color="000000"/>
            </w:tcBorders>
            <w:vAlign w:val="center"/>
            <w:hideMark/>
          </w:tcPr>
          <w:p w14:paraId="09F6A722" w14:textId="77777777" w:rsidR="00831277" w:rsidRPr="00831277" w:rsidRDefault="00831277" w:rsidP="00831277">
            <w:pPr>
              <w:spacing w:before="0" w:after="0" w:line="240" w:lineRule="auto"/>
              <w:rPr>
                <w:rFonts w:ascii="Aptos Narrow" w:eastAsia="Times New Roman" w:hAnsi="Aptos Narrow"/>
                <w:color w:val="000000"/>
                <w:kern w:val="0"/>
                <w:szCs w:val="22"/>
                <w:lang w:val="en-IE" w:eastAsia="en-IE"/>
              </w:rPr>
            </w:pPr>
          </w:p>
        </w:tc>
        <w:tc>
          <w:tcPr>
            <w:tcW w:w="1821" w:type="dxa"/>
            <w:tcBorders>
              <w:top w:val="single" w:sz="4" w:space="0" w:color="000000"/>
              <w:left w:val="single" w:sz="4" w:space="0" w:color="000000"/>
              <w:bottom w:val="single" w:sz="4" w:space="0" w:color="000000"/>
              <w:right w:val="single" w:sz="4" w:space="0" w:color="000000"/>
            </w:tcBorders>
            <w:vAlign w:val="center"/>
            <w:hideMark/>
          </w:tcPr>
          <w:p w14:paraId="56767447" w14:textId="77777777" w:rsidR="00831277" w:rsidRPr="00831277" w:rsidRDefault="00831277" w:rsidP="00831277">
            <w:pPr>
              <w:spacing w:before="0" w:after="0" w:line="240" w:lineRule="auto"/>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Group Reporting - Group Entities Reporting on Ongoing Monitoring</w:t>
            </w:r>
          </w:p>
        </w:tc>
        <w:tc>
          <w:tcPr>
            <w:tcW w:w="938" w:type="dxa"/>
            <w:tcBorders>
              <w:top w:val="single" w:sz="4" w:space="0" w:color="000000"/>
              <w:left w:val="single" w:sz="4" w:space="0" w:color="000000"/>
              <w:bottom w:val="single" w:sz="4" w:space="0" w:color="000000"/>
              <w:right w:val="single" w:sz="4" w:space="0" w:color="000000"/>
            </w:tcBorders>
            <w:vAlign w:val="center"/>
            <w:hideMark/>
          </w:tcPr>
          <w:p w14:paraId="1957B916" w14:textId="77777777" w:rsidR="00831277" w:rsidRPr="00831277" w:rsidRDefault="00831277" w:rsidP="00831277">
            <w:pPr>
              <w:spacing w:before="0" w:after="0" w:line="240" w:lineRule="auto"/>
              <w:jc w:val="center"/>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C0020</w:t>
            </w:r>
          </w:p>
        </w:tc>
        <w:tc>
          <w:tcPr>
            <w:tcW w:w="1352" w:type="dxa"/>
            <w:tcBorders>
              <w:top w:val="single" w:sz="4" w:space="0" w:color="000000"/>
              <w:left w:val="single" w:sz="4" w:space="0" w:color="000000"/>
              <w:bottom w:val="single" w:sz="4" w:space="0" w:color="000000"/>
              <w:right w:val="single" w:sz="4" w:space="0" w:color="000000"/>
            </w:tcBorders>
            <w:shd w:val="clear" w:color="000000" w:fill="4EA72E"/>
            <w:vAlign w:val="center"/>
            <w:hideMark/>
          </w:tcPr>
          <w:p w14:paraId="55644D0B" w14:textId="77777777" w:rsidR="00831277" w:rsidRPr="00831277" w:rsidRDefault="00831277" w:rsidP="00831277">
            <w:pPr>
              <w:spacing w:before="0" w:after="0" w:line="240" w:lineRule="auto"/>
              <w:jc w:val="center"/>
              <w:rPr>
                <w:rFonts w:ascii="Aptos Narrow" w:eastAsia="Times New Roman" w:hAnsi="Aptos Narrow"/>
                <w:b/>
                <w:bCs/>
                <w:color w:val="FFFFFF"/>
                <w:kern w:val="0"/>
                <w:szCs w:val="22"/>
                <w:lang w:val="en-IE" w:eastAsia="en-IE"/>
              </w:rPr>
            </w:pPr>
            <w:r w:rsidRPr="00831277">
              <w:rPr>
                <w:rFonts w:ascii="Aptos Narrow" w:eastAsia="Times New Roman" w:hAnsi="Aptos Narrow"/>
                <w:b/>
                <w:bCs/>
                <w:color w:val="FFFFFF"/>
                <w:kern w:val="0"/>
                <w:szCs w:val="22"/>
                <w:lang w:val="en-IE" w:eastAsia="en-IE"/>
              </w:rPr>
              <w:t xml:space="preserve">AML.07.07 </w:t>
            </w:r>
          </w:p>
        </w:tc>
      </w:tr>
      <w:tr w:rsidR="00624C6F" w:rsidRPr="00831277" w14:paraId="676F1207" w14:textId="77777777" w:rsidTr="00624C6F">
        <w:trPr>
          <w:trHeight w:val="297"/>
        </w:trPr>
        <w:tc>
          <w:tcPr>
            <w:tcW w:w="1731" w:type="dxa"/>
            <w:vMerge/>
            <w:tcBorders>
              <w:top w:val="single" w:sz="4" w:space="0" w:color="auto"/>
              <w:left w:val="nil"/>
              <w:bottom w:val="nil"/>
              <w:right w:val="nil"/>
            </w:tcBorders>
            <w:vAlign w:val="center"/>
            <w:hideMark/>
          </w:tcPr>
          <w:p w14:paraId="23FE033B" w14:textId="77777777" w:rsidR="00831277" w:rsidRPr="00831277" w:rsidRDefault="00831277" w:rsidP="00831277">
            <w:pPr>
              <w:spacing w:before="0" w:after="0" w:line="240" w:lineRule="auto"/>
              <w:rPr>
                <w:rFonts w:ascii="Aptos Narrow" w:eastAsia="Times New Roman" w:hAnsi="Aptos Narrow"/>
                <w:b/>
                <w:bCs/>
                <w:color w:val="FFFFFF"/>
                <w:kern w:val="0"/>
                <w:sz w:val="24"/>
                <w:szCs w:val="24"/>
                <w:lang w:val="en-IE" w:eastAsia="en-IE"/>
              </w:rPr>
            </w:pPr>
          </w:p>
        </w:tc>
        <w:tc>
          <w:tcPr>
            <w:tcW w:w="4081" w:type="dxa"/>
            <w:vMerge/>
            <w:tcBorders>
              <w:top w:val="single" w:sz="4" w:space="0" w:color="000000"/>
              <w:left w:val="single" w:sz="4" w:space="0" w:color="000000"/>
              <w:bottom w:val="nil"/>
              <w:right w:val="single" w:sz="4" w:space="0" w:color="000000"/>
            </w:tcBorders>
            <w:vAlign w:val="center"/>
            <w:hideMark/>
          </w:tcPr>
          <w:p w14:paraId="62CEC473" w14:textId="77777777" w:rsidR="00831277" w:rsidRPr="00831277" w:rsidRDefault="00831277" w:rsidP="00831277">
            <w:pPr>
              <w:spacing w:before="0" w:after="0" w:line="240" w:lineRule="auto"/>
              <w:rPr>
                <w:rFonts w:ascii="Aptos Narrow" w:eastAsia="Times New Roman" w:hAnsi="Aptos Narrow"/>
                <w:color w:val="000000"/>
                <w:kern w:val="0"/>
                <w:szCs w:val="22"/>
                <w:lang w:val="en-IE" w:eastAsia="en-IE"/>
              </w:rPr>
            </w:pPr>
          </w:p>
        </w:tc>
        <w:tc>
          <w:tcPr>
            <w:tcW w:w="1821" w:type="dxa"/>
            <w:tcBorders>
              <w:top w:val="single" w:sz="4" w:space="0" w:color="000000"/>
              <w:left w:val="single" w:sz="4" w:space="0" w:color="000000"/>
              <w:bottom w:val="single" w:sz="4" w:space="0" w:color="000000"/>
              <w:right w:val="single" w:sz="4" w:space="0" w:color="000000"/>
            </w:tcBorders>
            <w:vAlign w:val="center"/>
            <w:hideMark/>
          </w:tcPr>
          <w:p w14:paraId="31535DB3" w14:textId="77777777" w:rsidR="00831277" w:rsidRPr="00831277" w:rsidRDefault="00831277" w:rsidP="00831277">
            <w:pPr>
              <w:spacing w:before="0" w:after="0" w:line="240" w:lineRule="auto"/>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Group Reporting - Group Entities Reporting on STRs</w:t>
            </w:r>
          </w:p>
        </w:tc>
        <w:tc>
          <w:tcPr>
            <w:tcW w:w="938" w:type="dxa"/>
            <w:tcBorders>
              <w:top w:val="single" w:sz="4" w:space="0" w:color="000000"/>
              <w:left w:val="single" w:sz="4" w:space="0" w:color="000000"/>
              <w:bottom w:val="single" w:sz="4" w:space="0" w:color="000000"/>
              <w:right w:val="single" w:sz="4" w:space="0" w:color="000000"/>
            </w:tcBorders>
            <w:vAlign w:val="center"/>
            <w:hideMark/>
          </w:tcPr>
          <w:p w14:paraId="663E6169" w14:textId="77777777" w:rsidR="00831277" w:rsidRPr="00831277" w:rsidRDefault="00831277" w:rsidP="00831277">
            <w:pPr>
              <w:spacing w:before="0" w:after="0" w:line="240" w:lineRule="auto"/>
              <w:jc w:val="center"/>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C0030</w:t>
            </w:r>
          </w:p>
        </w:tc>
        <w:tc>
          <w:tcPr>
            <w:tcW w:w="1352" w:type="dxa"/>
            <w:tcBorders>
              <w:top w:val="single" w:sz="4" w:space="0" w:color="000000"/>
              <w:left w:val="single" w:sz="4" w:space="0" w:color="000000"/>
              <w:bottom w:val="single" w:sz="4" w:space="0" w:color="000000"/>
              <w:right w:val="single" w:sz="4" w:space="0" w:color="000000"/>
            </w:tcBorders>
            <w:shd w:val="clear" w:color="000000" w:fill="4EA72E"/>
            <w:vAlign w:val="center"/>
            <w:hideMark/>
          </w:tcPr>
          <w:p w14:paraId="022BDAA1" w14:textId="77777777" w:rsidR="00831277" w:rsidRPr="00831277" w:rsidRDefault="00831277" w:rsidP="00831277">
            <w:pPr>
              <w:spacing w:before="0" w:after="0" w:line="240" w:lineRule="auto"/>
              <w:jc w:val="center"/>
              <w:rPr>
                <w:rFonts w:ascii="Aptos Narrow" w:eastAsia="Times New Roman" w:hAnsi="Aptos Narrow"/>
                <w:b/>
                <w:bCs/>
                <w:color w:val="FFFFFF"/>
                <w:kern w:val="0"/>
                <w:szCs w:val="22"/>
                <w:lang w:val="en-IE" w:eastAsia="en-IE"/>
              </w:rPr>
            </w:pPr>
            <w:r w:rsidRPr="00831277">
              <w:rPr>
                <w:rFonts w:ascii="Aptos Narrow" w:eastAsia="Times New Roman" w:hAnsi="Aptos Narrow"/>
                <w:b/>
                <w:bCs/>
                <w:color w:val="FFFFFF"/>
                <w:kern w:val="0"/>
                <w:szCs w:val="22"/>
                <w:lang w:val="en-IE" w:eastAsia="en-IE"/>
              </w:rPr>
              <w:t xml:space="preserve">AML.07.07 </w:t>
            </w:r>
          </w:p>
        </w:tc>
      </w:tr>
      <w:tr w:rsidR="00624C6F" w:rsidRPr="00831277" w14:paraId="42C56C84" w14:textId="77777777" w:rsidTr="00624C6F">
        <w:trPr>
          <w:trHeight w:val="846"/>
        </w:trPr>
        <w:tc>
          <w:tcPr>
            <w:tcW w:w="1731" w:type="dxa"/>
            <w:vMerge/>
            <w:tcBorders>
              <w:top w:val="single" w:sz="4" w:space="0" w:color="auto"/>
              <w:left w:val="nil"/>
              <w:bottom w:val="nil"/>
              <w:right w:val="nil"/>
            </w:tcBorders>
            <w:vAlign w:val="center"/>
            <w:hideMark/>
          </w:tcPr>
          <w:p w14:paraId="2B137196" w14:textId="77777777" w:rsidR="00831277" w:rsidRPr="00831277" w:rsidRDefault="00831277" w:rsidP="00831277">
            <w:pPr>
              <w:spacing w:before="0" w:after="0" w:line="240" w:lineRule="auto"/>
              <w:rPr>
                <w:rFonts w:ascii="Aptos Narrow" w:eastAsia="Times New Roman" w:hAnsi="Aptos Narrow"/>
                <w:b/>
                <w:bCs/>
                <w:color w:val="FFFFFF"/>
                <w:kern w:val="0"/>
                <w:sz w:val="24"/>
                <w:szCs w:val="24"/>
                <w:lang w:val="en-IE" w:eastAsia="en-IE"/>
              </w:rPr>
            </w:pPr>
          </w:p>
        </w:tc>
        <w:tc>
          <w:tcPr>
            <w:tcW w:w="4081" w:type="dxa"/>
            <w:vMerge/>
            <w:tcBorders>
              <w:top w:val="single" w:sz="4" w:space="0" w:color="000000"/>
              <w:left w:val="single" w:sz="4" w:space="0" w:color="000000"/>
              <w:bottom w:val="nil"/>
              <w:right w:val="single" w:sz="4" w:space="0" w:color="000000"/>
            </w:tcBorders>
            <w:vAlign w:val="center"/>
            <w:hideMark/>
          </w:tcPr>
          <w:p w14:paraId="23F94636" w14:textId="77777777" w:rsidR="00831277" w:rsidRPr="00831277" w:rsidRDefault="00831277" w:rsidP="00831277">
            <w:pPr>
              <w:spacing w:before="0" w:after="0" w:line="240" w:lineRule="auto"/>
              <w:rPr>
                <w:rFonts w:ascii="Aptos Narrow" w:eastAsia="Times New Roman" w:hAnsi="Aptos Narrow"/>
                <w:color w:val="000000"/>
                <w:kern w:val="0"/>
                <w:szCs w:val="22"/>
                <w:lang w:val="en-IE" w:eastAsia="en-IE"/>
              </w:rPr>
            </w:pPr>
          </w:p>
        </w:tc>
        <w:tc>
          <w:tcPr>
            <w:tcW w:w="1821" w:type="dxa"/>
            <w:tcBorders>
              <w:top w:val="single" w:sz="4" w:space="0" w:color="000000"/>
              <w:left w:val="single" w:sz="4" w:space="0" w:color="000000"/>
              <w:bottom w:val="single" w:sz="4" w:space="0" w:color="000000"/>
              <w:right w:val="single" w:sz="4" w:space="0" w:color="000000"/>
            </w:tcBorders>
            <w:vAlign w:val="center"/>
            <w:hideMark/>
          </w:tcPr>
          <w:p w14:paraId="2D073A5E" w14:textId="77777777" w:rsidR="00831277" w:rsidRPr="00831277" w:rsidRDefault="00831277" w:rsidP="00831277">
            <w:pPr>
              <w:spacing w:before="0" w:after="0" w:line="240" w:lineRule="auto"/>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Group Reporting - Group Entities Reporting on Identity and Transaction-level Information on High-risk Customers</w:t>
            </w:r>
          </w:p>
        </w:tc>
        <w:tc>
          <w:tcPr>
            <w:tcW w:w="938" w:type="dxa"/>
            <w:tcBorders>
              <w:top w:val="single" w:sz="4" w:space="0" w:color="000000"/>
              <w:left w:val="single" w:sz="4" w:space="0" w:color="000000"/>
              <w:bottom w:val="single" w:sz="4" w:space="0" w:color="000000"/>
              <w:right w:val="single" w:sz="4" w:space="0" w:color="000000"/>
            </w:tcBorders>
            <w:vAlign w:val="center"/>
            <w:hideMark/>
          </w:tcPr>
          <w:p w14:paraId="0956FD32" w14:textId="77777777" w:rsidR="00831277" w:rsidRPr="00831277" w:rsidRDefault="00831277" w:rsidP="00831277">
            <w:pPr>
              <w:spacing w:before="0" w:after="0" w:line="240" w:lineRule="auto"/>
              <w:jc w:val="center"/>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C0040</w:t>
            </w:r>
          </w:p>
        </w:tc>
        <w:tc>
          <w:tcPr>
            <w:tcW w:w="1352" w:type="dxa"/>
            <w:tcBorders>
              <w:top w:val="single" w:sz="4" w:space="0" w:color="000000"/>
              <w:left w:val="single" w:sz="4" w:space="0" w:color="000000"/>
              <w:bottom w:val="single" w:sz="4" w:space="0" w:color="000000"/>
              <w:right w:val="single" w:sz="4" w:space="0" w:color="000000"/>
            </w:tcBorders>
            <w:shd w:val="clear" w:color="000000" w:fill="4EA72E"/>
            <w:vAlign w:val="center"/>
            <w:hideMark/>
          </w:tcPr>
          <w:p w14:paraId="693C20DB" w14:textId="77777777" w:rsidR="00831277" w:rsidRPr="00831277" w:rsidRDefault="00831277" w:rsidP="00831277">
            <w:pPr>
              <w:spacing w:before="0" w:after="0" w:line="240" w:lineRule="auto"/>
              <w:jc w:val="center"/>
              <w:rPr>
                <w:rFonts w:ascii="Aptos Narrow" w:eastAsia="Times New Roman" w:hAnsi="Aptos Narrow"/>
                <w:b/>
                <w:bCs/>
                <w:color w:val="FFFFFF"/>
                <w:kern w:val="0"/>
                <w:szCs w:val="22"/>
                <w:lang w:val="en-IE" w:eastAsia="en-IE"/>
              </w:rPr>
            </w:pPr>
            <w:r w:rsidRPr="00831277">
              <w:rPr>
                <w:rFonts w:ascii="Aptos Narrow" w:eastAsia="Times New Roman" w:hAnsi="Aptos Narrow"/>
                <w:b/>
                <w:bCs/>
                <w:color w:val="FFFFFF"/>
                <w:kern w:val="0"/>
                <w:szCs w:val="22"/>
                <w:lang w:val="en-IE" w:eastAsia="en-IE"/>
              </w:rPr>
              <w:t xml:space="preserve">AML.07.07 </w:t>
            </w:r>
          </w:p>
        </w:tc>
      </w:tr>
      <w:tr w:rsidR="00624C6F" w:rsidRPr="00831277" w14:paraId="742C0979" w14:textId="77777777" w:rsidTr="00624C6F">
        <w:trPr>
          <w:trHeight w:val="594"/>
        </w:trPr>
        <w:tc>
          <w:tcPr>
            <w:tcW w:w="1731" w:type="dxa"/>
            <w:vMerge/>
            <w:tcBorders>
              <w:top w:val="single" w:sz="4" w:space="0" w:color="auto"/>
              <w:left w:val="nil"/>
              <w:bottom w:val="nil"/>
              <w:right w:val="nil"/>
            </w:tcBorders>
            <w:vAlign w:val="center"/>
            <w:hideMark/>
          </w:tcPr>
          <w:p w14:paraId="2AE0E091" w14:textId="77777777" w:rsidR="00831277" w:rsidRPr="00831277" w:rsidRDefault="00831277" w:rsidP="00831277">
            <w:pPr>
              <w:spacing w:before="0" w:after="0" w:line="240" w:lineRule="auto"/>
              <w:rPr>
                <w:rFonts w:ascii="Aptos Narrow" w:eastAsia="Times New Roman" w:hAnsi="Aptos Narrow"/>
                <w:b/>
                <w:bCs/>
                <w:color w:val="FFFFFF"/>
                <w:kern w:val="0"/>
                <w:sz w:val="24"/>
                <w:szCs w:val="24"/>
                <w:lang w:val="en-IE" w:eastAsia="en-IE"/>
              </w:rPr>
            </w:pPr>
          </w:p>
        </w:tc>
        <w:tc>
          <w:tcPr>
            <w:tcW w:w="4081" w:type="dxa"/>
            <w:vMerge/>
            <w:tcBorders>
              <w:top w:val="single" w:sz="4" w:space="0" w:color="000000"/>
              <w:left w:val="single" w:sz="4" w:space="0" w:color="000000"/>
              <w:bottom w:val="nil"/>
              <w:right w:val="single" w:sz="4" w:space="0" w:color="000000"/>
            </w:tcBorders>
            <w:vAlign w:val="center"/>
            <w:hideMark/>
          </w:tcPr>
          <w:p w14:paraId="1013E1A3" w14:textId="77777777" w:rsidR="00831277" w:rsidRPr="00831277" w:rsidRDefault="00831277" w:rsidP="00831277">
            <w:pPr>
              <w:spacing w:before="0" w:after="0" w:line="240" w:lineRule="auto"/>
              <w:rPr>
                <w:rFonts w:ascii="Aptos Narrow" w:eastAsia="Times New Roman" w:hAnsi="Aptos Narrow"/>
                <w:color w:val="000000"/>
                <w:kern w:val="0"/>
                <w:szCs w:val="22"/>
                <w:lang w:val="en-IE" w:eastAsia="en-IE"/>
              </w:rPr>
            </w:pPr>
          </w:p>
        </w:tc>
        <w:tc>
          <w:tcPr>
            <w:tcW w:w="1821" w:type="dxa"/>
            <w:tcBorders>
              <w:top w:val="single" w:sz="4" w:space="0" w:color="000000"/>
              <w:left w:val="single" w:sz="4" w:space="0" w:color="000000"/>
              <w:bottom w:val="single" w:sz="4" w:space="0" w:color="000000"/>
              <w:right w:val="single" w:sz="4" w:space="0" w:color="000000"/>
            </w:tcBorders>
            <w:vAlign w:val="center"/>
            <w:hideMark/>
          </w:tcPr>
          <w:p w14:paraId="65C3DE37" w14:textId="77777777" w:rsidR="00831277" w:rsidRPr="00831277" w:rsidRDefault="00831277" w:rsidP="00831277">
            <w:pPr>
              <w:spacing w:before="0" w:after="0" w:line="240" w:lineRule="auto"/>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Group Reporting - Group Entities Reporting on Deficiencies</w:t>
            </w:r>
          </w:p>
        </w:tc>
        <w:tc>
          <w:tcPr>
            <w:tcW w:w="938" w:type="dxa"/>
            <w:tcBorders>
              <w:top w:val="single" w:sz="4" w:space="0" w:color="000000"/>
              <w:left w:val="single" w:sz="4" w:space="0" w:color="000000"/>
              <w:bottom w:val="single" w:sz="4" w:space="0" w:color="000000"/>
              <w:right w:val="single" w:sz="4" w:space="0" w:color="000000"/>
            </w:tcBorders>
            <w:vAlign w:val="center"/>
            <w:hideMark/>
          </w:tcPr>
          <w:p w14:paraId="2630C012" w14:textId="77777777" w:rsidR="00831277" w:rsidRPr="00831277" w:rsidRDefault="00831277" w:rsidP="00831277">
            <w:pPr>
              <w:spacing w:before="0" w:after="0" w:line="240" w:lineRule="auto"/>
              <w:jc w:val="center"/>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C0050</w:t>
            </w:r>
          </w:p>
        </w:tc>
        <w:tc>
          <w:tcPr>
            <w:tcW w:w="1352" w:type="dxa"/>
            <w:tcBorders>
              <w:top w:val="single" w:sz="4" w:space="0" w:color="000000"/>
              <w:left w:val="single" w:sz="4" w:space="0" w:color="000000"/>
              <w:bottom w:val="single" w:sz="4" w:space="0" w:color="000000"/>
              <w:right w:val="single" w:sz="4" w:space="0" w:color="000000"/>
            </w:tcBorders>
            <w:shd w:val="clear" w:color="000000" w:fill="4EA72E"/>
            <w:vAlign w:val="center"/>
            <w:hideMark/>
          </w:tcPr>
          <w:p w14:paraId="37452F15" w14:textId="77777777" w:rsidR="00831277" w:rsidRPr="00831277" w:rsidRDefault="00831277" w:rsidP="00831277">
            <w:pPr>
              <w:spacing w:before="0" w:after="0" w:line="240" w:lineRule="auto"/>
              <w:jc w:val="center"/>
              <w:rPr>
                <w:rFonts w:ascii="Aptos Narrow" w:eastAsia="Times New Roman" w:hAnsi="Aptos Narrow"/>
                <w:b/>
                <w:bCs/>
                <w:color w:val="FFFFFF"/>
                <w:kern w:val="0"/>
                <w:szCs w:val="22"/>
                <w:lang w:val="en-IE" w:eastAsia="en-IE"/>
              </w:rPr>
            </w:pPr>
            <w:r w:rsidRPr="00831277">
              <w:rPr>
                <w:rFonts w:ascii="Aptos Narrow" w:eastAsia="Times New Roman" w:hAnsi="Aptos Narrow"/>
                <w:b/>
                <w:bCs/>
                <w:color w:val="FFFFFF"/>
                <w:kern w:val="0"/>
                <w:szCs w:val="22"/>
                <w:lang w:val="en-IE" w:eastAsia="en-IE"/>
              </w:rPr>
              <w:t xml:space="preserve">AML.07.07 </w:t>
            </w:r>
          </w:p>
        </w:tc>
      </w:tr>
      <w:tr w:rsidR="00624C6F" w:rsidRPr="00831277" w14:paraId="6701F22A" w14:textId="77777777" w:rsidTr="00624C6F">
        <w:trPr>
          <w:trHeight w:val="1425"/>
        </w:trPr>
        <w:tc>
          <w:tcPr>
            <w:tcW w:w="1731" w:type="dxa"/>
            <w:vMerge/>
            <w:tcBorders>
              <w:top w:val="single" w:sz="4" w:space="0" w:color="auto"/>
              <w:left w:val="nil"/>
              <w:bottom w:val="nil"/>
              <w:right w:val="nil"/>
            </w:tcBorders>
            <w:vAlign w:val="center"/>
            <w:hideMark/>
          </w:tcPr>
          <w:p w14:paraId="587466C9" w14:textId="77777777" w:rsidR="00831277" w:rsidRPr="00831277" w:rsidRDefault="00831277" w:rsidP="00831277">
            <w:pPr>
              <w:spacing w:before="0" w:after="0" w:line="240" w:lineRule="auto"/>
              <w:rPr>
                <w:rFonts w:ascii="Aptos Narrow" w:eastAsia="Times New Roman" w:hAnsi="Aptos Narrow"/>
                <w:b/>
                <w:bCs/>
                <w:color w:val="FFFFFF"/>
                <w:kern w:val="0"/>
                <w:sz w:val="24"/>
                <w:szCs w:val="24"/>
                <w:lang w:val="en-IE" w:eastAsia="en-IE"/>
              </w:rPr>
            </w:pPr>
          </w:p>
        </w:tc>
        <w:tc>
          <w:tcPr>
            <w:tcW w:w="4081" w:type="dxa"/>
            <w:tcBorders>
              <w:top w:val="single" w:sz="4" w:space="0" w:color="000000"/>
              <w:left w:val="single" w:sz="4" w:space="0" w:color="000000"/>
              <w:bottom w:val="nil"/>
              <w:right w:val="single" w:sz="4" w:space="0" w:color="000000"/>
            </w:tcBorders>
            <w:vAlign w:val="center"/>
            <w:hideMark/>
          </w:tcPr>
          <w:p w14:paraId="0498025E" w14:textId="77777777" w:rsidR="00831277" w:rsidRPr="00831277" w:rsidRDefault="00831277" w:rsidP="00831277">
            <w:pPr>
              <w:spacing w:before="0" w:after="0" w:line="240" w:lineRule="auto"/>
              <w:rPr>
                <w:rFonts w:ascii="Aptos Narrow" w:eastAsia="Times New Roman" w:hAnsi="Aptos Narrow"/>
                <w:color w:val="auto"/>
                <w:kern w:val="0"/>
                <w:szCs w:val="22"/>
                <w:lang w:val="en-IE" w:eastAsia="en-IE"/>
              </w:rPr>
            </w:pPr>
            <w:r w:rsidRPr="00831277">
              <w:rPr>
                <w:rFonts w:ascii="Aptos Narrow" w:eastAsia="Times New Roman" w:hAnsi="Aptos Narrow"/>
                <w:color w:val="auto"/>
                <w:kern w:val="0"/>
                <w:szCs w:val="22"/>
                <w:lang w:val="en-IE" w:eastAsia="en-IE"/>
              </w:rPr>
              <w:t>% of jurisdictions in which the group is established covered by reviews (including access to customer and transaction level data) performed by the group AML/CFT compliance function in the last three calendar years. (applies only to groups that have been existing for more than 3 years and should only be filled in by the parent company)</w:t>
            </w:r>
          </w:p>
        </w:tc>
        <w:tc>
          <w:tcPr>
            <w:tcW w:w="1821" w:type="dxa"/>
            <w:tcBorders>
              <w:top w:val="single" w:sz="4" w:space="0" w:color="000000"/>
              <w:left w:val="single" w:sz="4" w:space="0" w:color="000000"/>
              <w:bottom w:val="single" w:sz="4" w:space="0" w:color="000000"/>
              <w:right w:val="single" w:sz="4" w:space="0" w:color="000000"/>
            </w:tcBorders>
            <w:vAlign w:val="center"/>
            <w:hideMark/>
          </w:tcPr>
          <w:p w14:paraId="569F7F5A" w14:textId="77777777" w:rsidR="00831277" w:rsidRPr="00831277" w:rsidRDefault="00831277" w:rsidP="00831277">
            <w:pPr>
              <w:spacing w:before="0" w:after="0" w:line="240" w:lineRule="auto"/>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Group Reporting - Jurisdictions subject to Compliance Reviews</w:t>
            </w:r>
          </w:p>
        </w:tc>
        <w:tc>
          <w:tcPr>
            <w:tcW w:w="938" w:type="dxa"/>
            <w:tcBorders>
              <w:top w:val="single" w:sz="4" w:space="0" w:color="000000"/>
              <w:left w:val="single" w:sz="4" w:space="0" w:color="000000"/>
              <w:bottom w:val="single" w:sz="4" w:space="0" w:color="000000"/>
              <w:right w:val="single" w:sz="4" w:space="0" w:color="000000"/>
            </w:tcBorders>
            <w:vAlign w:val="center"/>
            <w:hideMark/>
          </w:tcPr>
          <w:p w14:paraId="3FE58A2B" w14:textId="77777777" w:rsidR="00831277" w:rsidRPr="00831277" w:rsidRDefault="00831277" w:rsidP="00831277">
            <w:pPr>
              <w:spacing w:before="0" w:after="0" w:line="240" w:lineRule="auto"/>
              <w:jc w:val="center"/>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C0060</w:t>
            </w:r>
          </w:p>
        </w:tc>
        <w:tc>
          <w:tcPr>
            <w:tcW w:w="1352" w:type="dxa"/>
            <w:tcBorders>
              <w:top w:val="single" w:sz="4" w:space="0" w:color="000000"/>
              <w:left w:val="single" w:sz="4" w:space="0" w:color="000000"/>
              <w:bottom w:val="single" w:sz="4" w:space="0" w:color="000000"/>
              <w:right w:val="single" w:sz="4" w:space="0" w:color="000000"/>
            </w:tcBorders>
            <w:shd w:val="clear" w:color="000000" w:fill="4EA72E"/>
            <w:vAlign w:val="center"/>
            <w:hideMark/>
          </w:tcPr>
          <w:p w14:paraId="63F271BB" w14:textId="77777777" w:rsidR="00831277" w:rsidRPr="00831277" w:rsidRDefault="00831277" w:rsidP="00831277">
            <w:pPr>
              <w:spacing w:before="0" w:after="0" w:line="240" w:lineRule="auto"/>
              <w:jc w:val="center"/>
              <w:rPr>
                <w:rFonts w:ascii="Aptos Narrow" w:eastAsia="Times New Roman" w:hAnsi="Aptos Narrow"/>
                <w:b/>
                <w:bCs/>
                <w:color w:val="FFFFFF"/>
                <w:kern w:val="0"/>
                <w:szCs w:val="22"/>
                <w:lang w:val="en-IE" w:eastAsia="en-IE"/>
              </w:rPr>
            </w:pPr>
            <w:r w:rsidRPr="00831277">
              <w:rPr>
                <w:rFonts w:ascii="Aptos Narrow" w:eastAsia="Times New Roman" w:hAnsi="Aptos Narrow"/>
                <w:b/>
                <w:bCs/>
                <w:color w:val="FFFFFF"/>
                <w:kern w:val="0"/>
                <w:szCs w:val="22"/>
                <w:lang w:val="en-IE" w:eastAsia="en-IE"/>
              </w:rPr>
              <w:t xml:space="preserve">AML.07.07 </w:t>
            </w:r>
          </w:p>
        </w:tc>
      </w:tr>
      <w:tr w:rsidR="00624C6F" w:rsidRPr="00831277" w14:paraId="341812B4" w14:textId="77777777" w:rsidTr="00624C6F">
        <w:trPr>
          <w:trHeight w:val="356"/>
        </w:trPr>
        <w:tc>
          <w:tcPr>
            <w:tcW w:w="1731" w:type="dxa"/>
            <w:vMerge/>
            <w:tcBorders>
              <w:top w:val="single" w:sz="4" w:space="0" w:color="auto"/>
              <w:left w:val="nil"/>
              <w:bottom w:val="nil"/>
              <w:right w:val="nil"/>
            </w:tcBorders>
            <w:vAlign w:val="center"/>
            <w:hideMark/>
          </w:tcPr>
          <w:p w14:paraId="50B4304A" w14:textId="77777777" w:rsidR="00831277" w:rsidRPr="00831277" w:rsidRDefault="00831277" w:rsidP="00831277">
            <w:pPr>
              <w:spacing w:before="0" w:after="0" w:line="240" w:lineRule="auto"/>
              <w:rPr>
                <w:rFonts w:ascii="Aptos Narrow" w:eastAsia="Times New Roman" w:hAnsi="Aptos Narrow"/>
                <w:b/>
                <w:bCs/>
                <w:color w:val="FFFFFF"/>
                <w:kern w:val="0"/>
                <w:sz w:val="24"/>
                <w:szCs w:val="24"/>
                <w:lang w:val="en-IE" w:eastAsia="en-IE"/>
              </w:rPr>
            </w:pPr>
          </w:p>
        </w:tc>
        <w:tc>
          <w:tcPr>
            <w:tcW w:w="4081" w:type="dxa"/>
            <w:vMerge w:val="restart"/>
            <w:tcBorders>
              <w:top w:val="single" w:sz="4" w:space="0" w:color="auto"/>
              <w:left w:val="single" w:sz="4" w:space="0" w:color="auto"/>
              <w:bottom w:val="single" w:sz="4" w:space="0" w:color="auto"/>
              <w:right w:val="single" w:sz="4" w:space="0" w:color="auto"/>
            </w:tcBorders>
            <w:vAlign w:val="center"/>
            <w:hideMark/>
          </w:tcPr>
          <w:p w14:paraId="2BAD6A77" w14:textId="77777777" w:rsidR="00831277" w:rsidRPr="00831277" w:rsidRDefault="00831277" w:rsidP="00831277">
            <w:pPr>
              <w:spacing w:before="0" w:after="0" w:line="240" w:lineRule="auto"/>
              <w:rPr>
                <w:rFonts w:ascii="Aptos Narrow" w:eastAsia="Times New Roman" w:hAnsi="Aptos Narrow"/>
                <w:color w:val="auto"/>
                <w:kern w:val="0"/>
                <w:szCs w:val="22"/>
                <w:lang w:val="en-IE" w:eastAsia="en-IE"/>
              </w:rPr>
            </w:pPr>
            <w:r w:rsidRPr="00831277">
              <w:rPr>
                <w:rFonts w:ascii="Aptos Narrow" w:eastAsia="Times New Roman" w:hAnsi="Aptos Narrow"/>
                <w:color w:val="auto"/>
                <w:kern w:val="0"/>
                <w:szCs w:val="22"/>
                <w:lang w:val="en-IE" w:eastAsia="en-IE"/>
              </w:rPr>
              <w:t>Number of group entities for which deficiencies were identified by competent AML/CFT supervisors in the last calendar year (should only be filled in by the parent company)</w:t>
            </w:r>
            <w:r w:rsidRPr="00831277">
              <w:rPr>
                <w:rFonts w:ascii="Aptos Narrow" w:eastAsia="Times New Roman" w:hAnsi="Aptos Narrow"/>
                <w:color w:val="auto"/>
                <w:kern w:val="0"/>
                <w:szCs w:val="22"/>
                <w:lang w:val="en-IE" w:eastAsia="en-IE"/>
              </w:rPr>
              <w:br/>
              <w:t>- EU/EEA entities</w:t>
            </w:r>
            <w:r w:rsidRPr="00831277">
              <w:rPr>
                <w:rFonts w:ascii="Aptos Narrow" w:eastAsia="Times New Roman" w:hAnsi="Aptos Narrow"/>
                <w:color w:val="auto"/>
                <w:kern w:val="0"/>
                <w:szCs w:val="22"/>
                <w:lang w:val="en-IE" w:eastAsia="en-IE"/>
              </w:rPr>
              <w:br/>
              <w:t>- Non-EU/EEA</w:t>
            </w:r>
          </w:p>
        </w:tc>
        <w:tc>
          <w:tcPr>
            <w:tcW w:w="1821" w:type="dxa"/>
            <w:tcBorders>
              <w:top w:val="single" w:sz="4" w:space="0" w:color="000000"/>
              <w:left w:val="nil"/>
              <w:bottom w:val="single" w:sz="4" w:space="0" w:color="000000"/>
              <w:right w:val="single" w:sz="4" w:space="0" w:color="000000"/>
            </w:tcBorders>
            <w:vAlign w:val="center"/>
            <w:hideMark/>
          </w:tcPr>
          <w:p w14:paraId="36DA1A11" w14:textId="77777777" w:rsidR="00831277" w:rsidRPr="00831277" w:rsidRDefault="00831277" w:rsidP="00831277">
            <w:pPr>
              <w:spacing w:before="0" w:after="0" w:line="240" w:lineRule="auto"/>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Group Entities with Deficiencies (within EU/EEA)</w:t>
            </w:r>
          </w:p>
        </w:tc>
        <w:tc>
          <w:tcPr>
            <w:tcW w:w="938" w:type="dxa"/>
            <w:tcBorders>
              <w:top w:val="single" w:sz="4" w:space="0" w:color="000000"/>
              <w:left w:val="single" w:sz="4" w:space="0" w:color="000000"/>
              <w:bottom w:val="single" w:sz="4" w:space="0" w:color="000000"/>
              <w:right w:val="single" w:sz="4" w:space="0" w:color="000000"/>
            </w:tcBorders>
            <w:vAlign w:val="center"/>
            <w:hideMark/>
          </w:tcPr>
          <w:p w14:paraId="6826D8E9" w14:textId="77777777" w:rsidR="00831277" w:rsidRPr="00831277" w:rsidRDefault="00831277" w:rsidP="00831277">
            <w:pPr>
              <w:spacing w:before="0" w:after="0" w:line="240" w:lineRule="auto"/>
              <w:jc w:val="center"/>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C0070</w:t>
            </w:r>
          </w:p>
        </w:tc>
        <w:tc>
          <w:tcPr>
            <w:tcW w:w="1352" w:type="dxa"/>
            <w:tcBorders>
              <w:top w:val="single" w:sz="4" w:space="0" w:color="000000"/>
              <w:left w:val="single" w:sz="4" w:space="0" w:color="000000"/>
              <w:bottom w:val="single" w:sz="4" w:space="0" w:color="000000"/>
              <w:right w:val="single" w:sz="4" w:space="0" w:color="000000"/>
            </w:tcBorders>
            <w:shd w:val="clear" w:color="000000" w:fill="4EA72E"/>
            <w:vAlign w:val="center"/>
            <w:hideMark/>
          </w:tcPr>
          <w:p w14:paraId="355C6193" w14:textId="77777777" w:rsidR="00831277" w:rsidRPr="00831277" w:rsidRDefault="00831277" w:rsidP="00831277">
            <w:pPr>
              <w:spacing w:before="0" w:after="0" w:line="240" w:lineRule="auto"/>
              <w:jc w:val="center"/>
              <w:rPr>
                <w:rFonts w:ascii="Aptos Narrow" w:eastAsia="Times New Roman" w:hAnsi="Aptos Narrow"/>
                <w:b/>
                <w:bCs/>
                <w:color w:val="FFFFFF"/>
                <w:kern w:val="0"/>
                <w:szCs w:val="22"/>
                <w:lang w:val="en-IE" w:eastAsia="en-IE"/>
              </w:rPr>
            </w:pPr>
            <w:r w:rsidRPr="00831277">
              <w:rPr>
                <w:rFonts w:ascii="Aptos Narrow" w:eastAsia="Times New Roman" w:hAnsi="Aptos Narrow"/>
                <w:b/>
                <w:bCs/>
                <w:color w:val="FFFFFF"/>
                <w:kern w:val="0"/>
                <w:szCs w:val="22"/>
                <w:lang w:val="en-IE" w:eastAsia="en-IE"/>
              </w:rPr>
              <w:t xml:space="preserve">AML.07.07 </w:t>
            </w:r>
          </w:p>
        </w:tc>
      </w:tr>
      <w:tr w:rsidR="00624C6F" w:rsidRPr="00831277" w14:paraId="4B07984B" w14:textId="77777777" w:rsidTr="00624C6F">
        <w:trPr>
          <w:trHeight w:val="1054"/>
        </w:trPr>
        <w:tc>
          <w:tcPr>
            <w:tcW w:w="1731" w:type="dxa"/>
            <w:vMerge/>
            <w:tcBorders>
              <w:top w:val="single" w:sz="4" w:space="0" w:color="auto"/>
              <w:left w:val="nil"/>
              <w:bottom w:val="nil"/>
              <w:right w:val="nil"/>
            </w:tcBorders>
            <w:vAlign w:val="center"/>
            <w:hideMark/>
          </w:tcPr>
          <w:p w14:paraId="1A92561D" w14:textId="77777777" w:rsidR="00831277" w:rsidRPr="00831277" w:rsidRDefault="00831277" w:rsidP="00831277">
            <w:pPr>
              <w:spacing w:before="0" w:after="0" w:line="240" w:lineRule="auto"/>
              <w:rPr>
                <w:rFonts w:ascii="Aptos Narrow" w:eastAsia="Times New Roman" w:hAnsi="Aptos Narrow"/>
                <w:b/>
                <w:bCs/>
                <w:color w:val="FFFFFF"/>
                <w:kern w:val="0"/>
                <w:sz w:val="24"/>
                <w:szCs w:val="24"/>
                <w:lang w:val="en-IE" w:eastAsia="en-IE"/>
              </w:rPr>
            </w:pPr>
          </w:p>
        </w:tc>
        <w:tc>
          <w:tcPr>
            <w:tcW w:w="4081" w:type="dxa"/>
            <w:vMerge/>
            <w:tcBorders>
              <w:top w:val="single" w:sz="4" w:space="0" w:color="auto"/>
              <w:left w:val="single" w:sz="4" w:space="0" w:color="auto"/>
              <w:bottom w:val="single" w:sz="4" w:space="0" w:color="auto"/>
              <w:right w:val="single" w:sz="4" w:space="0" w:color="auto"/>
            </w:tcBorders>
            <w:vAlign w:val="center"/>
            <w:hideMark/>
          </w:tcPr>
          <w:p w14:paraId="7AFE5E63" w14:textId="77777777" w:rsidR="00831277" w:rsidRPr="00831277" w:rsidRDefault="00831277" w:rsidP="00831277">
            <w:pPr>
              <w:spacing w:before="0" w:after="0" w:line="240" w:lineRule="auto"/>
              <w:rPr>
                <w:rFonts w:ascii="Aptos Narrow" w:eastAsia="Times New Roman" w:hAnsi="Aptos Narrow"/>
                <w:color w:val="auto"/>
                <w:kern w:val="0"/>
                <w:szCs w:val="22"/>
                <w:lang w:val="en-IE" w:eastAsia="en-IE"/>
              </w:rPr>
            </w:pPr>
          </w:p>
        </w:tc>
        <w:tc>
          <w:tcPr>
            <w:tcW w:w="1821" w:type="dxa"/>
            <w:tcBorders>
              <w:top w:val="single" w:sz="4" w:space="0" w:color="000000"/>
              <w:left w:val="nil"/>
              <w:bottom w:val="single" w:sz="4" w:space="0" w:color="000000"/>
              <w:right w:val="single" w:sz="4" w:space="0" w:color="000000"/>
            </w:tcBorders>
            <w:vAlign w:val="center"/>
            <w:hideMark/>
          </w:tcPr>
          <w:p w14:paraId="0B780397" w14:textId="77777777" w:rsidR="00831277" w:rsidRPr="00831277" w:rsidRDefault="00831277" w:rsidP="00831277">
            <w:pPr>
              <w:spacing w:before="0" w:after="0" w:line="240" w:lineRule="auto"/>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Group Entities with Deficiencies (outside EU/EEA)</w:t>
            </w:r>
          </w:p>
        </w:tc>
        <w:tc>
          <w:tcPr>
            <w:tcW w:w="938" w:type="dxa"/>
            <w:tcBorders>
              <w:top w:val="single" w:sz="4" w:space="0" w:color="000000"/>
              <w:left w:val="single" w:sz="4" w:space="0" w:color="000000"/>
              <w:bottom w:val="single" w:sz="4" w:space="0" w:color="000000"/>
              <w:right w:val="single" w:sz="4" w:space="0" w:color="000000"/>
            </w:tcBorders>
            <w:vAlign w:val="center"/>
            <w:hideMark/>
          </w:tcPr>
          <w:p w14:paraId="162E62A4" w14:textId="77777777" w:rsidR="00831277" w:rsidRPr="00831277" w:rsidRDefault="00831277" w:rsidP="00831277">
            <w:pPr>
              <w:spacing w:before="0" w:after="0" w:line="240" w:lineRule="auto"/>
              <w:jc w:val="center"/>
              <w:rPr>
                <w:rFonts w:ascii="Aptos Narrow" w:eastAsia="Times New Roman" w:hAnsi="Aptos Narrow"/>
                <w:b/>
                <w:bCs/>
                <w:color w:val="000000"/>
                <w:kern w:val="0"/>
                <w:szCs w:val="22"/>
                <w:lang w:val="en-IE" w:eastAsia="en-IE"/>
              </w:rPr>
            </w:pPr>
            <w:r w:rsidRPr="00831277">
              <w:rPr>
                <w:rFonts w:ascii="Aptos Narrow" w:eastAsia="Times New Roman" w:hAnsi="Aptos Narrow"/>
                <w:b/>
                <w:bCs/>
                <w:color w:val="000000"/>
                <w:kern w:val="0"/>
                <w:szCs w:val="22"/>
                <w:lang w:val="en-IE" w:eastAsia="en-IE"/>
              </w:rPr>
              <w:t>C0080</w:t>
            </w:r>
          </w:p>
        </w:tc>
        <w:tc>
          <w:tcPr>
            <w:tcW w:w="1352" w:type="dxa"/>
            <w:tcBorders>
              <w:top w:val="single" w:sz="4" w:space="0" w:color="000000"/>
              <w:left w:val="single" w:sz="4" w:space="0" w:color="000000"/>
              <w:bottom w:val="single" w:sz="4" w:space="0" w:color="000000"/>
              <w:right w:val="single" w:sz="4" w:space="0" w:color="000000"/>
            </w:tcBorders>
            <w:shd w:val="clear" w:color="000000" w:fill="4EA72E"/>
            <w:vAlign w:val="center"/>
            <w:hideMark/>
          </w:tcPr>
          <w:p w14:paraId="0C8AFC8E" w14:textId="77777777" w:rsidR="00831277" w:rsidRPr="00831277" w:rsidRDefault="00831277" w:rsidP="00831277">
            <w:pPr>
              <w:spacing w:before="0" w:after="0" w:line="240" w:lineRule="auto"/>
              <w:jc w:val="center"/>
              <w:rPr>
                <w:rFonts w:ascii="Aptos Narrow" w:eastAsia="Times New Roman" w:hAnsi="Aptos Narrow"/>
                <w:b/>
                <w:bCs/>
                <w:color w:val="FFFFFF"/>
                <w:kern w:val="0"/>
                <w:szCs w:val="22"/>
                <w:lang w:val="en-IE" w:eastAsia="en-IE"/>
              </w:rPr>
            </w:pPr>
            <w:r w:rsidRPr="00831277">
              <w:rPr>
                <w:rFonts w:ascii="Aptos Narrow" w:eastAsia="Times New Roman" w:hAnsi="Aptos Narrow"/>
                <w:b/>
                <w:bCs/>
                <w:color w:val="FFFFFF"/>
                <w:kern w:val="0"/>
                <w:szCs w:val="22"/>
                <w:lang w:val="en-IE" w:eastAsia="en-IE"/>
              </w:rPr>
              <w:t xml:space="preserve">AML.07.07 </w:t>
            </w:r>
          </w:p>
        </w:tc>
      </w:tr>
    </w:tbl>
    <w:p w14:paraId="2B87E707" w14:textId="77777777" w:rsidR="0096384A" w:rsidRPr="00831277" w:rsidRDefault="0096384A" w:rsidP="441FB604">
      <w:pPr>
        <w:rPr>
          <w:rFonts w:asciiTheme="minorHAnsi" w:hAnsiTheme="minorHAnsi"/>
          <w:b/>
          <w:bCs/>
        </w:rPr>
      </w:pPr>
    </w:p>
    <w:p w14:paraId="6A20F747" w14:textId="0A3F3777" w:rsidR="441FB604" w:rsidRDefault="441FB604">
      <w:r>
        <w:br w:type="page"/>
      </w:r>
    </w:p>
    <w:p w14:paraId="5D8798A3" w14:textId="28082B34" w:rsidR="441FB604" w:rsidRDefault="7FA750F1" w:rsidP="00F82C42">
      <w:pPr>
        <w:pStyle w:val="Heading1"/>
        <w:numPr>
          <w:ilvl w:val="0"/>
          <w:numId w:val="0"/>
        </w:numPr>
        <w:jc w:val="both"/>
        <w:rPr>
          <w:rFonts w:ascii="Aptos" w:eastAsia="Aptos" w:hAnsi="Aptos" w:cs="Aptos"/>
          <w:szCs w:val="44"/>
          <w:lang w:val="en-GB"/>
        </w:rPr>
      </w:pPr>
      <w:bookmarkStart w:id="325" w:name="_Toc223104874"/>
      <w:r w:rsidRPr="05322326">
        <w:rPr>
          <w:rFonts w:ascii="Aptos" w:eastAsia="Aptos" w:hAnsi="Aptos" w:cs="Aptos"/>
          <w:bCs/>
          <w:szCs w:val="44"/>
          <w:lang w:val="en-GB"/>
        </w:rPr>
        <w:t>Annex 2 Definitions</w:t>
      </w:r>
      <w:bookmarkEnd w:id="325"/>
      <w:r w:rsidRPr="05322326">
        <w:rPr>
          <w:rFonts w:ascii="Aptos" w:eastAsia="Aptos" w:hAnsi="Aptos" w:cs="Aptos"/>
          <w:bCs/>
          <w:szCs w:val="44"/>
          <w:lang w:val="en-GB"/>
        </w:rPr>
        <w:t xml:space="preserve"> </w:t>
      </w:r>
    </w:p>
    <w:p w14:paraId="05854A6E" w14:textId="63913E3A" w:rsidR="00E911D3" w:rsidRDefault="00E911D3" w:rsidP="00F82C42">
      <w:pPr>
        <w:pStyle w:val="body"/>
      </w:pPr>
      <w:r w:rsidRPr="009B282E">
        <w:t xml:space="preserve">The data points related to this </w:t>
      </w:r>
      <w:r>
        <w:t>guidance</w:t>
      </w:r>
      <w:r w:rsidRPr="009B282E">
        <w:t xml:space="preserve"> shall be provided understanding:</w:t>
      </w:r>
    </w:p>
    <w:p w14:paraId="57EC7394" w14:textId="516F7304" w:rsidR="002B6A51" w:rsidRDefault="002B6A51" w:rsidP="005E7BEC">
      <w:pPr>
        <w:pStyle w:val="body"/>
        <w:rPr>
          <w:lang w:val="en-GB"/>
        </w:rPr>
      </w:pPr>
      <w:r w:rsidRPr="4A270B9A">
        <w:rPr>
          <w:b/>
          <w:bCs/>
          <w:i/>
          <w:iCs/>
          <w:lang w:val="en-GB"/>
        </w:rPr>
        <w:t>‘Business relationship’</w:t>
      </w:r>
      <w:r w:rsidRPr="009B282E">
        <w:rPr>
          <w:lang w:val="en-GB"/>
        </w:rPr>
        <w:t xml:space="preserve"> means a business, professional or commercial relationship connected with the professional activities of an obliged entity, which is set up between an obliged entity and a customer, including in the absence of a written contract and which is expected to have, at the time when the contact is established, or which subsequently acquires, an element of repetition or duration.</w:t>
      </w:r>
      <w:r w:rsidRPr="4A270B9A">
        <w:rPr>
          <w:rFonts w:eastAsia="Cambria" w:cs="Times New Roman"/>
          <w:color w:val="262626" w:themeColor="text1" w:themeTint="D9"/>
          <w:kern w:val="20"/>
          <w:lang w:val="en-GB" w:eastAsia="ja-JP"/>
        </w:rPr>
        <w:t xml:space="preserve"> (</w:t>
      </w:r>
      <w:r w:rsidRPr="009B282E">
        <w:rPr>
          <w:lang w:val="en-GB"/>
        </w:rPr>
        <w:t xml:space="preserve">Article 2(19) </w:t>
      </w:r>
      <w:r>
        <w:rPr>
          <w:lang w:val="en-GB"/>
        </w:rPr>
        <w:t>AMLR</w:t>
      </w:r>
      <w:r w:rsidRPr="009B282E">
        <w:rPr>
          <w:lang w:val="en-GB"/>
        </w:rPr>
        <w:t>).</w:t>
      </w:r>
    </w:p>
    <w:p w14:paraId="01CA5A8D" w14:textId="06F7C936" w:rsidR="005E7BEC" w:rsidRPr="00135B9D" w:rsidRDefault="0086070D" w:rsidP="00135B9D">
      <w:pPr>
        <w:jc w:val="both"/>
        <w:rPr>
          <w:rFonts w:asciiTheme="minorHAnsi" w:eastAsia="Times New Roman" w:hAnsiTheme="minorHAnsi" w:cs="Calibri"/>
          <w:color w:val="000000"/>
          <w:kern w:val="0"/>
          <w:szCs w:val="22"/>
          <w:lang w:val="en-IE" w:eastAsia="en-IE"/>
        </w:rPr>
      </w:pPr>
      <w:r w:rsidRPr="00135B9D">
        <w:rPr>
          <w:rFonts w:asciiTheme="minorHAnsi" w:eastAsia="Times New Roman" w:hAnsiTheme="minorHAnsi" w:cs="Calibri"/>
          <w:b/>
          <w:bCs/>
          <w:i/>
          <w:iCs/>
          <w:color w:val="000000"/>
          <w:kern w:val="0"/>
          <w:szCs w:val="22"/>
          <w:lang w:eastAsia="en-IE"/>
        </w:rPr>
        <w:t>‘</w:t>
      </w:r>
      <w:r w:rsidR="009D6CEA" w:rsidRPr="00135B9D">
        <w:rPr>
          <w:rFonts w:asciiTheme="minorHAnsi" w:eastAsia="Times New Roman" w:hAnsiTheme="minorHAnsi" w:cs="Calibri"/>
          <w:b/>
          <w:i/>
          <w:color w:val="000000"/>
          <w:kern w:val="0"/>
          <w:szCs w:val="22"/>
          <w:lang w:val="en-IE" w:eastAsia="en-IE"/>
        </w:rPr>
        <w:t xml:space="preserve">Complex </w:t>
      </w:r>
      <w:r w:rsidR="009D6CEA" w:rsidRPr="00135B9D">
        <w:rPr>
          <w:rFonts w:asciiTheme="minorHAnsi" w:eastAsia="Times New Roman" w:hAnsiTheme="minorHAnsi" w:cs="Calibri"/>
          <w:b/>
          <w:bCs/>
          <w:i/>
          <w:iCs/>
          <w:color w:val="000000"/>
          <w:kern w:val="0"/>
          <w:szCs w:val="22"/>
          <w:lang w:val="en-IE" w:eastAsia="en-IE"/>
        </w:rPr>
        <w:t>structure</w:t>
      </w:r>
      <w:r w:rsidRPr="00135B9D">
        <w:rPr>
          <w:rFonts w:asciiTheme="minorHAnsi" w:eastAsia="Times New Roman" w:hAnsiTheme="minorHAnsi" w:cs="Calibri"/>
          <w:b/>
          <w:bCs/>
          <w:i/>
          <w:iCs/>
          <w:color w:val="000000"/>
          <w:kern w:val="0"/>
          <w:szCs w:val="22"/>
          <w:lang w:val="en-IE" w:eastAsia="en-IE"/>
        </w:rPr>
        <w:t>’</w:t>
      </w:r>
      <w:r w:rsidR="009D6CEA">
        <w:rPr>
          <w:rFonts w:asciiTheme="minorHAnsi" w:eastAsia="Times New Roman" w:hAnsiTheme="minorHAnsi" w:cs="Calibri"/>
          <w:color w:val="000000"/>
          <w:kern w:val="0"/>
          <w:szCs w:val="22"/>
          <w:lang w:val="en-IE" w:eastAsia="en-IE"/>
        </w:rPr>
        <w:t xml:space="preserve">: </w:t>
      </w:r>
      <w:r w:rsidR="00C145A6">
        <w:rPr>
          <w:rFonts w:asciiTheme="minorHAnsi" w:eastAsia="Times New Roman" w:hAnsiTheme="minorHAnsi" w:cs="Calibri"/>
          <w:color w:val="000000"/>
          <w:kern w:val="0"/>
          <w:szCs w:val="22"/>
          <w:lang w:val="en-IE" w:eastAsia="en-IE"/>
        </w:rPr>
        <w:t>f</w:t>
      </w:r>
      <w:r w:rsidR="005E7BEC" w:rsidRPr="00135B9D">
        <w:rPr>
          <w:rFonts w:asciiTheme="minorHAnsi" w:eastAsia="Times New Roman" w:hAnsiTheme="minorHAnsi" w:cs="Calibri"/>
          <w:color w:val="000000"/>
          <w:kern w:val="0"/>
          <w:szCs w:val="22"/>
          <w:lang w:val="en-IE" w:eastAsia="en-IE"/>
        </w:rPr>
        <w:t>or the purposes of this data collection exercis</w:t>
      </w:r>
      <w:r w:rsidR="005E7BEC">
        <w:rPr>
          <w:rFonts w:asciiTheme="minorHAnsi" w:eastAsia="Times New Roman" w:hAnsiTheme="minorHAnsi" w:cs="Calibri"/>
          <w:color w:val="000000"/>
          <w:kern w:val="0"/>
          <w:szCs w:val="22"/>
          <w:lang w:val="en-IE" w:eastAsia="en-IE"/>
        </w:rPr>
        <w:t>e</w:t>
      </w:r>
      <w:r w:rsidR="005E7BEC" w:rsidRPr="00135B9D">
        <w:rPr>
          <w:rFonts w:asciiTheme="minorHAnsi" w:eastAsia="Times New Roman" w:hAnsiTheme="minorHAnsi" w:cs="Calibri"/>
          <w:color w:val="000000"/>
          <w:kern w:val="0"/>
          <w:szCs w:val="22"/>
          <w:lang w:val="en-IE" w:eastAsia="en-IE"/>
        </w:rPr>
        <w:t xml:space="preserve"> a customer </w:t>
      </w:r>
      <w:r w:rsidR="009A1EFB">
        <w:rPr>
          <w:rFonts w:asciiTheme="minorHAnsi" w:eastAsia="Times New Roman" w:hAnsiTheme="minorHAnsi" w:cs="Calibri"/>
          <w:color w:val="000000"/>
          <w:kern w:val="0"/>
          <w:szCs w:val="22"/>
          <w:lang w:val="en-IE" w:eastAsia="en-IE"/>
        </w:rPr>
        <w:t xml:space="preserve">shall be treated </w:t>
      </w:r>
      <w:r w:rsidR="005E7BEC" w:rsidRPr="00135B9D">
        <w:rPr>
          <w:rFonts w:asciiTheme="minorHAnsi" w:eastAsia="Times New Roman" w:hAnsiTheme="minorHAnsi" w:cs="Calibri"/>
          <w:color w:val="000000"/>
          <w:kern w:val="0"/>
          <w:szCs w:val="22"/>
          <w:lang w:val="en-IE" w:eastAsia="en-IE"/>
        </w:rPr>
        <w:t xml:space="preserve">as having or forming part of a complex structure where there are three or more layers between the customer and the beneficial owner and in addition, more than one of the following conditions is met: </w:t>
      </w:r>
    </w:p>
    <w:p w14:paraId="4B00948F" w14:textId="77777777" w:rsidR="005E7BEC" w:rsidRPr="00135B9D" w:rsidRDefault="005E7BEC" w:rsidP="00135B9D">
      <w:pPr>
        <w:pStyle w:val="ListParagraph"/>
        <w:numPr>
          <w:ilvl w:val="0"/>
          <w:numId w:val="133"/>
        </w:numPr>
        <w:spacing w:after="80"/>
        <w:ind w:left="499" w:hanging="357"/>
        <w:contextualSpacing w:val="0"/>
        <w:jc w:val="both"/>
        <w:rPr>
          <w:rFonts w:asciiTheme="minorHAnsi" w:eastAsia="Times New Roman" w:hAnsiTheme="minorHAnsi" w:cs="Calibri"/>
          <w:color w:val="000000"/>
          <w:kern w:val="0"/>
          <w:szCs w:val="22"/>
          <w:lang w:val="en-IE" w:eastAsia="en-IE"/>
        </w:rPr>
      </w:pPr>
      <w:r w:rsidRPr="00135B9D">
        <w:rPr>
          <w:rFonts w:asciiTheme="minorHAnsi" w:eastAsia="Times New Roman" w:hAnsiTheme="minorHAnsi" w:cs="Calibri"/>
          <w:color w:val="000000"/>
          <w:kern w:val="0"/>
          <w:szCs w:val="22"/>
          <w:lang w:val="en-IE" w:eastAsia="en-IE"/>
        </w:rPr>
        <w:t>there is a legal arrangement</w:t>
      </w:r>
      <w:r w:rsidRPr="005E7BEC">
        <w:rPr>
          <w:szCs w:val="22"/>
        </w:rPr>
        <w:t xml:space="preserve"> </w:t>
      </w:r>
      <w:r w:rsidRPr="00135B9D">
        <w:rPr>
          <w:rFonts w:asciiTheme="minorHAnsi" w:eastAsia="Times New Roman" w:hAnsiTheme="minorHAnsi" w:cs="Calibri"/>
          <w:color w:val="000000"/>
          <w:kern w:val="0"/>
          <w:szCs w:val="22"/>
          <w:lang w:val="en-IE" w:eastAsia="en-IE"/>
        </w:rPr>
        <w:t xml:space="preserve">or a similar legal entity such as a foundation in any of the layers; </w:t>
      </w:r>
    </w:p>
    <w:p w14:paraId="70501AC6" w14:textId="77777777" w:rsidR="005E7BEC" w:rsidRPr="00135B9D" w:rsidRDefault="005E7BEC" w:rsidP="00135B9D">
      <w:pPr>
        <w:pStyle w:val="ListParagraph"/>
        <w:numPr>
          <w:ilvl w:val="0"/>
          <w:numId w:val="133"/>
        </w:numPr>
        <w:spacing w:after="80"/>
        <w:ind w:left="499" w:hanging="357"/>
        <w:contextualSpacing w:val="0"/>
        <w:jc w:val="both"/>
        <w:rPr>
          <w:rFonts w:asciiTheme="minorHAnsi" w:eastAsia="Times New Roman" w:hAnsiTheme="minorHAnsi" w:cs="Calibri"/>
          <w:color w:val="000000"/>
          <w:kern w:val="0"/>
          <w:szCs w:val="22"/>
          <w:lang w:val="en-IE" w:eastAsia="en-IE"/>
        </w:rPr>
      </w:pPr>
      <w:r w:rsidRPr="00135B9D">
        <w:rPr>
          <w:rFonts w:asciiTheme="minorHAnsi" w:eastAsia="Times New Roman" w:hAnsiTheme="minorHAnsi" w:cs="Calibri"/>
          <w:color w:val="000000"/>
          <w:kern w:val="0"/>
          <w:szCs w:val="22"/>
          <w:lang w:val="en-IE" w:eastAsia="en-IE"/>
        </w:rPr>
        <w:t xml:space="preserve">the customer and any legal entities present at any of these layers are registered in jurisdictions outside the EU; </w:t>
      </w:r>
    </w:p>
    <w:p w14:paraId="4C201331" w14:textId="77777777" w:rsidR="005E7BEC" w:rsidRPr="00135B9D" w:rsidRDefault="005E7BEC" w:rsidP="00135B9D">
      <w:pPr>
        <w:pStyle w:val="ListParagraph"/>
        <w:numPr>
          <w:ilvl w:val="0"/>
          <w:numId w:val="133"/>
        </w:numPr>
        <w:spacing w:after="80"/>
        <w:ind w:left="499" w:hanging="357"/>
        <w:contextualSpacing w:val="0"/>
        <w:jc w:val="both"/>
        <w:rPr>
          <w:rFonts w:asciiTheme="minorHAnsi" w:eastAsia="Times New Roman" w:hAnsiTheme="minorHAnsi" w:cs="Calibri"/>
          <w:color w:val="000000"/>
          <w:kern w:val="0"/>
          <w:szCs w:val="22"/>
          <w:lang w:val="en-IE" w:eastAsia="en-IE"/>
        </w:rPr>
      </w:pPr>
      <w:r w:rsidRPr="00135B9D">
        <w:rPr>
          <w:rFonts w:asciiTheme="minorHAnsi" w:eastAsia="Times New Roman" w:hAnsiTheme="minorHAnsi" w:cs="Calibri"/>
          <w:color w:val="000000"/>
          <w:kern w:val="0"/>
          <w:szCs w:val="22"/>
          <w:lang w:val="en-IE" w:eastAsia="en-IE"/>
        </w:rPr>
        <w:t xml:space="preserve">there are nominee shareholders or nominee directors involved in the structure; or </w:t>
      </w:r>
    </w:p>
    <w:p w14:paraId="1283CB68" w14:textId="01E2ABE4" w:rsidR="005E7BEC" w:rsidRPr="00135B9D" w:rsidRDefault="005E7BEC" w:rsidP="00135B9D">
      <w:pPr>
        <w:pStyle w:val="ListParagraph"/>
        <w:numPr>
          <w:ilvl w:val="0"/>
          <w:numId w:val="133"/>
        </w:numPr>
        <w:spacing w:after="80"/>
        <w:ind w:left="499" w:hanging="357"/>
        <w:contextualSpacing w:val="0"/>
        <w:jc w:val="both"/>
        <w:rPr>
          <w:rFonts w:asciiTheme="minorHAnsi" w:eastAsia="Times New Roman" w:hAnsiTheme="minorHAnsi" w:cs="Calibri"/>
          <w:color w:val="000000"/>
          <w:kern w:val="0"/>
          <w:szCs w:val="22"/>
          <w:lang w:val="en-IE" w:eastAsia="en-IE"/>
        </w:rPr>
      </w:pPr>
      <w:r w:rsidRPr="00135B9D">
        <w:rPr>
          <w:rFonts w:asciiTheme="minorHAnsi" w:eastAsia="Times New Roman" w:hAnsiTheme="minorHAnsi" w:cs="Calibri"/>
          <w:color w:val="000000"/>
          <w:kern w:val="0"/>
          <w:szCs w:val="22"/>
          <w:lang w:val="en-IE" w:eastAsia="en-IE"/>
        </w:rPr>
        <w:t>the structure obfuscates or diminishes transparency of ownership with no legitimate economic rationale or justification.</w:t>
      </w:r>
      <w:r>
        <w:rPr>
          <w:rFonts w:asciiTheme="minorHAnsi" w:eastAsia="Times New Roman" w:hAnsiTheme="minorHAnsi" w:cs="Calibri"/>
          <w:color w:val="000000"/>
          <w:kern w:val="0"/>
          <w:szCs w:val="22"/>
          <w:lang w:val="en-IE" w:eastAsia="en-IE"/>
        </w:rPr>
        <w:t xml:space="preserve"> </w:t>
      </w:r>
    </w:p>
    <w:p w14:paraId="737E12C8" w14:textId="4FC4482F" w:rsidR="005E7BEC" w:rsidRPr="00135B9D" w:rsidRDefault="005E7BEC" w:rsidP="00135B9D">
      <w:pPr>
        <w:jc w:val="both"/>
        <w:rPr>
          <w:rFonts w:asciiTheme="minorHAnsi" w:eastAsia="Times New Roman" w:hAnsiTheme="minorHAnsi" w:cs="Calibri"/>
          <w:color w:val="000000"/>
          <w:kern w:val="0"/>
          <w:szCs w:val="22"/>
          <w:lang w:val="en-IE" w:eastAsia="en-IE"/>
        </w:rPr>
      </w:pPr>
      <w:r w:rsidRPr="00135B9D">
        <w:rPr>
          <w:rFonts w:asciiTheme="minorHAnsi" w:eastAsia="Times New Roman" w:hAnsiTheme="minorHAnsi" w:cs="Calibri"/>
          <w:color w:val="000000"/>
          <w:kern w:val="0"/>
          <w:szCs w:val="22"/>
          <w:lang w:val="en-IE" w:eastAsia="en-IE"/>
        </w:rPr>
        <w:t xml:space="preserve">For the purposes of point (a), and in accordance with Article 2(1)(32) </w:t>
      </w:r>
      <w:r w:rsidR="00632313">
        <w:rPr>
          <w:rFonts w:asciiTheme="minorHAnsi" w:eastAsia="Times New Roman" w:hAnsiTheme="minorHAnsi" w:cs="Calibri"/>
          <w:color w:val="000000"/>
          <w:kern w:val="0"/>
          <w:szCs w:val="22"/>
          <w:lang w:val="en-IE" w:eastAsia="en-IE"/>
        </w:rPr>
        <w:t>AMLR</w:t>
      </w:r>
      <w:r w:rsidRPr="00135B9D">
        <w:rPr>
          <w:rFonts w:asciiTheme="minorHAnsi" w:eastAsia="Times New Roman" w:hAnsiTheme="minorHAnsi" w:cs="Calibri"/>
          <w:color w:val="000000"/>
          <w:kern w:val="0"/>
          <w:szCs w:val="22"/>
          <w:lang w:val="en-IE" w:eastAsia="en-IE"/>
        </w:rPr>
        <w:t>, ‘legal arrangement’ means an express trust or an arrangement which has a similar structure or function to an express trust, including fiducie and certain types of Treuhand and fideicomiso.</w:t>
      </w:r>
    </w:p>
    <w:p w14:paraId="24E8A708" w14:textId="663D3F5C" w:rsidR="009F787C" w:rsidRPr="00135B9D" w:rsidRDefault="005E7BEC" w:rsidP="00135B9D">
      <w:pPr>
        <w:jc w:val="both"/>
        <w:rPr>
          <w:rFonts w:eastAsia="Times New Roman" w:cs="Calibri"/>
          <w:color w:val="000000"/>
          <w:szCs w:val="22"/>
          <w:lang w:val="en-IE" w:eastAsia="en-IE"/>
        </w:rPr>
      </w:pPr>
      <w:r w:rsidRPr="00135B9D">
        <w:rPr>
          <w:rFonts w:asciiTheme="minorHAnsi" w:eastAsia="Times New Roman" w:hAnsiTheme="minorHAnsi" w:cs="Calibri"/>
          <w:color w:val="000000"/>
          <w:kern w:val="0"/>
          <w:szCs w:val="22"/>
          <w:lang w:val="en-IE" w:eastAsia="en-IE"/>
        </w:rPr>
        <w:t>For the purposes of point (c), ‘nominee shareholder’ and ‘nominee director’ should be understood as persons acting as shareholder or director on behalf of, and under instructions from, another natural person or legal entity, under a nominee arrangement, whether formal or informal. A ‘formal nominee arrangement’ should be intended as a contract or an equivalent arrangement, between a nominator and a nominee, as defined under Article 53(4)(c) AMLR.</w:t>
      </w:r>
    </w:p>
    <w:p w14:paraId="57E97BC2" w14:textId="38121B60" w:rsidR="000461C4" w:rsidRPr="006436F4" w:rsidRDefault="000461C4" w:rsidP="002029F4">
      <w:pPr>
        <w:pStyle w:val="body"/>
        <w:rPr>
          <w:lang w:val="en-GB"/>
        </w:rPr>
      </w:pPr>
      <w:r w:rsidRPr="006436F4">
        <w:rPr>
          <w:b/>
          <w:bCs/>
          <w:i/>
          <w:iCs/>
          <w:lang w:val="en-GB"/>
        </w:rPr>
        <w:t>‘Customer’</w:t>
      </w:r>
      <w:r>
        <w:rPr>
          <w:lang w:val="en-GB"/>
        </w:rPr>
        <w:t xml:space="preserve"> means</w:t>
      </w:r>
      <w:r w:rsidRPr="009B282E">
        <w:rPr>
          <w:lang w:val="en-GB"/>
        </w:rPr>
        <w:t xml:space="preserve"> </w:t>
      </w:r>
      <w:r>
        <w:rPr>
          <w:lang w:val="en-GB"/>
        </w:rPr>
        <w:t xml:space="preserve">a </w:t>
      </w:r>
      <w:r w:rsidRPr="009B282E">
        <w:t xml:space="preserve">natural or legal person who maintains a business relationship with a financial institution pursuant to </w:t>
      </w:r>
      <w:r w:rsidR="00632313">
        <w:t>AMLR</w:t>
      </w:r>
      <w:r w:rsidRPr="009B282E">
        <w:t>. It also includes the persons referred to in Article 19(6) of that Regulation</w:t>
      </w:r>
      <w:r>
        <w:t xml:space="preserve">. </w:t>
      </w:r>
    </w:p>
    <w:p w14:paraId="333DAD99" w14:textId="77777777" w:rsidR="000461C4" w:rsidRPr="009B282E" w:rsidRDefault="000461C4" w:rsidP="002029F4">
      <w:pPr>
        <w:pStyle w:val="body"/>
        <w:rPr>
          <w:lang w:val="en-GB"/>
        </w:rPr>
      </w:pPr>
      <w:r w:rsidRPr="006436F4">
        <w:rPr>
          <w:u w:val="single"/>
          <w:lang w:val="en-GB"/>
        </w:rPr>
        <w:t>For LI</w:t>
      </w:r>
      <w:r w:rsidRPr="009B282E">
        <w:rPr>
          <w:lang w:val="en-GB"/>
        </w:rPr>
        <w:t>: ‘Customer’ should refer to the policyholder (natural or legal person)</w:t>
      </w:r>
      <w:r>
        <w:rPr>
          <w:lang w:val="en-GB"/>
        </w:rPr>
        <w:t>.</w:t>
      </w:r>
    </w:p>
    <w:p w14:paraId="6039A48A" w14:textId="77777777" w:rsidR="000461C4" w:rsidRPr="00E80B97" w:rsidRDefault="000461C4" w:rsidP="00F82C42">
      <w:pPr>
        <w:rPr>
          <w:lang w:val="en-GB"/>
        </w:rPr>
      </w:pPr>
      <w:r w:rsidRPr="00F82C42">
        <w:rPr>
          <w:rFonts w:asciiTheme="minorHAnsi" w:hAnsiTheme="minorHAnsi"/>
          <w:u w:val="single"/>
          <w:lang w:val="en-GB"/>
        </w:rPr>
        <w:t>For AMC</w:t>
      </w:r>
      <w:r w:rsidRPr="00617CE0">
        <w:rPr>
          <w:lang w:val="en-GB"/>
        </w:rPr>
        <w:t xml:space="preserve">: </w:t>
      </w:r>
      <w:r w:rsidRPr="00A918FD">
        <w:rPr>
          <w:rFonts w:asciiTheme="minorHAnsi" w:eastAsiaTheme="minorEastAsia" w:hAnsiTheme="minorHAnsi" w:cstheme="minorBidi"/>
          <w:color w:val="auto"/>
          <w:kern w:val="0"/>
          <w:szCs w:val="24"/>
          <w:lang w:val="en-GB" w:eastAsia="en-US"/>
        </w:rPr>
        <w:t>Customer should refer to the person mentioned in the shares/units register of the Collective Investments Undertaking (CIU) for which the Asset Management Company is designated AIFM or UCITS Management Company. If a customer has multiple positions (lines in the shares/units of the CIU), please count it only once per CIU.</w:t>
      </w:r>
    </w:p>
    <w:p w14:paraId="1E6A39CC" w14:textId="77777777" w:rsidR="000461C4" w:rsidRPr="007D7DEB" w:rsidRDefault="000461C4" w:rsidP="002029F4">
      <w:pPr>
        <w:pStyle w:val="body"/>
        <w:rPr>
          <w:lang w:val="en-GB"/>
        </w:rPr>
      </w:pPr>
      <w:r>
        <w:rPr>
          <w:lang w:val="en-GB"/>
        </w:rPr>
        <w:t>As a general rule</w:t>
      </w:r>
      <w:r w:rsidRPr="007D7DEB">
        <w:rPr>
          <w:lang w:val="en-GB"/>
        </w:rPr>
        <w:t>,</w:t>
      </w:r>
      <w:r>
        <w:rPr>
          <w:lang w:val="en-GB"/>
        </w:rPr>
        <w:t xml:space="preserve"> and</w:t>
      </w:r>
      <w:r w:rsidRPr="007D7DEB">
        <w:rPr>
          <w:lang w:val="en-GB"/>
        </w:rPr>
        <w:t xml:space="preserve"> unless specified otherwise:</w:t>
      </w:r>
    </w:p>
    <w:p w14:paraId="7B782D0E" w14:textId="2DBB3433" w:rsidR="00E255E6" w:rsidRPr="00F82C42" w:rsidRDefault="000461C4" w:rsidP="00F82C42">
      <w:pPr>
        <w:pStyle w:val="ListParagraph"/>
        <w:numPr>
          <w:ilvl w:val="0"/>
          <w:numId w:val="77"/>
        </w:numPr>
        <w:spacing w:before="0" w:line="240" w:lineRule="auto"/>
        <w:rPr>
          <w:rFonts w:asciiTheme="minorHAnsi" w:eastAsiaTheme="minorEastAsia" w:hAnsiTheme="minorHAnsi"/>
          <w:kern w:val="0"/>
          <w:szCs w:val="24"/>
          <w:lang w:val="en-GB"/>
        </w:rPr>
      </w:pPr>
      <w:r w:rsidRPr="00F82C42">
        <w:rPr>
          <w:rFonts w:asciiTheme="minorHAnsi" w:eastAsiaTheme="minorEastAsia" w:hAnsiTheme="minorHAnsi"/>
          <w:kern w:val="0"/>
          <w:szCs w:val="24"/>
          <w:lang w:val="en-GB"/>
        </w:rPr>
        <w:t>all customers should be included (active and non-active, including those holding dormant accounts)</w:t>
      </w:r>
    </w:p>
    <w:p w14:paraId="3B0AF8DD" w14:textId="79887CE0" w:rsidR="000461C4" w:rsidRPr="00F82C42" w:rsidRDefault="000461C4" w:rsidP="00F82C42">
      <w:pPr>
        <w:pStyle w:val="ListParagraph"/>
        <w:numPr>
          <w:ilvl w:val="0"/>
          <w:numId w:val="77"/>
        </w:numPr>
        <w:spacing w:before="0" w:line="240" w:lineRule="auto"/>
        <w:rPr>
          <w:rFonts w:asciiTheme="minorHAnsi" w:eastAsiaTheme="minorEastAsia" w:hAnsiTheme="minorHAnsi"/>
          <w:kern w:val="0"/>
          <w:szCs w:val="24"/>
          <w:lang w:val="en-GB"/>
        </w:rPr>
      </w:pPr>
      <w:r w:rsidRPr="00F82C42">
        <w:rPr>
          <w:rFonts w:asciiTheme="minorHAnsi" w:eastAsiaTheme="minorEastAsia" w:hAnsiTheme="minorHAnsi"/>
          <w:kern w:val="0"/>
          <w:szCs w:val="24"/>
          <w:lang w:val="en-GB"/>
        </w:rPr>
        <w:t>customers within one obliged entity with more than one product or service should be counted only once (no double counting of customers per obliged entity)</w:t>
      </w:r>
    </w:p>
    <w:p w14:paraId="2EFA003E" w14:textId="77777777" w:rsidR="000461C4" w:rsidRPr="00F82C42" w:rsidRDefault="000461C4" w:rsidP="00F82C42">
      <w:pPr>
        <w:pStyle w:val="ListParagraph"/>
        <w:numPr>
          <w:ilvl w:val="0"/>
          <w:numId w:val="77"/>
        </w:numPr>
        <w:spacing w:before="0" w:line="240" w:lineRule="auto"/>
        <w:rPr>
          <w:rFonts w:asciiTheme="minorHAnsi" w:eastAsiaTheme="minorEastAsia" w:hAnsiTheme="minorHAnsi"/>
          <w:kern w:val="0"/>
          <w:szCs w:val="24"/>
          <w:lang w:val="en-GB"/>
        </w:rPr>
      </w:pPr>
      <w:r w:rsidRPr="00F82C42">
        <w:rPr>
          <w:rFonts w:asciiTheme="minorHAnsi" w:eastAsiaTheme="minorEastAsia" w:hAnsiTheme="minorHAnsi"/>
          <w:kern w:val="0"/>
          <w:szCs w:val="24"/>
          <w:lang w:val="en-GB"/>
        </w:rPr>
        <w:t>for joint accounts, each holder is regarded as a single customer.</w:t>
      </w:r>
    </w:p>
    <w:p w14:paraId="32C46DA3" w14:textId="77777777" w:rsidR="002B6A51" w:rsidRDefault="002B6A51" w:rsidP="002B6A51">
      <w:pPr>
        <w:spacing w:before="0" w:after="0" w:line="240" w:lineRule="auto"/>
        <w:jc w:val="both"/>
        <w:rPr>
          <w:rFonts w:asciiTheme="minorHAnsi" w:eastAsia="Times New Roman" w:hAnsiTheme="minorHAnsi"/>
          <w:color w:val="000000"/>
          <w:kern w:val="0"/>
          <w:szCs w:val="22"/>
          <w:lang w:eastAsia="en-IE"/>
        </w:rPr>
      </w:pPr>
    </w:p>
    <w:p w14:paraId="20544EF6" w14:textId="16410EFD" w:rsidR="002B6A51" w:rsidRPr="002B6A51" w:rsidRDefault="002B6A51" w:rsidP="002B6A51">
      <w:pPr>
        <w:spacing w:before="0" w:after="0" w:line="240" w:lineRule="auto"/>
        <w:jc w:val="both"/>
        <w:rPr>
          <w:rFonts w:asciiTheme="minorHAnsi" w:eastAsia="Times New Roman" w:hAnsiTheme="minorHAnsi"/>
          <w:color w:val="000000"/>
          <w:kern w:val="0"/>
          <w:szCs w:val="22"/>
          <w:lang w:eastAsia="en-IE"/>
        </w:rPr>
      </w:pPr>
      <w:r w:rsidRPr="00797956">
        <w:rPr>
          <w:rFonts w:asciiTheme="minorHAnsi" w:eastAsia="Times New Roman" w:hAnsiTheme="minorHAnsi"/>
          <w:color w:val="000000"/>
          <w:kern w:val="0"/>
          <w:szCs w:val="22"/>
          <w:lang w:eastAsia="en-IE"/>
        </w:rPr>
        <w:t>‘</w:t>
      </w:r>
      <w:r>
        <w:rPr>
          <w:rFonts w:asciiTheme="minorHAnsi" w:eastAsia="Times New Roman" w:hAnsiTheme="minorHAnsi"/>
          <w:b/>
          <w:bCs/>
          <w:i/>
          <w:iCs/>
          <w:color w:val="000000"/>
          <w:kern w:val="0"/>
          <w:szCs w:val="22"/>
          <w:lang w:eastAsia="en-IE"/>
        </w:rPr>
        <w:t>G</w:t>
      </w:r>
      <w:r w:rsidRPr="00F82C42">
        <w:rPr>
          <w:rFonts w:asciiTheme="minorHAnsi" w:eastAsia="Times New Roman" w:hAnsiTheme="minorHAnsi"/>
          <w:b/>
          <w:i/>
          <w:color w:val="000000"/>
          <w:kern w:val="0"/>
          <w:szCs w:val="22"/>
          <w:lang w:eastAsia="en-IE"/>
        </w:rPr>
        <w:t>roup’</w:t>
      </w:r>
      <w:r w:rsidRPr="00797956">
        <w:rPr>
          <w:rFonts w:asciiTheme="minorHAnsi" w:eastAsia="Times New Roman" w:hAnsiTheme="minorHAnsi"/>
          <w:color w:val="000000"/>
          <w:kern w:val="0"/>
          <w:szCs w:val="22"/>
          <w:lang w:eastAsia="en-IE"/>
        </w:rPr>
        <w:t xml:space="preserve"> </w:t>
      </w:r>
      <w:r>
        <w:rPr>
          <w:rFonts w:asciiTheme="minorHAnsi" w:eastAsia="Times New Roman" w:hAnsiTheme="minorHAnsi"/>
          <w:color w:val="000000"/>
          <w:kern w:val="0"/>
          <w:szCs w:val="22"/>
          <w:lang w:eastAsia="en-IE"/>
        </w:rPr>
        <w:t xml:space="preserve">(cf. </w:t>
      </w:r>
      <w:r>
        <w:rPr>
          <w:rFonts w:asciiTheme="minorHAnsi" w:eastAsia="Times New Roman" w:hAnsiTheme="minorHAnsi"/>
          <w:color w:val="000000"/>
          <w:kern w:val="0"/>
          <w:szCs w:val="22"/>
          <w:lang w:val="en-IE" w:eastAsia="en-IE"/>
        </w:rPr>
        <w:t xml:space="preserve">Article 2(1)(41) AMLR) </w:t>
      </w:r>
      <w:r w:rsidRPr="00797956">
        <w:rPr>
          <w:rFonts w:asciiTheme="minorHAnsi" w:eastAsia="Times New Roman" w:hAnsiTheme="minorHAnsi"/>
          <w:color w:val="000000"/>
          <w:kern w:val="0"/>
          <w:szCs w:val="22"/>
          <w:lang w:eastAsia="en-IE"/>
        </w:rPr>
        <w:t>means a group of undertakings which consists of a parent undertaking, its subsidiaries, as well as undertakings linked to each other by a relationship within the meaning of Article 22 of Directive 2013/34/EU</w:t>
      </w:r>
      <w:r>
        <w:rPr>
          <w:rFonts w:asciiTheme="minorHAnsi" w:eastAsia="Times New Roman" w:hAnsiTheme="minorHAnsi"/>
          <w:color w:val="000000"/>
          <w:kern w:val="0"/>
          <w:szCs w:val="22"/>
          <w:lang w:eastAsia="en-IE"/>
        </w:rPr>
        <w:t xml:space="preserve"> </w:t>
      </w:r>
    </w:p>
    <w:p w14:paraId="7E6C9C5F" w14:textId="0B38D0C3" w:rsidR="00786A38" w:rsidRPr="002B6A51" w:rsidRDefault="00786A38" w:rsidP="00786A38">
      <w:pPr>
        <w:rPr>
          <w:rFonts w:asciiTheme="minorHAnsi" w:eastAsiaTheme="minorEastAsia" w:hAnsiTheme="minorHAnsi"/>
          <w:kern w:val="0"/>
          <w:szCs w:val="24"/>
          <w:lang w:val="en-GB"/>
        </w:rPr>
      </w:pPr>
    </w:p>
    <w:p w14:paraId="279233DA" w14:textId="4372ACD5" w:rsidR="00786A38" w:rsidRPr="001F4285" w:rsidRDefault="00786A38" w:rsidP="00786A38">
      <w:pPr>
        <w:rPr>
          <w:rFonts w:asciiTheme="minorHAnsi" w:eastAsiaTheme="minorEastAsia" w:hAnsiTheme="minorHAnsi" w:cstheme="minorBidi"/>
          <w:color w:val="auto"/>
          <w:kern w:val="0"/>
          <w:szCs w:val="24"/>
          <w:lang w:val="en-GB" w:eastAsia="en-US"/>
        </w:rPr>
      </w:pPr>
      <w:r w:rsidRPr="001F4285">
        <w:rPr>
          <w:rFonts w:asciiTheme="minorHAnsi" w:hAnsiTheme="minorHAnsi"/>
          <w:lang w:val="en-GB"/>
        </w:rPr>
        <w:t>A</w:t>
      </w:r>
      <w:r>
        <w:rPr>
          <w:rFonts w:asciiTheme="minorHAnsi" w:hAnsiTheme="minorHAnsi"/>
          <w:b/>
          <w:bCs/>
          <w:i/>
          <w:iCs/>
          <w:lang w:val="en-GB"/>
        </w:rPr>
        <w:t xml:space="preserve"> ‘</w:t>
      </w:r>
      <w:r w:rsidRPr="001F4285">
        <w:rPr>
          <w:rFonts w:asciiTheme="minorHAnsi" w:hAnsiTheme="minorHAnsi"/>
          <w:b/>
          <w:bCs/>
          <w:i/>
          <w:iCs/>
          <w:lang w:val="en-GB"/>
        </w:rPr>
        <w:t>Legal entity</w:t>
      </w:r>
      <w:r>
        <w:rPr>
          <w:rFonts w:asciiTheme="minorHAnsi" w:hAnsiTheme="minorHAnsi"/>
          <w:b/>
          <w:bCs/>
          <w:i/>
          <w:iCs/>
          <w:lang w:val="en-GB"/>
        </w:rPr>
        <w:t xml:space="preserve">’ </w:t>
      </w:r>
      <w:r w:rsidRPr="00F82C42">
        <w:rPr>
          <w:rFonts w:asciiTheme="minorHAnsi" w:eastAsiaTheme="minorEastAsia" w:hAnsiTheme="minorHAnsi" w:cstheme="minorBidi"/>
          <w:color w:val="auto"/>
          <w:kern w:val="0"/>
          <w:szCs w:val="24"/>
          <w:lang w:val="en-GB" w:eastAsia="en-US"/>
        </w:rPr>
        <w:t>customer</w:t>
      </w:r>
      <w:r w:rsidRPr="001F4285">
        <w:rPr>
          <w:rFonts w:asciiTheme="minorHAnsi" w:eastAsiaTheme="minorEastAsia" w:hAnsiTheme="minorHAnsi" w:cstheme="minorBidi"/>
          <w:color w:val="auto"/>
          <w:kern w:val="0"/>
          <w:szCs w:val="24"/>
          <w:lang w:val="en-GB" w:eastAsia="en-US"/>
        </w:rPr>
        <w:t xml:space="preserve"> is an entity that has legal personality, granting it legal rights and obligations, for example the ability to enter into contracts. These also includes companies.</w:t>
      </w:r>
    </w:p>
    <w:p w14:paraId="2EDBFCE6" w14:textId="77777777" w:rsidR="00786A38" w:rsidRDefault="00786A38" w:rsidP="00786A38">
      <w:pPr>
        <w:rPr>
          <w:rFonts w:asciiTheme="minorHAnsi" w:eastAsiaTheme="minorEastAsia" w:hAnsiTheme="minorHAnsi" w:cstheme="minorBidi"/>
          <w:color w:val="auto"/>
          <w:kern w:val="0"/>
          <w:szCs w:val="24"/>
          <w:lang w:val="en-GB" w:eastAsia="en-US"/>
        </w:rPr>
      </w:pPr>
      <w:r w:rsidRPr="001F4285">
        <w:rPr>
          <w:rFonts w:asciiTheme="minorHAnsi" w:eastAsiaTheme="minorEastAsia" w:hAnsiTheme="minorHAnsi" w:cstheme="minorBidi"/>
          <w:color w:val="auto"/>
          <w:kern w:val="0"/>
          <w:szCs w:val="24"/>
          <w:lang w:val="en-GB" w:eastAsia="en-US"/>
        </w:rPr>
        <w:t xml:space="preserve">Legal entities in the same corporate group and connected legal entities (constructed relationships) should be counted separately. </w:t>
      </w:r>
    </w:p>
    <w:p w14:paraId="704C5094" w14:textId="77777777" w:rsidR="002B6A51" w:rsidRDefault="002B6A51" w:rsidP="00786A38">
      <w:pPr>
        <w:rPr>
          <w:rFonts w:asciiTheme="minorHAnsi" w:eastAsiaTheme="minorEastAsia" w:hAnsiTheme="minorHAnsi" w:cstheme="minorBidi"/>
          <w:color w:val="auto"/>
          <w:kern w:val="0"/>
          <w:szCs w:val="24"/>
          <w:lang w:val="en-GB" w:eastAsia="en-US"/>
        </w:rPr>
      </w:pPr>
    </w:p>
    <w:p w14:paraId="226295A5" w14:textId="58E8B8EE" w:rsidR="002B6A51" w:rsidRDefault="002B6A51" w:rsidP="002B6A51">
      <w:pPr>
        <w:spacing w:before="0" w:after="0" w:line="240" w:lineRule="auto"/>
        <w:jc w:val="both"/>
        <w:rPr>
          <w:rFonts w:asciiTheme="minorHAnsi" w:eastAsia="Times New Roman" w:hAnsiTheme="minorHAnsi"/>
          <w:color w:val="000000"/>
          <w:kern w:val="0"/>
          <w:szCs w:val="22"/>
          <w:lang w:eastAsia="en-IE"/>
        </w:rPr>
      </w:pPr>
      <w:r>
        <w:rPr>
          <w:rFonts w:asciiTheme="minorHAnsi" w:eastAsia="Times New Roman" w:hAnsiTheme="minorHAnsi"/>
          <w:color w:val="000000"/>
          <w:kern w:val="0"/>
          <w:szCs w:val="22"/>
          <w:lang w:eastAsia="en-IE"/>
        </w:rPr>
        <w:t>‘</w:t>
      </w:r>
      <w:r>
        <w:rPr>
          <w:rFonts w:asciiTheme="minorHAnsi" w:eastAsia="Times New Roman" w:hAnsiTheme="minorHAnsi"/>
          <w:b/>
          <w:bCs/>
          <w:i/>
          <w:iCs/>
          <w:color w:val="000000"/>
          <w:kern w:val="0"/>
          <w:szCs w:val="22"/>
          <w:lang w:eastAsia="en-IE"/>
        </w:rPr>
        <w:t>P</w:t>
      </w:r>
      <w:r w:rsidRPr="00F82C42">
        <w:rPr>
          <w:rFonts w:asciiTheme="minorHAnsi" w:eastAsia="Times New Roman" w:hAnsiTheme="minorHAnsi"/>
          <w:b/>
          <w:i/>
          <w:color w:val="000000"/>
          <w:kern w:val="0"/>
          <w:szCs w:val="22"/>
          <w:lang w:eastAsia="en-IE"/>
        </w:rPr>
        <w:t>arent undertaking’</w:t>
      </w:r>
      <w:r w:rsidRPr="008C383E">
        <w:rPr>
          <w:rFonts w:asciiTheme="minorHAnsi" w:eastAsia="Times New Roman" w:hAnsiTheme="minorHAnsi"/>
          <w:color w:val="000000"/>
          <w:kern w:val="0"/>
          <w:szCs w:val="22"/>
          <w:lang w:eastAsia="en-IE"/>
        </w:rPr>
        <w:t xml:space="preserve"> </w:t>
      </w:r>
      <w:r>
        <w:rPr>
          <w:rFonts w:asciiTheme="minorHAnsi" w:eastAsia="Times New Roman" w:hAnsiTheme="minorHAnsi"/>
          <w:color w:val="000000"/>
          <w:kern w:val="0"/>
          <w:szCs w:val="22"/>
          <w:lang w:eastAsia="en-IE"/>
        </w:rPr>
        <w:t xml:space="preserve">(cf. </w:t>
      </w:r>
      <w:r>
        <w:rPr>
          <w:rFonts w:asciiTheme="minorHAnsi" w:eastAsia="Times New Roman" w:hAnsiTheme="minorHAnsi"/>
          <w:color w:val="000000"/>
          <w:kern w:val="0"/>
          <w:szCs w:val="22"/>
          <w:lang w:val="en-IE" w:eastAsia="en-IE"/>
        </w:rPr>
        <w:t xml:space="preserve">Article 2(1)(42) AMLR) </w:t>
      </w:r>
      <w:r w:rsidRPr="008C383E">
        <w:rPr>
          <w:rFonts w:asciiTheme="minorHAnsi" w:eastAsia="Times New Roman" w:hAnsiTheme="minorHAnsi"/>
          <w:color w:val="000000"/>
          <w:kern w:val="0"/>
          <w:szCs w:val="22"/>
          <w:lang w:eastAsia="en-IE"/>
        </w:rPr>
        <w:t xml:space="preserve">means: </w:t>
      </w:r>
    </w:p>
    <w:p w14:paraId="3B13A8B8" w14:textId="77777777" w:rsidR="002B6A51" w:rsidRPr="007E0B7E" w:rsidRDefault="002B6A51" w:rsidP="002B6A51">
      <w:pPr>
        <w:pStyle w:val="ListParagraph"/>
        <w:numPr>
          <w:ilvl w:val="1"/>
          <w:numId w:val="129"/>
        </w:numPr>
        <w:spacing w:before="0" w:after="0" w:line="240" w:lineRule="auto"/>
        <w:ind w:left="720"/>
        <w:jc w:val="both"/>
        <w:rPr>
          <w:rFonts w:asciiTheme="minorHAnsi" w:eastAsia="Times New Roman" w:hAnsiTheme="minorHAnsi"/>
          <w:color w:val="000000"/>
          <w:kern w:val="0"/>
          <w:szCs w:val="22"/>
          <w:lang w:eastAsia="en-IE"/>
        </w:rPr>
      </w:pPr>
      <w:r w:rsidRPr="007E0B7E">
        <w:rPr>
          <w:rFonts w:asciiTheme="minorHAnsi" w:eastAsia="Times New Roman" w:hAnsiTheme="minorHAnsi"/>
          <w:color w:val="000000"/>
          <w:kern w:val="0"/>
          <w:szCs w:val="22"/>
          <w:lang w:eastAsia="en-IE"/>
        </w:rPr>
        <w:t xml:space="preserve">for groups whose head office is located in the Union, an obliged entity that is a parent undertaking as defined in Article 2, point (9), of Directive 2013/34/EU that is not itself a subsidiary of another undertaking in the Union, provided that at least one subsidiary undertaking is an obliged entity; </w:t>
      </w:r>
    </w:p>
    <w:p w14:paraId="7C3C6325" w14:textId="77777777" w:rsidR="002B6A51" w:rsidRDefault="002B6A51" w:rsidP="002B6A51">
      <w:pPr>
        <w:spacing w:before="0" w:after="0" w:line="240" w:lineRule="auto"/>
        <w:ind w:left="360"/>
        <w:jc w:val="both"/>
        <w:rPr>
          <w:rFonts w:asciiTheme="minorHAnsi" w:eastAsia="Times New Roman" w:hAnsiTheme="minorHAnsi"/>
          <w:color w:val="000000"/>
          <w:kern w:val="0"/>
          <w:szCs w:val="22"/>
          <w:lang w:eastAsia="en-IE"/>
        </w:rPr>
      </w:pPr>
    </w:p>
    <w:p w14:paraId="33B48D82" w14:textId="77777777" w:rsidR="002B6A51" w:rsidRPr="007E0B7E" w:rsidRDefault="002B6A51" w:rsidP="002B6A51">
      <w:pPr>
        <w:pStyle w:val="ListParagraph"/>
        <w:numPr>
          <w:ilvl w:val="1"/>
          <w:numId w:val="129"/>
        </w:numPr>
        <w:spacing w:before="0" w:after="0" w:line="240" w:lineRule="auto"/>
        <w:ind w:left="720"/>
        <w:jc w:val="both"/>
        <w:rPr>
          <w:rFonts w:asciiTheme="minorHAnsi" w:eastAsia="Times New Roman" w:hAnsiTheme="minorHAnsi"/>
          <w:color w:val="000000"/>
          <w:kern w:val="0"/>
          <w:szCs w:val="22"/>
          <w:lang w:eastAsia="en-IE"/>
        </w:rPr>
      </w:pPr>
      <w:r w:rsidRPr="007E0B7E">
        <w:rPr>
          <w:rFonts w:asciiTheme="minorHAnsi" w:eastAsia="Times New Roman" w:hAnsiTheme="minorHAnsi"/>
          <w:color w:val="000000"/>
          <w:kern w:val="0"/>
          <w:szCs w:val="22"/>
          <w:lang w:eastAsia="en-IE"/>
        </w:rPr>
        <w:t xml:space="preserve">for groups whose head office is located outside of the Union, where at least two subsidiary undertakings are obliged entities established in the Union, an undertaking within that group established in the Union that: </w:t>
      </w:r>
    </w:p>
    <w:p w14:paraId="30A592DD" w14:textId="77777777" w:rsidR="002B6A51" w:rsidRDefault="002B6A51" w:rsidP="002B6A51">
      <w:pPr>
        <w:spacing w:before="0" w:after="0" w:line="240" w:lineRule="auto"/>
        <w:ind w:left="720"/>
        <w:jc w:val="both"/>
        <w:rPr>
          <w:rFonts w:asciiTheme="minorHAnsi" w:eastAsia="Times New Roman" w:hAnsiTheme="minorHAnsi"/>
          <w:color w:val="000000"/>
          <w:kern w:val="0"/>
          <w:szCs w:val="22"/>
          <w:lang w:eastAsia="en-IE"/>
        </w:rPr>
      </w:pPr>
    </w:p>
    <w:p w14:paraId="5AFFEB92" w14:textId="77777777" w:rsidR="002B6A51" w:rsidRPr="007E0B7E" w:rsidRDefault="002B6A51" w:rsidP="002B6A51">
      <w:pPr>
        <w:pStyle w:val="ListParagraph"/>
        <w:numPr>
          <w:ilvl w:val="0"/>
          <w:numId w:val="130"/>
        </w:numPr>
        <w:spacing w:before="0" w:after="0" w:line="240" w:lineRule="auto"/>
        <w:jc w:val="both"/>
        <w:rPr>
          <w:rFonts w:asciiTheme="minorHAnsi" w:eastAsia="Times New Roman" w:hAnsiTheme="minorHAnsi"/>
          <w:color w:val="000000"/>
          <w:kern w:val="0"/>
          <w:szCs w:val="22"/>
          <w:lang w:eastAsia="en-IE"/>
        </w:rPr>
      </w:pPr>
      <w:r w:rsidRPr="007E0B7E">
        <w:rPr>
          <w:rFonts w:asciiTheme="minorHAnsi" w:eastAsia="Times New Roman" w:hAnsiTheme="minorHAnsi"/>
          <w:color w:val="000000"/>
          <w:kern w:val="0"/>
          <w:szCs w:val="22"/>
          <w:lang w:eastAsia="en-IE"/>
        </w:rPr>
        <w:t xml:space="preserve">is an obliged entity; </w:t>
      </w:r>
    </w:p>
    <w:p w14:paraId="26FD1E3A" w14:textId="77777777" w:rsidR="002B6A51" w:rsidRPr="007E0B7E" w:rsidRDefault="002B6A51" w:rsidP="002B6A51">
      <w:pPr>
        <w:pStyle w:val="ListParagraph"/>
        <w:numPr>
          <w:ilvl w:val="0"/>
          <w:numId w:val="130"/>
        </w:numPr>
        <w:spacing w:before="0" w:after="0" w:line="240" w:lineRule="auto"/>
        <w:jc w:val="both"/>
        <w:rPr>
          <w:rFonts w:asciiTheme="minorHAnsi" w:eastAsia="Times New Roman" w:hAnsiTheme="minorHAnsi"/>
          <w:color w:val="000000"/>
          <w:kern w:val="0"/>
          <w:szCs w:val="22"/>
          <w:lang w:eastAsia="en-IE"/>
        </w:rPr>
      </w:pPr>
      <w:r w:rsidRPr="007E0B7E">
        <w:rPr>
          <w:rFonts w:asciiTheme="minorHAnsi" w:eastAsia="Times New Roman" w:hAnsiTheme="minorHAnsi"/>
          <w:color w:val="000000"/>
          <w:kern w:val="0"/>
          <w:szCs w:val="22"/>
          <w:lang w:eastAsia="en-IE"/>
        </w:rPr>
        <w:t xml:space="preserve">is an undertaking that is not a subsidiary of another undertaking that is an obliged entity established in the Union; </w:t>
      </w:r>
    </w:p>
    <w:p w14:paraId="577D56E8" w14:textId="77777777" w:rsidR="002B6A51" w:rsidRPr="007E0B7E" w:rsidRDefault="002B6A51" w:rsidP="002B6A51">
      <w:pPr>
        <w:pStyle w:val="ListParagraph"/>
        <w:numPr>
          <w:ilvl w:val="0"/>
          <w:numId w:val="130"/>
        </w:numPr>
        <w:spacing w:before="0" w:after="0" w:line="240" w:lineRule="auto"/>
        <w:jc w:val="both"/>
        <w:rPr>
          <w:rFonts w:asciiTheme="minorHAnsi" w:eastAsia="Times New Roman" w:hAnsiTheme="minorHAnsi"/>
          <w:color w:val="000000"/>
          <w:kern w:val="0"/>
          <w:szCs w:val="22"/>
          <w:lang w:eastAsia="en-IE"/>
        </w:rPr>
      </w:pPr>
      <w:r w:rsidRPr="007E0B7E">
        <w:rPr>
          <w:rFonts w:asciiTheme="minorHAnsi" w:eastAsia="Times New Roman" w:hAnsiTheme="minorHAnsi"/>
          <w:color w:val="000000"/>
          <w:kern w:val="0"/>
          <w:szCs w:val="22"/>
          <w:lang w:eastAsia="en-IE"/>
        </w:rPr>
        <w:t xml:space="preserve">has a sufficient prominence within the group and a sufficient understanding of the operations of the group that are subject to the requirements of this Regulation; and </w:t>
      </w:r>
    </w:p>
    <w:p w14:paraId="7E7BF930" w14:textId="77777777" w:rsidR="002B6A51" w:rsidRPr="007E0B7E" w:rsidRDefault="002B6A51" w:rsidP="002B6A51">
      <w:pPr>
        <w:pStyle w:val="ListParagraph"/>
        <w:numPr>
          <w:ilvl w:val="0"/>
          <w:numId w:val="130"/>
        </w:numPr>
        <w:spacing w:before="0" w:after="0" w:line="240" w:lineRule="auto"/>
        <w:jc w:val="both"/>
        <w:rPr>
          <w:rFonts w:asciiTheme="minorHAnsi" w:eastAsia="Times New Roman" w:hAnsiTheme="minorHAnsi"/>
          <w:color w:val="000000"/>
          <w:kern w:val="0"/>
          <w:szCs w:val="22"/>
          <w:lang w:eastAsia="en-IE"/>
        </w:rPr>
      </w:pPr>
      <w:r w:rsidRPr="007E0B7E">
        <w:rPr>
          <w:rFonts w:asciiTheme="minorHAnsi" w:eastAsia="Times New Roman" w:hAnsiTheme="minorHAnsi"/>
          <w:color w:val="000000"/>
          <w:kern w:val="0"/>
          <w:szCs w:val="22"/>
          <w:lang w:eastAsia="en-IE"/>
        </w:rPr>
        <w:t>is given the responsibility of implementing group-wide requirements under Chapter II, Section 2 of this Regulation;</w:t>
      </w:r>
    </w:p>
    <w:p w14:paraId="2D53ED93" w14:textId="77777777" w:rsidR="002B6A51" w:rsidRPr="002B6A51" w:rsidRDefault="002B6A51" w:rsidP="00786A38">
      <w:pPr>
        <w:rPr>
          <w:rFonts w:asciiTheme="minorHAnsi" w:eastAsiaTheme="minorEastAsia" w:hAnsiTheme="minorHAnsi" w:cstheme="minorBidi"/>
          <w:color w:val="auto"/>
          <w:kern w:val="0"/>
          <w:szCs w:val="24"/>
          <w:lang w:eastAsia="en-US"/>
        </w:rPr>
      </w:pPr>
    </w:p>
    <w:p w14:paraId="26F8AFBA" w14:textId="623453EB" w:rsidR="00925B8F" w:rsidRPr="00925B8F" w:rsidRDefault="00925B8F" w:rsidP="00135B9D">
      <w:pPr>
        <w:jc w:val="both"/>
        <w:rPr>
          <w:rFonts w:asciiTheme="minorHAnsi" w:eastAsiaTheme="minorEastAsia" w:hAnsiTheme="minorHAnsi" w:cstheme="minorBidi"/>
          <w:color w:val="auto"/>
          <w:kern w:val="0"/>
          <w:szCs w:val="24"/>
          <w:lang w:val="en-GB" w:eastAsia="en-US"/>
        </w:rPr>
      </w:pPr>
      <w:r w:rsidRPr="00925B8F">
        <w:rPr>
          <w:rFonts w:asciiTheme="minorHAnsi" w:eastAsiaTheme="minorEastAsia" w:hAnsiTheme="minorHAnsi" w:cstheme="minorBidi"/>
          <w:color w:val="auto"/>
          <w:kern w:val="0"/>
          <w:szCs w:val="24"/>
          <w:lang w:val="en-GB" w:eastAsia="en-US"/>
        </w:rPr>
        <w:t xml:space="preserve">A </w:t>
      </w:r>
      <w:r w:rsidR="00057772" w:rsidRPr="00135B9D">
        <w:rPr>
          <w:rFonts w:asciiTheme="minorHAnsi" w:eastAsiaTheme="minorEastAsia" w:hAnsiTheme="minorHAnsi" w:cstheme="minorBidi"/>
          <w:i/>
          <w:color w:val="auto"/>
          <w:kern w:val="0"/>
          <w:szCs w:val="24"/>
          <w:lang w:val="en-GB" w:eastAsia="en-US"/>
        </w:rPr>
        <w:t>‘</w:t>
      </w:r>
      <w:r w:rsidRPr="00135B9D">
        <w:rPr>
          <w:rFonts w:asciiTheme="minorHAnsi" w:eastAsiaTheme="minorEastAsia" w:hAnsiTheme="minorHAnsi" w:cstheme="minorBidi"/>
          <w:b/>
          <w:i/>
          <w:color w:val="auto"/>
          <w:kern w:val="0"/>
          <w:szCs w:val="24"/>
          <w:lang w:val="en-GB" w:eastAsia="en-US"/>
        </w:rPr>
        <w:t>PEP</w:t>
      </w:r>
      <w:r w:rsidR="00057772" w:rsidRPr="00135B9D">
        <w:rPr>
          <w:rFonts w:asciiTheme="minorHAnsi" w:eastAsiaTheme="minorEastAsia" w:hAnsiTheme="minorHAnsi" w:cstheme="minorBidi"/>
          <w:b/>
          <w:i/>
          <w:color w:val="auto"/>
          <w:kern w:val="0"/>
          <w:szCs w:val="24"/>
          <w:lang w:val="en-GB" w:eastAsia="en-US"/>
        </w:rPr>
        <w:t>’</w:t>
      </w:r>
      <w:r w:rsidRPr="00925B8F">
        <w:rPr>
          <w:rFonts w:asciiTheme="minorHAnsi" w:eastAsiaTheme="minorEastAsia" w:hAnsiTheme="minorHAnsi" w:cstheme="minorBidi"/>
          <w:color w:val="auto"/>
          <w:kern w:val="0"/>
          <w:szCs w:val="24"/>
          <w:lang w:val="en-GB" w:eastAsia="en-US"/>
        </w:rPr>
        <w:t xml:space="preserve"> (politically exposed person) means a natural person who is or has been entrusted with a prominent public function</w:t>
      </w:r>
      <w:r w:rsidR="003D5D1A">
        <w:rPr>
          <w:rFonts w:asciiTheme="minorHAnsi" w:eastAsiaTheme="minorEastAsia" w:hAnsiTheme="minorHAnsi" w:cstheme="minorBidi"/>
          <w:color w:val="auto"/>
          <w:kern w:val="0"/>
          <w:szCs w:val="24"/>
          <w:lang w:val="en-GB" w:eastAsia="en-US"/>
        </w:rPr>
        <w:t>,</w:t>
      </w:r>
      <w:r w:rsidRPr="00925B8F">
        <w:rPr>
          <w:rFonts w:asciiTheme="minorHAnsi" w:eastAsiaTheme="minorEastAsia" w:hAnsiTheme="minorHAnsi" w:cstheme="minorBidi"/>
          <w:color w:val="auto"/>
          <w:kern w:val="0"/>
          <w:szCs w:val="24"/>
          <w:lang w:val="en-GB" w:eastAsia="en-US"/>
        </w:rPr>
        <w:t xml:space="preserve"> as defined </w:t>
      </w:r>
      <w:r w:rsidR="00670F7F">
        <w:rPr>
          <w:rFonts w:asciiTheme="minorHAnsi" w:eastAsiaTheme="minorEastAsia" w:hAnsiTheme="minorHAnsi" w:cstheme="minorBidi"/>
          <w:color w:val="auto"/>
          <w:kern w:val="0"/>
          <w:szCs w:val="24"/>
          <w:lang w:val="en-GB" w:eastAsia="en-US"/>
        </w:rPr>
        <w:t xml:space="preserve">in </w:t>
      </w:r>
      <w:r w:rsidRPr="00925B8F">
        <w:rPr>
          <w:rFonts w:asciiTheme="minorHAnsi" w:eastAsiaTheme="minorEastAsia" w:hAnsiTheme="minorHAnsi" w:cstheme="minorBidi"/>
          <w:color w:val="auto"/>
          <w:kern w:val="0"/>
          <w:szCs w:val="24"/>
          <w:lang w:val="en-GB" w:eastAsia="en-US"/>
        </w:rPr>
        <w:t>Article 2(1)</w:t>
      </w:r>
      <w:r w:rsidR="00670F7F">
        <w:rPr>
          <w:rFonts w:asciiTheme="minorHAnsi" w:eastAsiaTheme="minorEastAsia" w:hAnsiTheme="minorHAnsi" w:cstheme="minorBidi"/>
          <w:color w:val="auto"/>
          <w:kern w:val="0"/>
          <w:szCs w:val="24"/>
          <w:lang w:val="en-GB" w:eastAsia="en-US"/>
        </w:rPr>
        <w:t>(34)</w:t>
      </w:r>
      <w:r w:rsidR="00476DB5">
        <w:rPr>
          <w:rFonts w:asciiTheme="minorHAnsi" w:eastAsiaTheme="minorEastAsia" w:hAnsiTheme="minorHAnsi" w:cstheme="minorBidi"/>
          <w:color w:val="auto"/>
          <w:kern w:val="0"/>
          <w:szCs w:val="24"/>
          <w:lang w:val="en-GB" w:eastAsia="en-US"/>
        </w:rPr>
        <w:t xml:space="preserve"> </w:t>
      </w:r>
      <w:r w:rsidRPr="00925B8F">
        <w:rPr>
          <w:rFonts w:asciiTheme="minorHAnsi" w:eastAsiaTheme="minorEastAsia" w:hAnsiTheme="minorHAnsi" w:cstheme="minorBidi"/>
          <w:color w:val="auto"/>
          <w:kern w:val="0"/>
          <w:szCs w:val="24"/>
          <w:lang w:val="en-GB" w:eastAsia="en-US"/>
        </w:rPr>
        <w:t>AMLR</w:t>
      </w:r>
      <w:r w:rsidR="003D5D1A">
        <w:rPr>
          <w:rFonts w:asciiTheme="minorHAnsi" w:eastAsiaTheme="minorEastAsia" w:hAnsiTheme="minorHAnsi" w:cstheme="minorBidi"/>
          <w:color w:val="auto"/>
          <w:kern w:val="0"/>
          <w:szCs w:val="24"/>
          <w:lang w:val="en-GB" w:eastAsia="en-US"/>
        </w:rPr>
        <w:t xml:space="preserve">. </w:t>
      </w:r>
      <w:r w:rsidR="003D5D1A" w:rsidRPr="003D5D1A">
        <w:rPr>
          <w:rFonts w:asciiTheme="minorHAnsi" w:eastAsiaTheme="minorEastAsia" w:hAnsiTheme="minorHAnsi" w:cstheme="minorBidi"/>
          <w:color w:val="auto"/>
          <w:kern w:val="0"/>
          <w:szCs w:val="24"/>
          <w:lang w:val="en-GB" w:eastAsia="en-US"/>
        </w:rPr>
        <w:t>The prominent public functions referred to in that provision include:</w:t>
      </w:r>
    </w:p>
    <w:p w14:paraId="2D7A3362" w14:textId="77777777" w:rsidR="00925B8F" w:rsidRPr="00925B8F" w:rsidRDefault="00925B8F" w:rsidP="00135B9D">
      <w:pPr>
        <w:ind w:left="142"/>
        <w:jc w:val="both"/>
        <w:rPr>
          <w:rFonts w:asciiTheme="minorHAnsi" w:eastAsiaTheme="minorEastAsia" w:hAnsiTheme="minorHAnsi" w:cstheme="minorBidi"/>
          <w:color w:val="auto"/>
          <w:kern w:val="0"/>
          <w:szCs w:val="24"/>
          <w:lang w:eastAsia="en-US"/>
        </w:rPr>
      </w:pPr>
      <w:r w:rsidRPr="00925B8F">
        <w:rPr>
          <w:rFonts w:asciiTheme="minorHAnsi" w:eastAsiaTheme="minorEastAsia" w:hAnsiTheme="minorHAnsi" w:cstheme="minorBidi"/>
          <w:color w:val="auto"/>
          <w:kern w:val="0"/>
          <w:szCs w:val="24"/>
          <w:lang w:eastAsia="en-US"/>
        </w:rPr>
        <w:t>(a) in a Member State:</w:t>
      </w:r>
    </w:p>
    <w:p w14:paraId="44121503" w14:textId="77777777" w:rsidR="00925B8F" w:rsidRPr="00925B8F" w:rsidRDefault="00925B8F" w:rsidP="00135B9D">
      <w:pPr>
        <w:spacing w:after="80"/>
        <w:ind w:left="425"/>
        <w:jc w:val="both"/>
        <w:rPr>
          <w:rFonts w:asciiTheme="minorHAnsi" w:eastAsiaTheme="minorEastAsia" w:hAnsiTheme="minorHAnsi" w:cstheme="minorBidi"/>
          <w:color w:val="auto"/>
          <w:kern w:val="0"/>
          <w:szCs w:val="24"/>
          <w:lang w:eastAsia="en-US"/>
        </w:rPr>
      </w:pPr>
      <w:r w:rsidRPr="00925B8F">
        <w:rPr>
          <w:rFonts w:asciiTheme="minorHAnsi" w:eastAsiaTheme="minorEastAsia" w:hAnsiTheme="minorHAnsi" w:cstheme="minorBidi"/>
          <w:color w:val="auto"/>
          <w:kern w:val="0"/>
          <w:szCs w:val="24"/>
          <w:lang w:eastAsia="en-US"/>
        </w:rPr>
        <w:t>(i) heads of State, heads of government, ministers and deputy or assistant ministers;</w:t>
      </w:r>
    </w:p>
    <w:p w14:paraId="04BCE8D6" w14:textId="77777777" w:rsidR="00925B8F" w:rsidRPr="00925B8F" w:rsidRDefault="00925B8F" w:rsidP="00135B9D">
      <w:pPr>
        <w:spacing w:after="80"/>
        <w:ind w:left="425"/>
        <w:jc w:val="both"/>
        <w:rPr>
          <w:rFonts w:asciiTheme="minorHAnsi" w:eastAsiaTheme="minorEastAsia" w:hAnsiTheme="minorHAnsi" w:cstheme="minorBidi"/>
          <w:color w:val="auto"/>
          <w:kern w:val="0"/>
          <w:szCs w:val="24"/>
          <w:lang w:eastAsia="en-US"/>
        </w:rPr>
      </w:pPr>
      <w:r w:rsidRPr="00925B8F">
        <w:rPr>
          <w:rFonts w:asciiTheme="minorHAnsi" w:eastAsiaTheme="minorEastAsia" w:hAnsiTheme="minorHAnsi" w:cstheme="minorBidi"/>
          <w:color w:val="auto"/>
          <w:kern w:val="0"/>
          <w:szCs w:val="24"/>
          <w:lang w:eastAsia="en-US"/>
        </w:rPr>
        <w:t>(ii) members of parliament or of similar legislative bodies;</w:t>
      </w:r>
    </w:p>
    <w:p w14:paraId="5E3D1DED" w14:textId="00C6B863" w:rsidR="00925B8F" w:rsidRPr="00925B8F" w:rsidRDefault="00925B8F" w:rsidP="00135B9D">
      <w:pPr>
        <w:spacing w:after="80"/>
        <w:ind w:left="425"/>
        <w:jc w:val="both"/>
        <w:rPr>
          <w:rFonts w:asciiTheme="minorHAnsi" w:eastAsiaTheme="minorEastAsia" w:hAnsiTheme="minorHAnsi" w:cstheme="minorBidi"/>
          <w:color w:val="auto"/>
          <w:kern w:val="0"/>
          <w:szCs w:val="24"/>
          <w:lang w:eastAsia="en-US"/>
        </w:rPr>
      </w:pPr>
      <w:r w:rsidRPr="00925B8F">
        <w:rPr>
          <w:rFonts w:asciiTheme="minorHAnsi" w:eastAsiaTheme="minorEastAsia" w:hAnsiTheme="minorHAnsi" w:cstheme="minorBidi"/>
          <w:color w:val="auto"/>
          <w:kern w:val="0"/>
          <w:szCs w:val="24"/>
          <w:lang w:eastAsia="en-US"/>
        </w:rPr>
        <w:t>(iii) members of the governing bodies of political parties that hold seats in national executive or legislative bodies, or in regional or local executive or legislative bodies representing constituencies of at least 50</w:t>
      </w:r>
      <w:r w:rsidR="00F50FDB">
        <w:rPr>
          <w:rFonts w:asciiTheme="minorHAnsi" w:eastAsiaTheme="minorEastAsia" w:hAnsiTheme="minorHAnsi" w:cstheme="minorBidi"/>
          <w:color w:val="auto"/>
          <w:kern w:val="0"/>
          <w:szCs w:val="24"/>
          <w:lang w:eastAsia="en-US"/>
        </w:rPr>
        <w:t xml:space="preserve"> </w:t>
      </w:r>
      <w:r w:rsidRPr="00925B8F">
        <w:rPr>
          <w:rFonts w:asciiTheme="minorHAnsi" w:eastAsiaTheme="minorEastAsia" w:hAnsiTheme="minorHAnsi" w:cstheme="minorBidi"/>
          <w:color w:val="auto"/>
          <w:kern w:val="0"/>
          <w:szCs w:val="24"/>
          <w:lang w:eastAsia="en-US"/>
        </w:rPr>
        <w:t>000 inhabitants;</w:t>
      </w:r>
    </w:p>
    <w:p w14:paraId="69B1F22C" w14:textId="77777777" w:rsidR="00925B8F" w:rsidRPr="00925B8F" w:rsidRDefault="00925B8F" w:rsidP="00135B9D">
      <w:pPr>
        <w:spacing w:after="80"/>
        <w:ind w:left="425"/>
        <w:jc w:val="both"/>
        <w:rPr>
          <w:rFonts w:asciiTheme="minorHAnsi" w:eastAsiaTheme="minorEastAsia" w:hAnsiTheme="minorHAnsi" w:cstheme="minorBidi"/>
          <w:color w:val="auto"/>
          <w:kern w:val="0"/>
          <w:szCs w:val="24"/>
          <w:lang w:eastAsia="en-US"/>
        </w:rPr>
      </w:pPr>
      <w:r w:rsidRPr="00925B8F">
        <w:rPr>
          <w:rFonts w:asciiTheme="minorHAnsi" w:eastAsiaTheme="minorEastAsia" w:hAnsiTheme="minorHAnsi" w:cstheme="minorBidi"/>
          <w:color w:val="auto"/>
          <w:kern w:val="0"/>
          <w:szCs w:val="24"/>
          <w:lang w:eastAsia="en-US"/>
        </w:rPr>
        <w:t>(iv) members of supreme courts, of constitutional courts or of other high-level judicial bodies, the decisions of which are not subject to further appeal, except in exceptional circumstances;</w:t>
      </w:r>
    </w:p>
    <w:p w14:paraId="6AA48375" w14:textId="77777777" w:rsidR="00925B8F" w:rsidRPr="00925B8F" w:rsidRDefault="00925B8F" w:rsidP="00135B9D">
      <w:pPr>
        <w:spacing w:after="80"/>
        <w:ind w:left="425"/>
        <w:jc w:val="both"/>
        <w:rPr>
          <w:rFonts w:asciiTheme="minorHAnsi" w:eastAsiaTheme="minorEastAsia" w:hAnsiTheme="minorHAnsi" w:cstheme="minorBidi"/>
          <w:color w:val="auto"/>
          <w:kern w:val="0"/>
          <w:szCs w:val="24"/>
          <w:lang w:eastAsia="en-US"/>
        </w:rPr>
      </w:pPr>
      <w:r w:rsidRPr="00925B8F">
        <w:rPr>
          <w:rFonts w:asciiTheme="minorHAnsi" w:eastAsiaTheme="minorEastAsia" w:hAnsiTheme="minorHAnsi" w:cstheme="minorBidi"/>
          <w:color w:val="auto"/>
          <w:kern w:val="0"/>
          <w:szCs w:val="24"/>
          <w:lang w:eastAsia="en-US"/>
        </w:rPr>
        <w:t>(v) members of courts of auditors or of the boards of central banks;</w:t>
      </w:r>
    </w:p>
    <w:p w14:paraId="44541AE9" w14:textId="77777777" w:rsidR="00925B8F" w:rsidRPr="00925B8F" w:rsidRDefault="00925B8F" w:rsidP="00135B9D">
      <w:pPr>
        <w:spacing w:after="80"/>
        <w:ind w:left="425"/>
        <w:jc w:val="both"/>
        <w:rPr>
          <w:rFonts w:asciiTheme="minorHAnsi" w:eastAsiaTheme="minorEastAsia" w:hAnsiTheme="minorHAnsi" w:cstheme="minorBidi"/>
          <w:color w:val="auto"/>
          <w:kern w:val="0"/>
          <w:szCs w:val="24"/>
          <w:lang w:eastAsia="en-US"/>
        </w:rPr>
      </w:pPr>
      <w:r w:rsidRPr="00925B8F">
        <w:rPr>
          <w:rFonts w:asciiTheme="minorHAnsi" w:eastAsiaTheme="minorEastAsia" w:hAnsiTheme="minorHAnsi" w:cstheme="minorBidi"/>
          <w:color w:val="auto"/>
          <w:kern w:val="0"/>
          <w:szCs w:val="24"/>
          <w:lang w:eastAsia="en-US"/>
        </w:rPr>
        <w:t>(vi) ambassadors, chargés d’affaires and high-ranking officers in the armed forces;</w:t>
      </w:r>
    </w:p>
    <w:p w14:paraId="69993CB3" w14:textId="77777777" w:rsidR="00925B8F" w:rsidRPr="00925B8F" w:rsidRDefault="00925B8F" w:rsidP="00135B9D">
      <w:pPr>
        <w:spacing w:after="80"/>
        <w:ind w:left="425"/>
        <w:jc w:val="both"/>
        <w:rPr>
          <w:rFonts w:asciiTheme="minorHAnsi" w:eastAsiaTheme="minorEastAsia" w:hAnsiTheme="minorHAnsi" w:cstheme="minorBidi"/>
          <w:color w:val="auto"/>
          <w:kern w:val="0"/>
          <w:szCs w:val="24"/>
          <w:lang w:eastAsia="en-US"/>
        </w:rPr>
      </w:pPr>
      <w:r w:rsidRPr="00925B8F">
        <w:rPr>
          <w:rFonts w:asciiTheme="minorHAnsi" w:eastAsiaTheme="minorEastAsia" w:hAnsiTheme="minorHAnsi" w:cstheme="minorBidi"/>
          <w:color w:val="auto"/>
          <w:kern w:val="0"/>
          <w:szCs w:val="24"/>
          <w:lang w:eastAsia="en-US"/>
        </w:rPr>
        <w:t>(vii) members of the administrative, management or supervisory bodies of enterprises controlled under any of the relationships listed in Article 22 of Directive 2013/34/EU either by the state, or, where those enterprises qualify as medium sized or large undertakings or medium sized or large groups, as defined in Article 3(3), (4), (6) and (7) of that Directive, by regional or local authorities;</w:t>
      </w:r>
    </w:p>
    <w:p w14:paraId="36BA99FC" w14:textId="3DB03983" w:rsidR="00925B8F" w:rsidRPr="00925B8F" w:rsidRDefault="00925B8F" w:rsidP="00135B9D">
      <w:pPr>
        <w:spacing w:after="80"/>
        <w:ind w:left="425"/>
        <w:jc w:val="both"/>
        <w:rPr>
          <w:rFonts w:asciiTheme="minorHAnsi" w:eastAsiaTheme="minorEastAsia" w:hAnsiTheme="minorHAnsi" w:cstheme="minorBidi"/>
          <w:color w:val="auto"/>
          <w:kern w:val="0"/>
          <w:szCs w:val="24"/>
          <w:lang w:eastAsia="en-US"/>
        </w:rPr>
      </w:pPr>
      <w:r w:rsidRPr="00925B8F">
        <w:rPr>
          <w:rFonts w:asciiTheme="minorHAnsi" w:eastAsiaTheme="minorEastAsia" w:hAnsiTheme="minorHAnsi" w:cstheme="minorBidi"/>
          <w:color w:val="auto"/>
          <w:kern w:val="0"/>
          <w:szCs w:val="24"/>
          <w:lang w:eastAsia="en-US"/>
        </w:rPr>
        <w:t>(viii) heads of regional and local authorities, including groupings of municipalities and metropolitan regions, with at least 50</w:t>
      </w:r>
      <w:r w:rsidR="00F50FDB">
        <w:rPr>
          <w:rFonts w:asciiTheme="minorHAnsi" w:eastAsiaTheme="minorEastAsia" w:hAnsiTheme="minorHAnsi" w:cstheme="minorBidi"/>
          <w:color w:val="auto"/>
          <w:kern w:val="0"/>
          <w:szCs w:val="24"/>
          <w:lang w:eastAsia="en-US"/>
        </w:rPr>
        <w:t xml:space="preserve"> </w:t>
      </w:r>
      <w:r w:rsidRPr="00925B8F">
        <w:rPr>
          <w:rFonts w:asciiTheme="minorHAnsi" w:eastAsiaTheme="minorEastAsia" w:hAnsiTheme="minorHAnsi" w:cstheme="minorBidi"/>
          <w:color w:val="auto"/>
          <w:kern w:val="0"/>
          <w:szCs w:val="24"/>
          <w:lang w:eastAsia="en-US"/>
        </w:rPr>
        <w:t>000 inhabitants;</w:t>
      </w:r>
    </w:p>
    <w:p w14:paraId="2FB23529" w14:textId="77777777" w:rsidR="00925B8F" w:rsidRPr="00925B8F" w:rsidRDefault="00925B8F" w:rsidP="00135B9D">
      <w:pPr>
        <w:spacing w:after="80"/>
        <w:ind w:left="425"/>
        <w:jc w:val="both"/>
        <w:rPr>
          <w:rFonts w:asciiTheme="minorHAnsi" w:eastAsiaTheme="minorEastAsia" w:hAnsiTheme="minorHAnsi" w:cstheme="minorBidi"/>
          <w:color w:val="auto"/>
          <w:kern w:val="0"/>
          <w:szCs w:val="24"/>
          <w:lang w:eastAsia="en-US"/>
        </w:rPr>
      </w:pPr>
      <w:r w:rsidRPr="00925B8F">
        <w:rPr>
          <w:rFonts w:asciiTheme="minorHAnsi" w:eastAsiaTheme="minorEastAsia" w:hAnsiTheme="minorHAnsi" w:cstheme="minorBidi"/>
          <w:color w:val="auto"/>
          <w:kern w:val="0"/>
          <w:szCs w:val="24"/>
          <w:lang w:eastAsia="en-US"/>
        </w:rPr>
        <w:t>(ix) other prominent public functions provided for by Member States;</w:t>
      </w:r>
    </w:p>
    <w:p w14:paraId="62AE2CDA" w14:textId="77777777" w:rsidR="00925B8F" w:rsidRPr="00925B8F" w:rsidRDefault="00925B8F" w:rsidP="00135B9D">
      <w:pPr>
        <w:ind w:left="142"/>
        <w:jc w:val="both"/>
        <w:rPr>
          <w:rFonts w:asciiTheme="minorHAnsi" w:eastAsiaTheme="minorEastAsia" w:hAnsiTheme="minorHAnsi" w:cstheme="minorBidi"/>
          <w:color w:val="auto"/>
          <w:kern w:val="0"/>
          <w:szCs w:val="24"/>
          <w:lang w:eastAsia="en-US"/>
        </w:rPr>
      </w:pPr>
      <w:r w:rsidRPr="00925B8F">
        <w:rPr>
          <w:rFonts w:asciiTheme="minorHAnsi" w:eastAsiaTheme="minorEastAsia" w:hAnsiTheme="minorHAnsi" w:cstheme="minorBidi"/>
          <w:color w:val="auto"/>
          <w:kern w:val="0"/>
          <w:szCs w:val="24"/>
          <w:lang w:eastAsia="en-US"/>
        </w:rPr>
        <w:t>(b) in an international organisation:</w:t>
      </w:r>
    </w:p>
    <w:p w14:paraId="4EFB818F" w14:textId="77777777" w:rsidR="00925B8F" w:rsidRPr="00925B8F" w:rsidRDefault="00925B8F" w:rsidP="00135B9D">
      <w:pPr>
        <w:spacing w:after="80"/>
        <w:ind w:left="425"/>
        <w:jc w:val="both"/>
        <w:rPr>
          <w:rFonts w:asciiTheme="minorHAnsi" w:eastAsiaTheme="minorEastAsia" w:hAnsiTheme="minorHAnsi" w:cstheme="minorBidi"/>
          <w:color w:val="auto"/>
          <w:kern w:val="0"/>
          <w:szCs w:val="24"/>
          <w:lang w:eastAsia="en-US"/>
        </w:rPr>
      </w:pPr>
      <w:r w:rsidRPr="00925B8F">
        <w:rPr>
          <w:rFonts w:asciiTheme="minorHAnsi" w:eastAsiaTheme="minorEastAsia" w:hAnsiTheme="minorHAnsi" w:cstheme="minorBidi"/>
          <w:color w:val="auto"/>
          <w:kern w:val="0"/>
          <w:szCs w:val="24"/>
          <w:lang w:eastAsia="en-US"/>
        </w:rPr>
        <w:t>(i) the highest ranking officials, their deputies and members of the board or equivalent functions of an international organisation;</w:t>
      </w:r>
    </w:p>
    <w:p w14:paraId="21A6270A" w14:textId="77777777" w:rsidR="00925B8F" w:rsidRPr="00925B8F" w:rsidRDefault="00925B8F" w:rsidP="00135B9D">
      <w:pPr>
        <w:spacing w:after="80"/>
        <w:ind w:left="425"/>
        <w:jc w:val="both"/>
        <w:rPr>
          <w:rFonts w:asciiTheme="minorHAnsi" w:eastAsiaTheme="minorEastAsia" w:hAnsiTheme="minorHAnsi" w:cstheme="minorBidi"/>
          <w:color w:val="auto"/>
          <w:kern w:val="0"/>
          <w:szCs w:val="24"/>
          <w:lang w:eastAsia="en-US"/>
        </w:rPr>
      </w:pPr>
      <w:r w:rsidRPr="00925B8F">
        <w:rPr>
          <w:rFonts w:asciiTheme="minorHAnsi" w:eastAsiaTheme="minorEastAsia" w:hAnsiTheme="minorHAnsi" w:cstheme="minorBidi"/>
          <w:color w:val="auto"/>
          <w:kern w:val="0"/>
          <w:szCs w:val="24"/>
          <w:lang w:eastAsia="en-US"/>
        </w:rPr>
        <w:t>(ii) representatives to a Member State or to the Union;</w:t>
      </w:r>
    </w:p>
    <w:p w14:paraId="58B705A4" w14:textId="3363C291" w:rsidR="00AB4B7F" w:rsidRDefault="00925B8F" w:rsidP="00135B9D">
      <w:pPr>
        <w:ind w:left="142"/>
        <w:jc w:val="both"/>
        <w:rPr>
          <w:rFonts w:asciiTheme="minorHAnsi" w:eastAsiaTheme="minorEastAsia" w:hAnsiTheme="minorHAnsi" w:cstheme="minorBidi"/>
          <w:color w:val="auto"/>
          <w:kern w:val="0"/>
          <w:szCs w:val="24"/>
          <w:lang w:eastAsia="en-US"/>
        </w:rPr>
      </w:pPr>
      <w:r w:rsidRPr="00925B8F">
        <w:rPr>
          <w:rFonts w:asciiTheme="minorHAnsi" w:eastAsiaTheme="minorEastAsia" w:hAnsiTheme="minorHAnsi" w:cstheme="minorBidi"/>
          <w:color w:val="auto"/>
          <w:kern w:val="0"/>
          <w:szCs w:val="24"/>
          <w:lang w:eastAsia="en-US"/>
        </w:rPr>
        <w:t xml:space="preserve">(c) at Union level: </w:t>
      </w:r>
    </w:p>
    <w:p w14:paraId="7E34672C" w14:textId="35E97840" w:rsidR="00925B8F" w:rsidRPr="00925B8F" w:rsidRDefault="00925B8F" w:rsidP="00135B9D">
      <w:pPr>
        <w:spacing w:after="80"/>
        <w:ind w:left="142"/>
        <w:jc w:val="both"/>
        <w:rPr>
          <w:rFonts w:asciiTheme="minorHAnsi" w:eastAsiaTheme="minorEastAsia" w:hAnsiTheme="minorHAnsi" w:cstheme="minorBidi"/>
          <w:color w:val="auto"/>
          <w:kern w:val="0"/>
          <w:szCs w:val="24"/>
          <w:lang w:eastAsia="en-US"/>
        </w:rPr>
      </w:pPr>
      <w:r w:rsidRPr="00925B8F">
        <w:rPr>
          <w:rFonts w:asciiTheme="minorHAnsi" w:eastAsiaTheme="minorEastAsia" w:hAnsiTheme="minorHAnsi" w:cstheme="minorBidi"/>
          <w:color w:val="auto"/>
          <w:kern w:val="0"/>
          <w:szCs w:val="24"/>
          <w:lang w:eastAsia="en-US"/>
        </w:rPr>
        <w:t>functions at the level of Union institutions and bodies that are equivalent to those listed in points (a) (i), (ii), (iv), (v) and (vi);</w:t>
      </w:r>
    </w:p>
    <w:p w14:paraId="4104B711" w14:textId="611FBEDF" w:rsidR="00062FDA" w:rsidDel="00997128" w:rsidRDefault="00925B8F" w:rsidP="00135B9D">
      <w:pPr>
        <w:ind w:left="142"/>
        <w:jc w:val="both"/>
        <w:rPr>
          <w:rFonts w:asciiTheme="minorHAnsi" w:eastAsiaTheme="minorEastAsia" w:hAnsiTheme="minorHAnsi" w:cstheme="minorBidi"/>
          <w:color w:val="auto"/>
          <w:kern w:val="0"/>
          <w:szCs w:val="24"/>
          <w:lang w:eastAsia="en-US"/>
        </w:rPr>
      </w:pPr>
      <w:r w:rsidRPr="00925B8F">
        <w:rPr>
          <w:rFonts w:asciiTheme="minorHAnsi" w:eastAsiaTheme="minorEastAsia" w:hAnsiTheme="minorHAnsi" w:cstheme="minorBidi"/>
          <w:color w:val="auto"/>
          <w:kern w:val="0"/>
          <w:szCs w:val="24"/>
          <w:lang w:eastAsia="en-US"/>
        </w:rPr>
        <w:t>(d) in a third country: functions that are equivalent to those listed in point (a).</w:t>
      </w:r>
    </w:p>
    <w:p w14:paraId="5BCAD993" w14:textId="77777777" w:rsidR="00997128" w:rsidRPr="00135B9D" w:rsidRDefault="00997128" w:rsidP="00135B9D">
      <w:pPr>
        <w:ind w:left="142"/>
        <w:jc w:val="both"/>
        <w:rPr>
          <w:rFonts w:asciiTheme="minorHAnsi" w:eastAsiaTheme="minorEastAsia" w:hAnsiTheme="minorHAnsi" w:cstheme="minorBidi"/>
          <w:color w:val="auto"/>
          <w:kern w:val="0"/>
          <w:szCs w:val="24"/>
          <w:lang w:eastAsia="en-US"/>
        </w:rPr>
      </w:pPr>
    </w:p>
    <w:p w14:paraId="18BC1F42" w14:textId="00CB9D86" w:rsidR="00B64E9A" w:rsidRPr="00135B9D" w:rsidRDefault="00AB4DA9" w:rsidP="00135B9D">
      <w:pPr>
        <w:jc w:val="both"/>
        <w:rPr>
          <w:rFonts w:asciiTheme="minorHAnsi" w:hAnsiTheme="minorHAnsi"/>
          <w:color w:val="auto"/>
          <w:szCs w:val="22"/>
          <w:lang w:val="en-IE" w:eastAsia="de-DE" w:bidi="ne-NP"/>
        </w:rPr>
      </w:pPr>
      <w:r w:rsidRPr="00135B9D">
        <w:rPr>
          <w:rFonts w:asciiTheme="minorHAnsi" w:hAnsiTheme="minorHAnsi"/>
          <w:b/>
          <w:bCs/>
          <w:i/>
          <w:iCs/>
          <w:color w:val="auto"/>
          <w:szCs w:val="22"/>
          <w:lang w:val="en-IE" w:eastAsia="de-DE" w:bidi="ne-NP"/>
        </w:rPr>
        <w:t>‘</w:t>
      </w:r>
      <w:r w:rsidR="00B64E9A" w:rsidRPr="00135B9D">
        <w:rPr>
          <w:rFonts w:asciiTheme="minorHAnsi" w:hAnsiTheme="minorHAnsi"/>
          <w:b/>
          <w:bCs/>
          <w:i/>
          <w:iCs/>
          <w:color w:val="auto"/>
          <w:szCs w:val="22"/>
          <w:lang w:val="en-IE" w:eastAsia="de-DE" w:bidi="ne-NP"/>
        </w:rPr>
        <w:t>Family member</w:t>
      </w:r>
      <w:r w:rsidR="004D0796" w:rsidRPr="00135B9D">
        <w:rPr>
          <w:rFonts w:asciiTheme="minorHAnsi" w:hAnsiTheme="minorHAnsi"/>
          <w:b/>
          <w:bCs/>
          <w:i/>
          <w:iCs/>
          <w:color w:val="auto"/>
          <w:szCs w:val="22"/>
          <w:lang w:val="en-IE" w:eastAsia="de-DE" w:bidi="ne-NP"/>
        </w:rPr>
        <w:t>’</w:t>
      </w:r>
      <w:r w:rsidR="004D0796" w:rsidRPr="00135B9D">
        <w:rPr>
          <w:rFonts w:asciiTheme="minorHAnsi" w:hAnsiTheme="minorHAnsi"/>
          <w:color w:val="auto"/>
          <w:szCs w:val="22"/>
          <w:lang w:val="en-IE" w:eastAsia="de-DE" w:bidi="ne-NP"/>
        </w:rPr>
        <w:t xml:space="preserve"> </w:t>
      </w:r>
      <w:r w:rsidR="004F2F42">
        <w:rPr>
          <w:rFonts w:asciiTheme="minorHAnsi" w:hAnsiTheme="minorHAnsi"/>
          <w:color w:val="auto"/>
          <w:szCs w:val="22"/>
          <w:lang w:val="en-IE" w:eastAsia="de-DE" w:bidi="ne-NP"/>
        </w:rPr>
        <w:t xml:space="preserve">(of a PEP) </w:t>
      </w:r>
      <w:r w:rsidR="004D0796" w:rsidRPr="00135B9D">
        <w:rPr>
          <w:rFonts w:asciiTheme="minorHAnsi" w:hAnsiTheme="minorHAnsi"/>
          <w:color w:val="auto"/>
          <w:szCs w:val="22"/>
          <w:lang w:val="en-IE" w:eastAsia="de-DE" w:bidi="ne-NP"/>
        </w:rPr>
        <w:t>means,</w:t>
      </w:r>
      <w:r w:rsidR="00B64E9A" w:rsidRPr="00135B9D">
        <w:rPr>
          <w:rFonts w:asciiTheme="minorHAnsi" w:hAnsiTheme="minorHAnsi"/>
          <w:color w:val="auto"/>
          <w:szCs w:val="22"/>
          <w:lang w:val="en-IE" w:eastAsia="de-DE" w:bidi="ne-NP"/>
        </w:rPr>
        <w:t xml:space="preserve"> </w:t>
      </w:r>
      <w:r w:rsidR="003C410D">
        <w:rPr>
          <w:rFonts w:asciiTheme="minorHAnsi" w:hAnsiTheme="minorHAnsi"/>
          <w:color w:val="auto"/>
          <w:szCs w:val="22"/>
          <w:lang w:val="en-IE" w:eastAsia="de-DE" w:bidi="ne-NP"/>
        </w:rPr>
        <w:t>in accordance with</w:t>
      </w:r>
      <w:r w:rsidR="00B64E9A" w:rsidRPr="00135B9D">
        <w:rPr>
          <w:rFonts w:asciiTheme="minorHAnsi" w:hAnsiTheme="minorHAnsi"/>
          <w:color w:val="auto"/>
          <w:szCs w:val="22"/>
          <w:lang w:val="en-IE" w:eastAsia="de-DE" w:bidi="ne-NP"/>
        </w:rPr>
        <w:t xml:space="preserve"> Article 2(1</w:t>
      </w:r>
      <w:r w:rsidR="00775B0E">
        <w:rPr>
          <w:rFonts w:asciiTheme="minorHAnsi" w:hAnsiTheme="minorHAnsi"/>
          <w:color w:val="auto"/>
          <w:szCs w:val="22"/>
          <w:lang w:val="en-IE" w:eastAsia="de-DE" w:bidi="ne-NP"/>
        </w:rPr>
        <w:t>)</w:t>
      </w:r>
      <w:r w:rsidR="00775B0E" w:rsidRPr="00775B0E">
        <w:rPr>
          <w:rFonts w:asciiTheme="minorHAnsi" w:hAnsiTheme="minorHAnsi"/>
          <w:color w:val="auto"/>
          <w:szCs w:val="22"/>
          <w:lang w:eastAsia="de-DE" w:bidi="ne-NP"/>
        </w:rPr>
        <w:t>(35)</w:t>
      </w:r>
      <w:r w:rsidR="00632313">
        <w:rPr>
          <w:rFonts w:asciiTheme="minorHAnsi" w:hAnsiTheme="minorHAnsi"/>
          <w:color w:val="auto"/>
          <w:szCs w:val="22"/>
          <w:lang w:eastAsia="de-DE" w:bidi="ne-NP"/>
        </w:rPr>
        <w:t xml:space="preserve"> </w:t>
      </w:r>
      <w:r w:rsidR="00775B0E" w:rsidRPr="00775B0E">
        <w:rPr>
          <w:rFonts w:asciiTheme="minorHAnsi" w:hAnsiTheme="minorHAnsi"/>
          <w:color w:val="auto"/>
          <w:szCs w:val="22"/>
          <w:lang w:eastAsia="de-DE" w:bidi="ne-NP"/>
        </w:rPr>
        <w:t>AMLR:</w:t>
      </w:r>
    </w:p>
    <w:p w14:paraId="0407D597" w14:textId="77777777" w:rsidR="00B64E9A" w:rsidRPr="00135B9D" w:rsidRDefault="00B64E9A" w:rsidP="00135B9D">
      <w:pPr>
        <w:ind w:left="142"/>
        <w:jc w:val="both"/>
        <w:rPr>
          <w:rFonts w:asciiTheme="minorHAnsi" w:eastAsiaTheme="minorEastAsia" w:hAnsiTheme="minorHAnsi" w:cstheme="minorBidi"/>
          <w:color w:val="auto"/>
          <w:kern w:val="0"/>
          <w:szCs w:val="22"/>
          <w:lang w:eastAsia="en-US"/>
        </w:rPr>
      </w:pPr>
      <w:r w:rsidRPr="00135B9D">
        <w:rPr>
          <w:rFonts w:asciiTheme="minorHAnsi" w:eastAsiaTheme="minorEastAsia" w:hAnsiTheme="minorHAnsi" w:cstheme="minorBidi"/>
          <w:color w:val="auto"/>
          <w:kern w:val="0"/>
          <w:szCs w:val="22"/>
          <w:lang w:eastAsia="en-US"/>
        </w:rPr>
        <w:t>(a) a spouse, or a person in a registered partnership or civil union or in a similar arrangement;</w:t>
      </w:r>
    </w:p>
    <w:p w14:paraId="3B99A539" w14:textId="77777777" w:rsidR="00B64E9A" w:rsidRPr="00135B9D" w:rsidRDefault="00B64E9A" w:rsidP="00135B9D">
      <w:pPr>
        <w:ind w:left="142"/>
        <w:jc w:val="both"/>
        <w:rPr>
          <w:rFonts w:asciiTheme="minorHAnsi" w:eastAsiaTheme="minorEastAsia" w:hAnsiTheme="minorHAnsi" w:cstheme="minorBidi"/>
          <w:color w:val="auto"/>
          <w:kern w:val="0"/>
          <w:szCs w:val="22"/>
          <w:lang w:eastAsia="en-US"/>
        </w:rPr>
      </w:pPr>
      <w:r w:rsidRPr="00135B9D">
        <w:rPr>
          <w:rFonts w:asciiTheme="minorHAnsi" w:eastAsiaTheme="minorEastAsia" w:hAnsiTheme="minorHAnsi" w:cstheme="minorBidi"/>
          <w:color w:val="auto"/>
          <w:kern w:val="0"/>
          <w:szCs w:val="22"/>
          <w:lang w:eastAsia="en-US"/>
        </w:rPr>
        <w:t>(b) a child and a spouse of, or a person in a registered partnership or civil union or in a similar arrangement with, that child;</w:t>
      </w:r>
    </w:p>
    <w:p w14:paraId="10644B5C" w14:textId="77777777" w:rsidR="00B64E9A" w:rsidRPr="00135B9D" w:rsidRDefault="00B64E9A" w:rsidP="00135B9D">
      <w:pPr>
        <w:ind w:left="142"/>
        <w:jc w:val="both"/>
        <w:rPr>
          <w:rFonts w:asciiTheme="minorHAnsi" w:eastAsiaTheme="minorEastAsia" w:hAnsiTheme="minorHAnsi" w:cstheme="minorBidi"/>
          <w:color w:val="auto"/>
          <w:kern w:val="0"/>
          <w:szCs w:val="22"/>
          <w:lang w:eastAsia="en-US"/>
        </w:rPr>
      </w:pPr>
      <w:r w:rsidRPr="00135B9D">
        <w:rPr>
          <w:rFonts w:asciiTheme="minorHAnsi" w:eastAsiaTheme="minorEastAsia" w:hAnsiTheme="minorHAnsi" w:cstheme="minorBidi"/>
          <w:color w:val="auto"/>
          <w:kern w:val="0"/>
          <w:szCs w:val="22"/>
          <w:lang w:eastAsia="en-US"/>
        </w:rPr>
        <w:t>(c) a parent;</w:t>
      </w:r>
    </w:p>
    <w:p w14:paraId="72ABBF1E" w14:textId="32BE2CA5" w:rsidR="00B64E9A" w:rsidRPr="00135B9D" w:rsidRDefault="00B64E9A" w:rsidP="00135B9D">
      <w:pPr>
        <w:ind w:left="142"/>
        <w:jc w:val="both"/>
        <w:rPr>
          <w:rFonts w:asciiTheme="minorHAnsi" w:eastAsiaTheme="minorEastAsia" w:hAnsiTheme="minorHAnsi" w:cstheme="minorBidi"/>
          <w:color w:val="auto"/>
          <w:kern w:val="0"/>
          <w:szCs w:val="22"/>
          <w:lang w:eastAsia="en-US"/>
        </w:rPr>
      </w:pPr>
      <w:r w:rsidRPr="00135B9D">
        <w:rPr>
          <w:rFonts w:asciiTheme="minorHAnsi" w:eastAsiaTheme="minorEastAsia" w:hAnsiTheme="minorHAnsi" w:cstheme="minorBidi"/>
          <w:color w:val="auto"/>
          <w:kern w:val="0"/>
          <w:szCs w:val="22"/>
          <w:lang w:eastAsia="en-US"/>
        </w:rPr>
        <w:t xml:space="preserve">(d) for the functions referred to </w:t>
      </w:r>
      <w:r w:rsidR="0008662D">
        <w:rPr>
          <w:rFonts w:asciiTheme="minorHAnsi" w:eastAsiaTheme="minorEastAsia" w:hAnsiTheme="minorHAnsi" w:cstheme="minorBidi"/>
          <w:color w:val="auto"/>
          <w:kern w:val="0"/>
          <w:szCs w:val="22"/>
          <w:lang w:eastAsia="en-US"/>
        </w:rPr>
        <w:t>Article 2(1)</w:t>
      </w:r>
      <w:r w:rsidRPr="00135B9D">
        <w:rPr>
          <w:rFonts w:asciiTheme="minorHAnsi" w:eastAsiaTheme="minorEastAsia" w:hAnsiTheme="minorHAnsi" w:cstheme="minorBidi"/>
          <w:color w:val="auto"/>
          <w:kern w:val="0"/>
          <w:szCs w:val="22"/>
          <w:lang w:eastAsia="en-US"/>
        </w:rPr>
        <w:t>(34)(a)(i)</w:t>
      </w:r>
      <w:r>
        <w:rPr>
          <w:rFonts w:asciiTheme="minorHAnsi" w:eastAsiaTheme="minorEastAsia" w:hAnsiTheme="minorHAnsi" w:cstheme="minorBidi"/>
          <w:color w:val="auto"/>
          <w:kern w:val="0"/>
          <w:szCs w:val="22"/>
          <w:lang w:eastAsia="en-US"/>
        </w:rPr>
        <w:t xml:space="preserve"> </w:t>
      </w:r>
      <w:r w:rsidR="005A4A01">
        <w:rPr>
          <w:rFonts w:asciiTheme="minorHAnsi" w:eastAsiaTheme="minorEastAsia" w:hAnsiTheme="minorHAnsi" w:cstheme="minorBidi"/>
          <w:color w:val="auto"/>
          <w:kern w:val="0"/>
          <w:szCs w:val="22"/>
          <w:lang w:eastAsia="en-US"/>
        </w:rPr>
        <w:t xml:space="preserve">AMLR </w:t>
      </w:r>
      <w:r w:rsidRPr="00135B9D">
        <w:rPr>
          <w:rFonts w:asciiTheme="minorHAnsi" w:eastAsiaTheme="minorEastAsia" w:hAnsiTheme="minorHAnsi" w:cstheme="minorBidi"/>
          <w:color w:val="auto"/>
          <w:kern w:val="0"/>
          <w:szCs w:val="22"/>
          <w:lang w:eastAsia="en-US"/>
        </w:rPr>
        <w:t>and equivalent functions at Union level or in a third country, a sibling</w:t>
      </w:r>
      <w:r w:rsidR="00152783">
        <w:rPr>
          <w:rFonts w:asciiTheme="minorHAnsi" w:eastAsiaTheme="minorEastAsia" w:hAnsiTheme="minorHAnsi" w:cstheme="minorBidi"/>
          <w:color w:val="auto"/>
          <w:kern w:val="0"/>
          <w:szCs w:val="22"/>
          <w:lang w:eastAsia="en-US"/>
        </w:rPr>
        <w:t>.</w:t>
      </w:r>
    </w:p>
    <w:p w14:paraId="55994F88" w14:textId="77777777" w:rsidR="002B6A51" w:rsidRDefault="002B6A51" w:rsidP="002B6A51">
      <w:pPr>
        <w:jc w:val="both"/>
        <w:rPr>
          <w:rFonts w:asciiTheme="minorHAnsi" w:hAnsiTheme="minorHAnsi"/>
          <w:b/>
          <w:bCs/>
          <w:i/>
          <w:iCs/>
          <w:color w:val="auto"/>
          <w:szCs w:val="22"/>
          <w:lang w:val="en-IE" w:eastAsia="de-DE" w:bidi="ne-NP"/>
        </w:rPr>
      </w:pPr>
    </w:p>
    <w:p w14:paraId="41CFD2AA" w14:textId="20DA1C20" w:rsidR="00B64E9A" w:rsidRPr="00135B9D" w:rsidRDefault="009C12CE" w:rsidP="00135B9D">
      <w:pPr>
        <w:jc w:val="both"/>
        <w:rPr>
          <w:rFonts w:asciiTheme="minorHAnsi" w:hAnsiTheme="minorHAnsi"/>
          <w:color w:val="auto"/>
          <w:szCs w:val="22"/>
          <w:lang w:val="en-IE" w:eastAsia="de-DE" w:bidi="ne-NP"/>
        </w:rPr>
      </w:pPr>
      <w:r w:rsidRPr="00135B9D">
        <w:rPr>
          <w:rFonts w:asciiTheme="minorHAnsi" w:hAnsiTheme="minorHAnsi"/>
          <w:b/>
          <w:bCs/>
          <w:i/>
          <w:iCs/>
          <w:color w:val="auto"/>
          <w:szCs w:val="22"/>
          <w:lang w:val="en-IE" w:eastAsia="de-DE" w:bidi="ne-NP"/>
        </w:rPr>
        <w:t>‘</w:t>
      </w:r>
      <w:r w:rsidR="00B64E9A" w:rsidRPr="00135B9D">
        <w:rPr>
          <w:rFonts w:asciiTheme="minorHAnsi" w:hAnsiTheme="minorHAnsi"/>
          <w:b/>
          <w:bCs/>
          <w:i/>
          <w:iCs/>
          <w:color w:val="auto"/>
          <w:szCs w:val="22"/>
          <w:lang w:val="en-IE" w:eastAsia="de-DE" w:bidi="ne-NP"/>
        </w:rPr>
        <w:t>Person</w:t>
      </w:r>
      <w:r w:rsidRPr="00135B9D">
        <w:rPr>
          <w:rFonts w:asciiTheme="minorHAnsi" w:hAnsiTheme="minorHAnsi"/>
          <w:b/>
          <w:bCs/>
          <w:i/>
          <w:iCs/>
          <w:color w:val="auto"/>
          <w:szCs w:val="22"/>
          <w:lang w:val="en-IE" w:eastAsia="de-DE" w:bidi="ne-NP"/>
        </w:rPr>
        <w:t xml:space="preserve"> </w:t>
      </w:r>
      <w:r w:rsidR="00B64E9A" w:rsidRPr="00135B9D">
        <w:rPr>
          <w:rFonts w:asciiTheme="minorHAnsi" w:hAnsiTheme="minorHAnsi"/>
          <w:b/>
          <w:bCs/>
          <w:i/>
          <w:iCs/>
          <w:color w:val="auto"/>
          <w:szCs w:val="22"/>
          <w:lang w:val="en-IE" w:eastAsia="de-DE" w:bidi="ne-NP"/>
        </w:rPr>
        <w:t xml:space="preserve">known to be </w:t>
      </w:r>
      <w:r w:rsidRPr="00135B9D">
        <w:rPr>
          <w:rFonts w:asciiTheme="minorHAnsi" w:hAnsiTheme="minorHAnsi"/>
          <w:b/>
          <w:bCs/>
          <w:i/>
          <w:iCs/>
          <w:color w:val="auto"/>
          <w:szCs w:val="22"/>
          <w:lang w:val="en-IE" w:eastAsia="de-DE" w:bidi="ne-NP"/>
        </w:rPr>
        <w:t xml:space="preserve">a </w:t>
      </w:r>
      <w:r w:rsidR="00B64E9A" w:rsidRPr="00135B9D">
        <w:rPr>
          <w:rFonts w:asciiTheme="minorHAnsi" w:hAnsiTheme="minorHAnsi"/>
          <w:b/>
          <w:bCs/>
          <w:i/>
          <w:iCs/>
          <w:color w:val="auto"/>
          <w:szCs w:val="22"/>
          <w:lang w:val="en-IE" w:eastAsia="de-DE" w:bidi="ne-NP"/>
        </w:rPr>
        <w:t>close associate</w:t>
      </w:r>
      <w:r w:rsidRPr="00135B9D">
        <w:rPr>
          <w:rFonts w:asciiTheme="minorHAnsi" w:hAnsiTheme="minorHAnsi"/>
          <w:b/>
          <w:bCs/>
          <w:i/>
          <w:iCs/>
          <w:color w:val="auto"/>
          <w:szCs w:val="22"/>
          <w:lang w:val="en-IE" w:eastAsia="de-DE" w:bidi="ne-NP"/>
        </w:rPr>
        <w:t>’</w:t>
      </w:r>
      <w:r>
        <w:rPr>
          <w:rFonts w:asciiTheme="minorHAnsi" w:hAnsiTheme="minorHAnsi"/>
          <w:color w:val="auto"/>
          <w:szCs w:val="22"/>
          <w:lang w:val="en-IE" w:eastAsia="de-DE" w:bidi="ne-NP"/>
        </w:rPr>
        <w:t xml:space="preserve"> </w:t>
      </w:r>
      <w:r w:rsidR="00152783">
        <w:rPr>
          <w:rFonts w:asciiTheme="minorHAnsi" w:hAnsiTheme="minorHAnsi"/>
          <w:color w:val="auto"/>
          <w:szCs w:val="22"/>
          <w:lang w:val="en-IE" w:eastAsia="de-DE" w:bidi="ne-NP"/>
        </w:rPr>
        <w:t xml:space="preserve">(of a PEP) </w:t>
      </w:r>
      <w:r>
        <w:rPr>
          <w:rFonts w:asciiTheme="minorHAnsi" w:hAnsiTheme="minorHAnsi"/>
          <w:color w:val="auto"/>
          <w:szCs w:val="22"/>
          <w:lang w:val="en-IE" w:eastAsia="de-DE" w:bidi="ne-NP"/>
        </w:rPr>
        <w:t xml:space="preserve">means, </w:t>
      </w:r>
      <w:r w:rsidR="00714261">
        <w:rPr>
          <w:rFonts w:asciiTheme="minorHAnsi" w:hAnsiTheme="minorHAnsi"/>
          <w:color w:val="auto"/>
          <w:szCs w:val="22"/>
          <w:lang w:val="en-IE" w:eastAsia="de-DE" w:bidi="ne-NP"/>
        </w:rPr>
        <w:t>in accordance with</w:t>
      </w:r>
      <w:r w:rsidR="00B64E9A" w:rsidRPr="00135B9D">
        <w:rPr>
          <w:rFonts w:asciiTheme="minorHAnsi" w:hAnsiTheme="minorHAnsi"/>
          <w:color w:val="auto"/>
          <w:szCs w:val="22"/>
          <w:lang w:val="en-IE" w:eastAsia="de-DE" w:bidi="ne-NP"/>
        </w:rPr>
        <w:t xml:space="preserve"> Article 2(1)</w:t>
      </w:r>
      <w:r w:rsidR="00714261">
        <w:rPr>
          <w:rFonts w:asciiTheme="minorHAnsi" w:hAnsiTheme="minorHAnsi"/>
          <w:color w:val="auto"/>
          <w:szCs w:val="22"/>
          <w:lang w:val="en-IE" w:eastAsia="de-DE" w:bidi="ne-NP"/>
        </w:rPr>
        <w:t xml:space="preserve">(36) </w:t>
      </w:r>
      <w:r w:rsidR="00632313">
        <w:rPr>
          <w:rFonts w:asciiTheme="minorHAnsi" w:hAnsiTheme="minorHAnsi"/>
          <w:color w:val="auto"/>
          <w:szCs w:val="22"/>
          <w:lang w:val="en-IE" w:eastAsia="de-DE" w:bidi="ne-NP"/>
        </w:rPr>
        <w:t>AMLR</w:t>
      </w:r>
      <w:r w:rsidR="00B64E9A" w:rsidRPr="00135B9D">
        <w:rPr>
          <w:rFonts w:asciiTheme="minorHAnsi" w:hAnsiTheme="minorHAnsi"/>
          <w:color w:val="auto"/>
          <w:szCs w:val="22"/>
          <w:lang w:val="en-IE" w:eastAsia="de-DE" w:bidi="ne-NP"/>
        </w:rPr>
        <w:t>:</w:t>
      </w:r>
    </w:p>
    <w:p w14:paraId="5CD1ABD5" w14:textId="77777777" w:rsidR="00B64E9A" w:rsidRPr="00135B9D" w:rsidRDefault="00B64E9A" w:rsidP="00135B9D">
      <w:pPr>
        <w:ind w:left="142"/>
        <w:jc w:val="both"/>
        <w:rPr>
          <w:rFonts w:asciiTheme="minorHAnsi" w:hAnsiTheme="minorHAnsi"/>
          <w:color w:val="auto"/>
          <w:szCs w:val="22"/>
          <w:lang w:eastAsia="de-DE" w:bidi="ne-NP"/>
        </w:rPr>
      </w:pPr>
      <w:r w:rsidRPr="00135B9D">
        <w:rPr>
          <w:rFonts w:asciiTheme="minorHAnsi" w:hAnsiTheme="minorHAnsi"/>
          <w:color w:val="auto"/>
          <w:szCs w:val="22"/>
          <w:lang w:eastAsia="de-DE" w:bidi="ne-NP"/>
        </w:rPr>
        <w:t>(a) a natural person who is known to have joint beneficial ownership of legal entities or legal arrangements, or any other close business relations, with a PEP;</w:t>
      </w:r>
    </w:p>
    <w:p w14:paraId="72B9EFAE" w14:textId="77777777" w:rsidR="00B64E9A" w:rsidRDefault="00B64E9A" w:rsidP="00135B9D">
      <w:pPr>
        <w:ind w:left="142"/>
        <w:jc w:val="both"/>
        <w:rPr>
          <w:rFonts w:asciiTheme="minorHAnsi" w:hAnsiTheme="minorHAnsi"/>
          <w:color w:val="auto"/>
          <w:szCs w:val="22"/>
          <w:lang w:eastAsia="de-DE" w:bidi="ne-NP"/>
        </w:rPr>
      </w:pPr>
      <w:r w:rsidRPr="00135B9D">
        <w:rPr>
          <w:rFonts w:asciiTheme="minorHAnsi" w:hAnsiTheme="minorHAnsi"/>
          <w:color w:val="auto"/>
          <w:szCs w:val="22"/>
          <w:lang w:eastAsia="de-DE" w:bidi="ne-NP"/>
        </w:rPr>
        <w:t>(b) a natural person who has sole beneficial ownership of a legal entity or legal arrangement which is known to have been set up for the de facto benefit of a PEP.</w:t>
      </w:r>
    </w:p>
    <w:p w14:paraId="743C1D02" w14:textId="77777777" w:rsidR="002B6A51" w:rsidRPr="00135B9D" w:rsidRDefault="002B6A51" w:rsidP="002B6A51">
      <w:pPr>
        <w:ind w:left="142"/>
        <w:jc w:val="both"/>
        <w:rPr>
          <w:rFonts w:asciiTheme="minorHAnsi" w:hAnsiTheme="minorHAnsi"/>
          <w:color w:val="auto"/>
          <w:szCs w:val="22"/>
          <w:lang w:eastAsia="de-DE" w:bidi="ne-NP"/>
        </w:rPr>
      </w:pPr>
    </w:p>
    <w:p w14:paraId="2CD6213D" w14:textId="7A3E27B9" w:rsidR="000461C4" w:rsidRPr="006436F4" w:rsidRDefault="000461C4" w:rsidP="000461C4">
      <w:pPr>
        <w:pStyle w:val="body"/>
      </w:pPr>
      <w:r w:rsidRPr="006436F4">
        <w:rPr>
          <w:b/>
          <w:bCs/>
          <w:i/>
          <w:iCs/>
        </w:rPr>
        <w:t>‘</w:t>
      </w:r>
      <w:r w:rsidR="00394C77">
        <w:rPr>
          <w:b/>
          <w:bCs/>
          <w:i/>
          <w:iCs/>
        </w:rPr>
        <w:t>Customer initiated t</w:t>
      </w:r>
      <w:r w:rsidRPr="006436F4">
        <w:rPr>
          <w:b/>
          <w:bCs/>
          <w:i/>
          <w:iCs/>
        </w:rPr>
        <w:t>ransaction’</w:t>
      </w:r>
      <w:r w:rsidRPr="006436F4">
        <w:rPr>
          <w:b/>
          <w:bCs/>
        </w:rPr>
        <w:t xml:space="preserve"> </w:t>
      </w:r>
      <w:r>
        <w:t>means</w:t>
      </w:r>
      <w:r w:rsidRPr="009D71F3">
        <w:t xml:space="preserve"> any operation or activity initiated by the customer involving the transfer or movement of funds, crypto</w:t>
      </w:r>
      <w:r w:rsidRPr="009D71F3">
        <w:noBreakHyphen/>
        <w:t xml:space="preserve">assets, securities, or other assets or value. A transaction is considered </w:t>
      </w:r>
      <w:r w:rsidRPr="009D71F3">
        <w:rPr>
          <w:i/>
          <w:iCs/>
        </w:rPr>
        <w:t>customer</w:t>
      </w:r>
      <w:r w:rsidRPr="009D71F3">
        <w:rPr>
          <w:i/>
          <w:iCs/>
        </w:rPr>
        <w:noBreakHyphen/>
        <w:t>initiated</w:t>
      </w:r>
      <w:r w:rsidRPr="009D71F3">
        <w:t xml:space="preserve"> if it is triggered by the customer’s action or mandate</w:t>
      </w:r>
      <w:r>
        <w:t xml:space="preserve"> (‘instruction’)</w:t>
      </w:r>
      <w:r w:rsidRPr="009D71F3">
        <w:t>, including instructions that lead to automated or recurring execution (e.g., standing orders, direct debits, pre</w:t>
      </w:r>
      <w:r w:rsidRPr="009D71F3">
        <w:noBreakHyphen/>
        <w:t>authorized securities orders).</w:t>
      </w:r>
      <w:r>
        <w:t xml:space="preserve"> </w:t>
      </w:r>
    </w:p>
    <w:p w14:paraId="2DC5FE99" w14:textId="77777777" w:rsidR="000461C4" w:rsidRDefault="000461C4" w:rsidP="00F82C42">
      <w:pPr>
        <w:pStyle w:val="body"/>
        <w:numPr>
          <w:ilvl w:val="0"/>
          <w:numId w:val="131"/>
        </w:numPr>
        <w:rPr>
          <w:lang w:val="en-GB"/>
        </w:rPr>
      </w:pPr>
      <w:r w:rsidRPr="00D31BC8">
        <w:t>Indicative (non</w:t>
      </w:r>
      <w:r w:rsidRPr="00135B9D">
        <w:rPr>
          <w:lang w:val="en-GB"/>
        </w:rPr>
        <w:t>-</w:t>
      </w:r>
      <w:r w:rsidRPr="00D31BC8">
        <w:t>exhaustive) list of operations that should typically be considered as transactions, provided they are initiated by the customer:</w:t>
      </w:r>
    </w:p>
    <w:p w14:paraId="7C5F2D9C" w14:textId="77777777" w:rsidR="000461C4" w:rsidRPr="000B320A" w:rsidRDefault="000461C4" w:rsidP="00F82C42">
      <w:pPr>
        <w:pStyle w:val="ListParagraph"/>
        <w:numPr>
          <w:ilvl w:val="1"/>
          <w:numId w:val="77"/>
        </w:numPr>
        <w:spacing w:before="0" w:line="240" w:lineRule="auto"/>
        <w:rPr>
          <w:rFonts w:asciiTheme="minorHAnsi" w:eastAsiaTheme="minorEastAsia" w:hAnsiTheme="minorHAnsi"/>
          <w:kern w:val="0"/>
          <w:szCs w:val="24"/>
          <w:lang w:val="en-GB"/>
        </w:rPr>
      </w:pPr>
      <w:r w:rsidRPr="000B320A">
        <w:rPr>
          <w:rFonts w:asciiTheme="minorHAnsi" w:eastAsiaTheme="minorEastAsia" w:hAnsiTheme="minorHAnsi"/>
          <w:kern w:val="0"/>
          <w:szCs w:val="24"/>
          <w:lang w:val="en-GB"/>
        </w:rPr>
        <w:t>Physical cash transactions (deposits/withdrawals)</w:t>
      </w:r>
    </w:p>
    <w:p w14:paraId="7F1D641E" w14:textId="77777777" w:rsidR="000461C4" w:rsidRPr="000B320A" w:rsidRDefault="000461C4" w:rsidP="00F82C42">
      <w:pPr>
        <w:pStyle w:val="ListParagraph"/>
        <w:numPr>
          <w:ilvl w:val="1"/>
          <w:numId w:val="77"/>
        </w:numPr>
        <w:spacing w:before="0" w:line="240" w:lineRule="auto"/>
        <w:rPr>
          <w:rFonts w:asciiTheme="minorHAnsi" w:eastAsiaTheme="minorEastAsia" w:hAnsiTheme="minorHAnsi"/>
          <w:kern w:val="0"/>
          <w:szCs w:val="24"/>
          <w:lang w:val="en-GB"/>
        </w:rPr>
      </w:pPr>
      <w:r w:rsidRPr="000B320A">
        <w:rPr>
          <w:rFonts w:asciiTheme="minorHAnsi" w:hAnsiTheme="minorHAnsi"/>
          <w:lang w:val="en-GB"/>
        </w:rPr>
        <w:t>Debit/credit card transactions</w:t>
      </w:r>
    </w:p>
    <w:p w14:paraId="7DE10F70" w14:textId="77777777" w:rsidR="000461C4" w:rsidRPr="000B320A" w:rsidRDefault="000461C4" w:rsidP="00F82C42">
      <w:pPr>
        <w:pStyle w:val="ListParagraph"/>
        <w:numPr>
          <w:ilvl w:val="1"/>
          <w:numId w:val="77"/>
        </w:numPr>
        <w:spacing w:before="0" w:line="240" w:lineRule="auto"/>
        <w:rPr>
          <w:rFonts w:asciiTheme="minorHAnsi" w:eastAsiaTheme="minorEastAsia" w:hAnsiTheme="minorHAnsi"/>
          <w:kern w:val="0"/>
          <w:szCs w:val="24"/>
          <w:lang w:val="en-GB"/>
        </w:rPr>
      </w:pPr>
      <w:r w:rsidRPr="000B320A">
        <w:rPr>
          <w:rFonts w:asciiTheme="minorHAnsi" w:hAnsiTheme="minorHAnsi"/>
          <w:lang w:val="en-GB"/>
        </w:rPr>
        <w:t>Transfer of value through account-to-account transfers, whether internal or external</w:t>
      </w:r>
    </w:p>
    <w:p w14:paraId="241E5666" w14:textId="77777777" w:rsidR="000461C4" w:rsidRPr="000B320A" w:rsidRDefault="000461C4" w:rsidP="00F82C42">
      <w:pPr>
        <w:pStyle w:val="ListParagraph"/>
        <w:numPr>
          <w:ilvl w:val="1"/>
          <w:numId w:val="77"/>
        </w:numPr>
        <w:spacing w:before="0" w:line="240" w:lineRule="auto"/>
        <w:rPr>
          <w:rFonts w:asciiTheme="minorHAnsi" w:eastAsiaTheme="minorEastAsia" w:hAnsiTheme="minorHAnsi"/>
          <w:kern w:val="0"/>
          <w:szCs w:val="24"/>
          <w:lang w:val="en-GB"/>
        </w:rPr>
      </w:pPr>
      <w:r w:rsidRPr="000B320A">
        <w:rPr>
          <w:rFonts w:asciiTheme="minorHAnsi" w:hAnsiTheme="minorHAnsi"/>
          <w:lang w:val="en-GB"/>
        </w:rPr>
        <w:t>Transactions involving monetary instruments (traveller’s cheques, money orders)</w:t>
      </w:r>
    </w:p>
    <w:p w14:paraId="5168237C" w14:textId="77777777" w:rsidR="000461C4" w:rsidRPr="000B320A" w:rsidRDefault="000461C4" w:rsidP="00F82C42">
      <w:pPr>
        <w:pStyle w:val="ListParagraph"/>
        <w:numPr>
          <w:ilvl w:val="1"/>
          <w:numId w:val="77"/>
        </w:numPr>
        <w:spacing w:before="0" w:line="240" w:lineRule="auto"/>
        <w:rPr>
          <w:rFonts w:asciiTheme="minorHAnsi" w:eastAsiaTheme="minorEastAsia" w:hAnsiTheme="minorHAnsi"/>
          <w:kern w:val="0"/>
          <w:szCs w:val="24"/>
          <w:lang w:val="en-GB"/>
        </w:rPr>
      </w:pPr>
      <w:r w:rsidRPr="000B320A">
        <w:rPr>
          <w:rFonts w:asciiTheme="minorHAnsi" w:hAnsiTheme="minorHAnsi"/>
          <w:lang w:val="en-GB"/>
        </w:rPr>
        <w:t>Transfer of assets under custody</w:t>
      </w:r>
    </w:p>
    <w:p w14:paraId="7DA6DF15" w14:textId="77777777" w:rsidR="000461C4" w:rsidRPr="000B320A" w:rsidRDefault="000461C4" w:rsidP="00F82C42">
      <w:pPr>
        <w:pStyle w:val="ListParagraph"/>
        <w:numPr>
          <w:ilvl w:val="1"/>
          <w:numId w:val="77"/>
        </w:numPr>
        <w:spacing w:before="0" w:line="240" w:lineRule="auto"/>
        <w:rPr>
          <w:rFonts w:asciiTheme="minorHAnsi" w:eastAsiaTheme="minorEastAsia" w:hAnsiTheme="minorHAnsi"/>
          <w:kern w:val="0"/>
          <w:szCs w:val="24"/>
          <w:lang w:val="en-GB"/>
        </w:rPr>
      </w:pPr>
      <w:r w:rsidRPr="000B320A">
        <w:rPr>
          <w:rFonts w:asciiTheme="minorHAnsi" w:hAnsiTheme="minorHAnsi"/>
          <w:lang w:val="en-GB"/>
        </w:rPr>
        <w:t>Direct debit collections</w:t>
      </w:r>
    </w:p>
    <w:p w14:paraId="72B65BE7" w14:textId="77777777" w:rsidR="000461C4" w:rsidRPr="000B320A" w:rsidRDefault="000461C4" w:rsidP="00F82C42">
      <w:pPr>
        <w:pStyle w:val="ListParagraph"/>
        <w:numPr>
          <w:ilvl w:val="1"/>
          <w:numId w:val="77"/>
        </w:numPr>
        <w:spacing w:before="0" w:line="240" w:lineRule="auto"/>
        <w:rPr>
          <w:rFonts w:asciiTheme="minorHAnsi" w:eastAsiaTheme="minorEastAsia" w:hAnsiTheme="minorHAnsi"/>
          <w:kern w:val="0"/>
          <w:szCs w:val="24"/>
          <w:lang w:val="en-GB"/>
        </w:rPr>
      </w:pPr>
      <w:r w:rsidRPr="000B320A">
        <w:rPr>
          <w:rFonts w:asciiTheme="minorHAnsi" w:hAnsiTheme="minorHAnsi"/>
          <w:lang w:val="en-GB"/>
        </w:rPr>
        <w:t>Standing orders</w:t>
      </w:r>
    </w:p>
    <w:p w14:paraId="3ADA1212" w14:textId="77777777" w:rsidR="000461C4" w:rsidRPr="000B320A" w:rsidRDefault="000461C4" w:rsidP="00F82C42">
      <w:pPr>
        <w:pStyle w:val="ListParagraph"/>
        <w:numPr>
          <w:ilvl w:val="1"/>
          <w:numId w:val="77"/>
        </w:numPr>
        <w:spacing w:before="0" w:line="240" w:lineRule="auto"/>
        <w:rPr>
          <w:rFonts w:asciiTheme="minorHAnsi" w:eastAsiaTheme="minorEastAsia" w:hAnsiTheme="minorHAnsi"/>
          <w:kern w:val="0"/>
          <w:szCs w:val="24"/>
          <w:lang w:val="en-GB"/>
        </w:rPr>
      </w:pPr>
      <w:r w:rsidRPr="000B320A">
        <w:rPr>
          <w:rFonts w:asciiTheme="minorHAnsi" w:hAnsiTheme="minorHAnsi"/>
          <w:lang w:val="en-GB"/>
        </w:rPr>
        <w:t>Loan repayments</w:t>
      </w:r>
    </w:p>
    <w:p w14:paraId="3E55847F" w14:textId="77777777" w:rsidR="000461C4" w:rsidRPr="000B320A" w:rsidRDefault="000461C4" w:rsidP="00F82C42">
      <w:pPr>
        <w:pStyle w:val="ListParagraph"/>
        <w:numPr>
          <w:ilvl w:val="1"/>
          <w:numId w:val="77"/>
        </w:numPr>
        <w:spacing w:before="0" w:line="240" w:lineRule="auto"/>
        <w:rPr>
          <w:rFonts w:asciiTheme="minorHAnsi" w:eastAsiaTheme="minorEastAsia" w:hAnsiTheme="minorHAnsi"/>
          <w:kern w:val="0"/>
          <w:szCs w:val="24"/>
          <w:lang w:val="en-GB"/>
        </w:rPr>
      </w:pPr>
      <w:r w:rsidRPr="000B320A">
        <w:rPr>
          <w:rFonts w:asciiTheme="minorHAnsi" w:hAnsiTheme="minorHAnsi"/>
          <w:lang w:val="en-GB"/>
        </w:rPr>
        <w:t>Purchase, sale, subscription, redemption, or exchange of financial instruments</w:t>
      </w:r>
    </w:p>
    <w:p w14:paraId="71B8EE21" w14:textId="2DD7794F" w:rsidR="000461C4" w:rsidRPr="000B320A" w:rsidRDefault="000461C4" w:rsidP="00F82C42">
      <w:pPr>
        <w:pStyle w:val="ListParagraph"/>
        <w:numPr>
          <w:ilvl w:val="1"/>
          <w:numId w:val="77"/>
        </w:numPr>
        <w:spacing w:before="0" w:line="240" w:lineRule="auto"/>
        <w:rPr>
          <w:rFonts w:asciiTheme="minorHAnsi" w:hAnsiTheme="minorHAnsi"/>
          <w:lang w:val="en-GB"/>
        </w:rPr>
      </w:pPr>
      <w:r w:rsidRPr="000B320A">
        <w:rPr>
          <w:rFonts w:asciiTheme="minorHAnsi" w:hAnsiTheme="minorHAnsi"/>
          <w:lang w:val="en-GB"/>
        </w:rPr>
        <w:t>Top up, transfer, or spending of anonymous or prepaid cards</w:t>
      </w:r>
    </w:p>
    <w:p w14:paraId="5E945994" w14:textId="77777777" w:rsidR="000461C4" w:rsidRPr="000B320A" w:rsidRDefault="000461C4" w:rsidP="00F82C42">
      <w:pPr>
        <w:pStyle w:val="ListParagraph"/>
        <w:numPr>
          <w:ilvl w:val="1"/>
          <w:numId w:val="77"/>
        </w:numPr>
        <w:spacing w:before="0" w:line="240" w:lineRule="auto"/>
        <w:rPr>
          <w:rFonts w:asciiTheme="minorHAnsi" w:hAnsiTheme="minorHAnsi"/>
          <w:lang w:val="en-GB"/>
        </w:rPr>
      </w:pPr>
      <w:r w:rsidRPr="000B320A">
        <w:rPr>
          <w:rFonts w:asciiTheme="minorHAnsi" w:hAnsiTheme="minorHAnsi"/>
          <w:lang w:val="en-GB"/>
        </w:rPr>
        <w:t>Insurance premium payments (including one off and recurring contributions to life insurance and similar financial insurance products)</w:t>
      </w:r>
    </w:p>
    <w:p w14:paraId="7C3D6AB0" w14:textId="77777777" w:rsidR="000461C4" w:rsidRPr="000B320A" w:rsidRDefault="000461C4" w:rsidP="00F82C42">
      <w:pPr>
        <w:pStyle w:val="ListParagraph"/>
        <w:numPr>
          <w:ilvl w:val="1"/>
          <w:numId w:val="77"/>
        </w:numPr>
        <w:spacing w:before="0" w:line="240" w:lineRule="auto"/>
        <w:rPr>
          <w:rFonts w:asciiTheme="minorHAnsi" w:hAnsiTheme="minorHAnsi"/>
          <w:lang w:val="en-GB"/>
        </w:rPr>
      </w:pPr>
      <w:r w:rsidRPr="000B320A">
        <w:rPr>
          <w:rFonts w:asciiTheme="minorHAnsi" w:hAnsiTheme="minorHAnsi"/>
          <w:lang w:val="en-GB"/>
        </w:rPr>
        <w:t>Insurance withdrawals, partial surrenders, or policy redemptions initiated by the customer</w:t>
      </w:r>
    </w:p>
    <w:p w14:paraId="5B32DFAA" w14:textId="66ADE8E7" w:rsidR="000461C4" w:rsidRPr="000B320A" w:rsidRDefault="000461C4" w:rsidP="00F82C42">
      <w:pPr>
        <w:pStyle w:val="ListParagraph"/>
        <w:numPr>
          <w:ilvl w:val="1"/>
          <w:numId w:val="77"/>
        </w:numPr>
        <w:spacing w:before="0" w:line="240" w:lineRule="auto"/>
        <w:rPr>
          <w:rFonts w:asciiTheme="minorHAnsi" w:hAnsiTheme="minorHAnsi"/>
          <w:lang w:val="en-GB"/>
        </w:rPr>
      </w:pPr>
      <w:r w:rsidRPr="000B320A">
        <w:rPr>
          <w:rFonts w:asciiTheme="minorHAnsi" w:hAnsiTheme="minorHAnsi"/>
          <w:lang w:val="en-GB"/>
        </w:rPr>
        <w:t xml:space="preserve">Operations registered on the blockchain, or executed </w:t>
      </w:r>
      <w:r w:rsidR="00360109">
        <w:rPr>
          <w:rFonts w:asciiTheme="minorHAnsi" w:hAnsiTheme="minorHAnsi"/>
          <w:lang w:val="en-GB"/>
        </w:rPr>
        <w:t>in</w:t>
      </w:r>
      <w:r w:rsidRPr="000B320A">
        <w:rPr>
          <w:rFonts w:asciiTheme="minorHAnsi" w:hAnsiTheme="minorHAnsi"/>
          <w:lang w:val="en-GB"/>
        </w:rPr>
        <w:t xml:space="preserve"> layer 2 environments as well as within a CASP’s internal ledgers.</w:t>
      </w:r>
    </w:p>
    <w:p w14:paraId="612F45ED" w14:textId="77777777" w:rsidR="000461C4" w:rsidRPr="000B320A" w:rsidRDefault="000461C4" w:rsidP="00D27C65">
      <w:pPr>
        <w:pStyle w:val="ListParagraph"/>
        <w:spacing w:before="0" w:line="240" w:lineRule="auto"/>
        <w:ind w:left="2160"/>
        <w:rPr>
          <w:rFonts w:asciiTheme="minorHAnsi" w:hAnsiTheme="minorHAnsi"/>
          <w:lang w:val="en-GB"/>
        </w:rPr>
      </w:pPr>
    </w:p>
    <w:p w14:paraId="49BB752B" w14:textId="77777777" w:rsidR="000461C4" w:rsidRPr="000B320A" w:rsidRDefault="000461C4" w:rsidP="00F82C42">
      <w:pPr>
        <w:pStyle w:val="ListParagraph"/>
        <w:numPr>
          <w:ilvl w:val="0"/>
          <w:numId w:val="77"/>
        </w:numPr>
        <w:spacing w:before="0" w:line="240" w:lineRule="auto"/>
        <w:rPr>
          <w:rFonts w:asciiTheme="minorHAnsi" w:hAnsiTheme="minorHAnsi"/>
          <w:lang w:val="en-GB"/>
        </w:rPr>
      </w:pPr>
      <w:r w:rsidRPr="000B320A">
        <w:rPr>
          <w:rFonts w:asciiTheme="minorHAnsi" w:hAnsiTheme="minorHAnsi"/>
          <w:lang w:val="en-GB"/>
        </w:rPr>
        <w:t xml:space="preserve">Indicative (non-exhaustive) list of operations that should typically </w:t>
      </w:r>
      <w:r w:rsidRPr="00135B9D">
        <w:rPr>
          <w:rFonts w:asciiTheme="minorHAnsi" w:hAnsiTheme="minorHAnsi"/>
          <w:u w:val="single"/>
          <w:lang w:val="en-GB"/>
        </w:rPr>
        <w:t>not</w:t>
      </w:r>
      <w:r w:rsidRPr="000B320A">
        <w:rPr>
          <w:rFonts w:asciiTheme="minorHAnsi" w:hAnsiTheme="minorHAnsi"/>
          <w:lang w:val="en-GB"/>
        </w:rPr>
        <w:t xml:space="preserve"> be considered as transactions:</w:t>
      </w:r>
    </w:p>
    <w:p w14:paraId="03EACD16" w14:textId="77777777" w:rsidR="000461C4" w:rsidRPr="000B320A" w:rsidRDefault="000461C4" w:rsidP="00D27C65">
      <w:pPr>
        <w:pStyle w:val="ListParagraph"/>
        <w:spacing w:before="0" w:line="240" w:lineRule="auto"/>
        <w:ind w:left="1440"/>
        <w:rPr>
          <w:rFonts w:asciiTheme="minorHAnsi" w:hAnsiTheme="minorHAnsi"/>
          <w:lang w:val="en-GB"/>
        </w:rPr>
      </w:pPr>
    </w:p>
    <w:p w14:paraId="378AC87D" w14:textId="77777777" w:rsidR="000461C4" w:rsidRPr="000B320A" w:rsidRDefault="000461C4" w:rsidP="00F82C42">
      <w:pPr>
        <w:pStyle w:val="ListParagraph"/>
        <w:numPr>
          <w:ilvl w:val="1"/>
          <w:numId w:val="77"/>
        </w:numPr>
        <w:spacing w:before="0" w:line="240" w:lineRule="auto"/>
        <w:rPr>
          <w:rFonts w:asciiTheme="minorHAnsi" w:hAnsiTheme="minorHAnsi"/>
          <w:lang w:val="en-GB"/>
        </w:rPr>
      </w:pPr>
      <w:r w:rsidRPr="000B320A">
        <w:rPr>
          <w:rFonts w:asciiTheme="minorHAnsi" w:hAnsiTheme="minorHAnsi"/>
          <w:lang w:val="en-GB"/>
        </w:rPr>
        <w:t>Internal transfers between a customer’s own accounts within the same entity</w:t>
      </w:r>
    </w:p>
    <w:p w14:paraId="623A4364" w14:textId="77777777" w:rsidR="000461C4" w:rsidRPr="000B320A" w:rsidRDefault="000461C4" w:rsidP="00F82C42">
      <w:pPr>
        <w:pStyle w:val="ListParagraph"/>
        <w:numPr>
          <w:ilvl w:val="1"/>
          <w:numId w:val="77"/>
        </w:numPr>
        <w:spacing w:before="0" w:line="240" w:lineRule="auto"/>
        <w:rPr>
          <w:rFonts w:asciiTheme="minorHAnsi" w:hAnsiTheme="minorHAnsi"/>
          <w:lang w:val="en-GB"/>
        </w:rPr>
      </w:pPr>
      <w:r w:rsidRPr="000B320A">
        <w:rPr>
          <w:rFonts w:asciiTheme="minorHAnsi" w:hAnsiTheme="minorHAnsi"/>
          <w:lang w:val="en-GB"/>
        </w:rPr>
        <w:t>Operations not initiated by the customer (e.g. fees, commissions, interest accruals, tax adjustments, AMC initiated capital calls or distributions)</w:t>
      </w:r>
    </w:p>
    <w:p w14:paraId="70384751" w14:textId="77777777" w:rsidR="000461C4" w:rsidRPr="000B320A" w:rsidRDefault="000461C4" w:rsidP="00F82C42">
      <w:pPr>
        <w:pStyle w:val="ListParagraph"/>
        <w:numPr>
          <w:ilvl w:val="1"/>
          <w:numId w:val="77"/>
        </w:numPr>
        <w:spacing w:before="0" w:line="240" w:lineRule="auto"/>
        <w:rPr>
          <w:rFonts w:asciiTheme="minorHAnsi" w:hAnsiTheme="minorHAnsi"/>
          <w:lang w:val="en-GB"/>
        </w:rPr>
      </w:pPr>
      <w:r w:rsidRPr="000B320A">
        <w:rPr>
          <w:rFonts w:asciiTheme="minorHAnsi" w:hAnsiTheme="minorHAnsi"/>
          <w:lang w:val="en-GB"/>
        </w:rPr>
        <w:t>System generated movements (e.g., auto sweeps, margin calls not triggered by customer instruction)</w:t>
      </w:r>
    </w:p>
    <w:p w14:paraId="3A14CF29" w14:textId="77777777" w:rsidR="000461C4" w:rsidRPr="000B320A" w:rsidRDefault="000461C4" w:rsidP="00F82C42">
      <w:pPr>
        <w:pStyle w:val="ListParagraph"/>
        <w:numPr>
          <w:ilvl w:val="1"/>
          <w:numId w:val="77"/>
        </w:numPr>
        <w:spacing w:before="0" w:line="240" w:lineRule="auto"/>
        <w:rPr>
          <w:rFonts w:asciiTheme="minorHAnsi" w:hAnsiTheme="minorHAnsi"/>
          <w:lang w:val="en-GB"/>
        </w:rPr>
      </w:pPr>
      <w:r w:rsidRPr="000B320A">
        <w:rPr>
          <w:rFonts w:asciiTheme="minorHAnsi" w:hAnsiTheme="minorHAnsi"/>
          <w:lang w:val="en-GB"/>
        </w:rPr>
        <w:t>Transactions not involving value transfer, or non-executed (e.g., rejected, reversed, or failed transactions).</w:t>
      </w:r>
    </w:p>
    <w:p w14:paraId="2A034605" w14:textId="26DCB8B3" w:rsidR="0096384A" w:rsidRPr="002B6A51" w:rsidRDefault="00D27C65" w:rsidP="002B6A51">
      <w:pPr>
        <w:spacing w:before="0" w:after="0" w:line="240" w:lineRule="auto"/>
        <w:jc w:val="both"/>
        <w:rPr>
          <w:rFonts w:asciiTheme="minorHAnsi" w:eastAsia="Times New Roman" w:hAnsiTheme="minorHAnsi"/>
          <w:color w:val="000000"/>
          <w:kern w:val="0"/>
          <w:szCs w:val="22"/>
          <w:lang w:eastAsia="en-IE"/>
        </w:rPr>
      </w:pPr>
      <w:r w:rsidRPr="00F82C42">
        <w:rPr>
          <w:rFonts w:asciiTheme="minorHAnsi" w:eastAsia="Times New Roman" w:hAnsiTheme="minorHAnsi"/>
          <w:color w:val="000000"/>
          <w:kern w:val="0"/>
          <w:szCs w:val="22"/>
          <w:u w:val="single"/>
          <w:lang w:eastAsia="en-IE"/>
        </w:rPr>
        <w:t xml:space="preserve">For </w:t>
      </w:r>
      <w:r w:rsidR="000461C4" w:rsidRPr="00F82C42">
        <w:rPr>
          <w:rFonts w:asciiTheme="minorHAnsi" w:eastAsia="Times New Roman" w:hAnsiTheme="minorHAnsi"/>
          <w:color w:val="000000"/>
          <w:kern w:val="0"/>
          <w:szCs w:val="22"/>
          <w:u w:val="single"/>
          <w:lang w:eastAsia="en-IE"/>
        </w:rPr>
        <w:t>CASPs</w:t>
      </w:r>
      <w:r w:rsidR="000461C4" w:rsidRPr="00F82C42">
        <w:rPr>
          <w:rFonts w:asciiTheme="minorHAnsi" w:eastAsia="Times New Roman" w:hAnsiTheme="minorHAnsi"/>
          <w:color w:val="000000"/>
          <w:kern w:val="0"/>
          <w:szCs w:val="22"/>
          <w:lang w:eastAsia="en-IE"/>
        </w:rPr>
        <w:t xml:space="preserve">: As per </w:t>
      </w:r>
      <w:r w:rsidR="003D344D">
        <w:rPr>
          <w:rFonts w:asciiTheme="minorHAnsi" w:eastAsia="Times New Roman" w:hAnsiTheme="minorHAnsi" w:cs="Calibri"/>
          <w:color w:val="000000"/>
          <w:kern w:val="0"/>
          <w:sz w:val="20"/>
          <w:lang w:val="en-IE" w:eastAsia="en-IE"/>
        </w:rPr>
        <w:t xml:space="preserve">Article </w:t>
      </w:r>
      <w:r w:rsidR="000461C4" w:rsidRPr="00F82C42">
        <w:rPr>
          <w:rFonts w:asciiTheme="minorHAnsi" w:eastAsia="Times New Roman" w:hAnsiTheme="minorHAnsi"/>
          <w:color w:val="000000"/>
          <w:kern w:val="0"/>
          <w:szCs w:val="22"/>
          <w:lang w:eastAsia="en-IE"/>
        </w:rPr>
        <w:t xml:space="preserve">3(10) </w:t>
      </w:r>
      <w:r w:rsidR="00667A44" w:rsidRPr="00667A44">
        <w:rPr>
          <w:rFonts w:asciiTheme="minorHAnsi" w:eastAsia="Times New Roman" w:hAnsiTheme="minorHAnsi"/>
          <w:color w:val="000000"/>
          <w:kern w:val="0"/>
          <w:szCs w:val="22"/>
          <w:lang w:eastAsia="en-IE"/>
        </w:rPr>
        <w:t xml:space="preserve">Regulation (EU) 2023/1113 </w:t>
      </w:r>
      <w:r w:rsidR="000461C4" w:rsidRPr="00F82C42">
        <w:rPr>
          <w:rFonts w:asciiTheme="minorHAnsi" w:eastAsia="Times New Roman" w:hAnsiTheme="minorHAnsi"/>
          <w:color w:val="000000"/>
          <w:kern w:val="0"/>
          <w:szCs w:val="22"/>
          <w:lang w:eastAsia="en-IE"/>
        </w:rPr>
        <w:t>‘transfer of crypto-assets’ means any transaction with the aim of moving crypto-assets from one distributed ledger address, crypto-asset account or other device allowing the storage of crypto-assets to another, carried out by at least one crypto-asset service provider acting on behalf of either an originator or a beneficiary, irrespective of whether the originator and the beneficiary are the same person and irrespective of whether the crypto-asset service provider of the originator and that of the beneficiary are one and the same.</w:t>
      </w:r>
    </w:p>
    <w:sectPr w:rsidR="0096384A" w:rsidRPr="002B6A51" w:rsidSect="00B719EF">
      <w:headerReference w:type="even" r:id="rId20"/>
      <w:headerReference w:type="default" r:id="rId21"/>
      <w:footerReference w:type="default" r:id="rId22"/>
      <w:headerReference w:type="first" r:id="rId23"/>
      <w:footerReference w:type="first" r:id="rId24"/>
      <w:type w:val="continuous"/>
      <w:pgSz w:w="11907" w:h="16839" w:code="9"/>
      <w:pgMar w:top="2268" w:right="1554" w:bottom="1797" w:left="1554" w:header="862" w:footer="72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82" w:author="Niederdorfer Beate" w:date="2026-03-04T15:26:00Z" w:initials="BN">
    <w:p w14:paraId="79D4C531" w14:textId="77777777" w:rsidR="00AE58E9" w:rsidRDefault="00AE58E9" w:rsidP="00AE58E9">
      <w:pPr>
        <w:pStyle w:val="CommentText"/>
      </w:pPr>
      <w:r>
        <w:rPr>
          <w:rStyle w:val="CommentReference"/>
        </w:rPr>
        <w:annotationRef/>
      </w:r>
      <w:r>
        <w:t>This has been changed from the last Version and the inital EBA Questionnaire where it still was d) Board members / non-executive directors. Could you clarify why this change was made?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D4C5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493CEF0" w16cex:dateUtc="2026-03-04T14: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D4C531" w16cid:durableId="7493CEF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23C4D" w14:textId="77777777" w:rsidR="004C4FAA" w:rsidRDefault="004C4FAA">
      <w:pPr>
        <w:spacing w:after="0" w:line="240" w:lineRule="auto"/>
      </w:pPr>
      <w:r>
        <w:separator/>
      </w:r>
    </w:p>
  </w:endnote>
  <w:endnote w:type="continuationSeparator" w:id="0">
    <w:p w14:paraId="06BAC2AB" w14:textId="77777777" w:rsidR="004C4FAA" w:rsidRDefault="004C4FAA">
      <w:pPr>
        <w:spacing w:after="0" w:line="240" w:lineRule="auto"/>
      </w:pPr>
      <w:r>
        <w:continuationSeparator/>
      </w:r>
    </w:p>
  </w:endnote>
  <w:endnote w:type="continuationNotice" w:id="1">
    <w:p w14:paraId="12941D5B" w14:textId="77777777" w:rsidR="004C4FAA" w:rsidRDefault="004C4FA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Light">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quot;Calibri&quot;,sans-serif">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SemiBold">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Headings)">
    <w:altName w:val="Arial"/>
    <w:charset w:val="00"/>
    <w:family w:val="roman"/>
    <w:pitch w:val="default"/>
  </w:font>
  <w:font w:name="Aptos Display (Headings)">
    <w:altName w:val="Aptos Display"/>
    <w:charset w:val="00"/>
    <w:family w:val="swiss"/>
    <w:pitch w:val="variable"/>
    <w:sig w:usb0="20000287" w:usb1="00000003" w:usb2="00000000" w:usb3="00000000" w:csb0="0000019F" w:csb1="00000000"/>
  </w:font>
  <w:font w:name="EC Square Sans Cond Pro">
    <w:altName w:val="Calibri"/>
    <w:panose1 w:val="00000000000000000000"/>
    <w:charset w:val="00"/>
    <w:family w:val="swiss"/>
    <w:notTrueType/>
    <w:pitch w:val="variable"/>
    <w:sig w:usb0="00000287" w:usb1="00000001"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E24CE" w14:textId="77777777" w:rsidR="00C936DE" w:rsidRDefault="00C936DE">
    <w:pPr>
      <w:pStyle w:val="Footer"/>
    </w:pPr>
    <w:r>
      <w:fldChar w:fldCharType="begin"/>
    </w:r>
    <w:r>
      <w:instrText xml:space="preserve"> page </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E9FF1" w14:textId="77777777" w:rsidR="009A1F18" w:rsidRDefault="001F21F7">
    <w:pPr>
      <w:pStyle w:val="Footer"/>
    </w:pPr>
    <w:r w:rsidRPr="00702D52">
      <w:rPr>
        <w:rStyle w:val="PageNumber"/>
        <w:noProof/>
      </w:rPr>
      <mc:AlternateContent>
        <mc:Choice Requires="wps">
          <w:drawing>
            <wp:anchor distT="0" distB="0" distL="114300" distR="114300" simplePos="0" relativeHeight="251658241" behindDoc="0" locked="0" layoutInCell="1" allowOverlap="1" wp14:anchorId="71175C5C" wp14:editId="283F1987">
              <wp:simplePos x="0" y="0"/>
              <wp:positionH relativeFrom="column">
                <wp:posOffset>4399915</wp:posOffset>
              </wp:positionH>
              <wp:positionV relativeFrom="paragraph">
                <wp:posOffset>-93345</wp:posOffset>
              </wp:positionV>
              <wp:extent cx="1609200" cy="288000"/>
              <wp:effectExtent l="0" t="0" r="0" b="0"/>
              <wp:wrapNone/>
              <wp:docPr id="2092819804" name="Text Box 2092819804"/>
              <wp:cNvGraphicFramePr/>
              <a:graphic xmlns:a="http://schemas.openxmlformats.org/drawingml/2006/main">
                <a:graphicData uri="http://schemas.microsoft.com/office/word/2010/wordprocessingShape">
                  <wps:wsp>
                    <wps:cNvSpPr txBox="1"/>
                    <wps:spPr>
                      <a:xfrm>
                        <a:off x="0" y="0"/>
                        <a:ext cx="1609200" cy="288000"/>
                      </a:xfrm>
                      <a:prstGeom prst="rect">
                        <a:avLst/>
                      </a:prstGeom>
                      <a:noFill/>
                      <a:ln w="6350">
                        <a:noFill/>
                      </a:ln>
                    </wps:spPr>
                    <wps:txbx>
                      <w:txbxContent>
                        <w:p w14:paraId="2698D604" w14:textId="078E5738" w:rsidR="001F21F7" w:rsidRPr="00732EA3" w:rsidRDefault="001F21F7" w:rsidP="001F21F7">
                          <w:pPr>
                            <w:pStyle w:val="Placeanddate"/>
                          </w:pPr>
                          <w:r>
                            <w:t>Frankfurt</w:t>
                          </w:r>
                          <w:r w:rsidR="00C46203">
                            <w:t xml:space="preserve"> am Main</w:t>
                          </w:r>
                          <w:r w:rsidRPr="00732EA3">
                            <w:t xml:space="preserve"> </w:t>
                          </w:r>
                          <w:r w:rsidR="00E74E0C">
                            <w:t>–</w:t>
                          </w:r>
                          <w:r w:rsidR="0051134A">
                            <w:t xml:space="preserve"> 02/03/2</w:t>
                          </w:r>
                          <w:r w:rsidR="00AE4CA8">
                            <w:t>6</w:t>
                          </w:r>
                          <w:r w:rsidR="0051134A">
                            <w:t xml:space="preserve"> 02/003/202</w:t>
                          </w:r>
                          <w:r>
                            <w:t xml:space="preserve"> </w:t>
                          </w:r>
                          <w:r w:rsidR="0051134A">
                            <w:t>02</w:t>
                          </w:r>
                          <w:r w:rsidR="00E74E0C">
                            <w:t>02/03/2026</w:t>
                          </w:r>
                          <w:r w:rsidR="00A01335">
                            <w:t xml:space="preserve"> 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175C5C" id="_x0000_t202" coordsize="21600,21600" o:spt="202" path="m,l,21600r21600,l21600,xe">
              <v:stroke joinstyle="miter"/>
              <v:path gradientshapeok="t" o:connecttype="rect"/>
            </v:shapetype>
            <v:shape id="Text Box 2092819804" o:spid="_x0000_s1028" type="#_x0000_t202" style="position:absolute;margin-left:346.45pt;margin-top:-7.35pt;width:126.7pt;height:22.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" filled="f" stroked="f" strokeweight=".5pt">
              <v:textbox>
                <w:txbxContent>
                  <w:p w14:paraId="2698D604" w14:textId="078E5738" w:rsidR="001F21F7" w:rsidRPr="00732EA3" w:rsidRDefault="001F21F7" w:rsidP="001F21F7">
                    <w:pPr>
                      <w:pStyle w:val="Placeanddate"/>
                    </w:pPr>
                    <w:r>
                      <w:t>Frankfurt</w:t>
                    </w:r>
                    <w:r w:rsidR="00C46203">
                      <w:t xml:space="preserve"> am Main</w:t>
                    </w:r>
                    <w:r w:rsidRPr="00732EA3">
                      <w:t xml:space="preserve"> </w:t>
                    </w:r>
                    <w:r w:rsidR="00E74E0C">
                      <w:t>–</w:t>
                    </w:r>
                    <w:r w:rsidR="0051134A">
                      <w:t xml:space="preserve"> 02/03/2</w:t>
                    </w:r>
                    <w:r w:rsidR="00AE4CA8">
                      <w:t>6</w:t>
                    </w:r>
                    <w:r w:rsidR="0051134A">
                      <w:t xml:space="preserve"> 02/003/202</w:t>
                    </w:r>
                    <w:r>
                      <w:t xml:space="preserve"> </w:t>
                    </w:r>
                    <w:r w:rsidR="0051134A">
                      <w:t>02</w:t>
                    </w:r>
                    <w:r w:rsidR="00E74E0C">
                      <w:t>02/03/2026</w:t>
                    </w:r>
                    <w:r w:rsidR="00A01335">
                      <w:t xml:space="preserve"> 022</w:t>
                    </w:r>
                  </w:p>
                </w:txbxContent>
              </v:textbox>
            </v:shape>
          </w:pict>
        </mc:Fallback>
      </mc:AlternateContent>
    </w:r>
    <w:r w:rsidRPr="00702D52">
      <w:rPr>
        <w:rStyle w:val="PageNumber"/>
        <w:noProof/>
      </w:rPr>
      <w:drawing>
        <wp:anchor distT="0" distB="0" distL="114300" distR="114300" simplePos="0" relativeHeight="251658242" behindDoc="1" locked="0" layoutInCell="1" allowOverlap="1" wp14:anchorId="17C31D4C" wp14:editId="3347AA80">
          <wp:simplePos x="0" y="0"/>
          <wp:positionH relativeFrom="column">
            <wp:posOffset>-597535</wp:posOffset>
          </wp:positionH>
          <wp:positionV relativeFrom="paragraph">
            <wp:posOffset>-821055</wp:posOffset>
          </wp:positionV>
          <wp:extent cx="2545200" cy="1094400"/>
          <wp:effectExtent l="0" t="0" r="0" b="0"/>
          <wp:wrapSquare wrapText="bothSides"/>
          <wp:docPr id="165347776" name="Graphic 165347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96DAC541-7B7A-43D3-8B79-37D633B846F1}">
                        <asvg:svgBlip xmlns:asvg="http://schemas.microsoft.com/office/drawing/2016/SVG/main" r:embed="rId2"/>
                      </a:ext>
                    </a:extLst>
                  </a:blip>
                  <a:stretch>
                    <a:fillRect/>
                  </a:stretch>
                </pic:blipFill>
                <pic:spPr>
                  <a:xfrm>
                    <a:off x="0" y="0"/>
                    <a:ext cx="2545200" cy="1094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366C3" w14:textId="77777777" w:rsidR="004C4FAA" w:rsidRDefault="004C4FAA">
      <w:pPr>
        <w:spacing w:after="0" w:line="240" w:lineRule="auto"/>
      </w:pPr>
      <w:r>
        <w:separator/>
      </w:r>
    </w:p>
  </w:footnote>
  <w:footnote w:type="continuationSeparator" w:id="0">
    <w:p w14:paraId="6B2F60E0" w14:textId="77777777" w:rsidR="004C4FAA" w:rsidRDefault="004C4FAA">
      <w:pPr>
        <w:spacing w:after="0" w:line="240" w:lineRule="auto"/>
      </w:pPr>
      <w:r>
        <w:continuationSeparator/>
      </w:r>
    </w:p>
  </w:footnote>
  <w:footnote w:type="continuationNotice" w:id="1">
    <w:p w14:paraId="2527BDCA" w14:textId="77777777" w:rsidR="004C4FAA" w:rsidRDefault="004C4FAA">
      <w:pPr>
        <w:spacing w:before="0" w:after="0" w:line="240" w:lineRule="auto"/>
      </w:pPr>
    </w:p>
  </w:footnote>
  <w:footnote w:id="2">
    <w:p w14:paraId="34DBCD43" w14:textId="17B3C1F7" w:rsidR="00514AFB" w:rsidRPr="00EC797E" w:rsidRDefault="00514AFB">
      <w:pPr>
        <w:pStyle w:val="FootnoteText"/>
        <w:rPr>
          <w:lang w:val="en-IE"/>
        </w:rPr>
      </w:pPr>
      <w:r>
        <w:rPr>
          <w:rStyle w:val="FootnoteReference"/>
        </w:rPr>
        <w:footnoteRef/>
      </w:r>
      <w:r>
        <w:t xml:space="preserve"> As published </w:t>
      </w:r>
      <w:hyperlink r:id="rId1" w:history="1">
        <w:r w:rsidR="00CE7DAC" w:rsidRPr="00CE7DAC">
          <w:rPr>
            <w:rStyle w:val="Hyperlink"/>
          </w:rPr>
          <w:t>https://www.eba.europa.eu/publications-and-media/press-releases/eba-updates-supervisory-reporting-framework</w:t>
        </w:r>
      </w:hyperlink>
    </w:p>
  </w:footnote>
  <w:footnote w:id="3">
    <w:p w14:paraId="22F4E0BC" w14:textId="3EBB9855" w:rsidR="00B6047D" w:rsidRPr="00EC797E" w:rsidRDefault="00B6047D">
      <w:pPr>
        <w:pStyle w:val="FootnoteText"/>
        <w:rPr>
          <w:lang w:val="en-IE"/>
        </w:rPr>
      </w:pPr>
      <w:r>
        <w:rPr>
          <w:rStyle w:val="FootnoteReference"/>
        </w:rPr>
        <w:footnoteRef/>
      </w:r>
      <w:r>
        <w:t xml:space="preserve"> As published </w:t>
      </w:r>
      <w:hyperlink r:id="rId2" w:history="1">
        <w:r w:rsidR="007F38E8" w:rsidRPr="00C12450">
          <w:rPr>
            <w:rStyle w:val="Hyperlink"/>
            <w:rFonts w:ascii="Aptos Light" w:hAnsi="Aptos Light"/>
          </w:rPr>
          <w:t>https://www.ecb.europa.eu/stats/financial_corporations/insurance_corporations/html/data_reporting.es.html</w:t>
        </w:r>
      </w:hyperlink>
      <w:r w:rsidR="007F38E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AB9AE" w14:textId="5F1CC5C2" w:rsidR="00F77E13" w:rsidRDefault="00A75EC2">
    <w:pPr>
      <w:pStyle w:val="Header"/>
    </w:pPr>
    <w:r>
      <w:rPr>
        <w:noProof/>
      </w:rPr>
      <w:pict w14:anchorId="7D41C4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926657" o:spid="_x0000_s1025" type="#_x0000_t136" style="position:absolute;margin-left:0;margin-top:0;width:487.3pt;height:132.9pt;rotation:315;z-index:-251658235;mso-position-horizontal:center;mso-position-horizontal-relative:margin;mso-position-vertical:center;mso-position-vertical-relative:margin" o:allowincell="f" fillcolor="silver" stroked="f">
          <v:fill opacity=".5"/>
          <v:textpath style="font-family:&quot;Aptos Light&quot;;font-size:1pt" string="DRAFT VERS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D7935" w14:textId="210D6893" w:rsidR="00C936DE" w:rsidRPr="003A1853" w:rsidRDefault="00A75EC2" w:rsidP="00941265">
    <w:pPr>
      <w:pStyle w:val="runningtitle"/>
      <w:rPr>
        <w:lang w:val="en-IE"/>
      </w:rPr>
    </w:pPr>
    <w:r>
      <w:pict w14:anchorId="26C650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926658" o:spid="_x0000_s1026" type="#_x0000_t136" style="position:absolute;left:0;text-align:left;margin-left:0;margin-top:0;width:487.3pt;height:132.9pt;rotation:315;z-index:-251658236;mso-position-horizontal:center;mso-position-horizontal-relative:margin;mso-position-vertical:center;mso-position-vertical-relative:margin" o:allowincell="f" fillcolor="silver" stroked="f">
          <v:fill opacity=".5"/>
          <v:textpath style="font-family:&quot;Aptos Light&quot;;font-size:1pt" string="DRAFT VERSION"/>
          <w10:wrap anchorx="margin" anchory="margin"/>
        </v:shape>
      </w:pict>
    </w:r>
    <w:r w:rsidR="003A1853">
      <w:rPr>
        <w:lang w:val="en-IE"/>
      </w:rPr>
      <w:t>draft interpretative guidance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21DF0" w14:textId="73400AC2" w:rsidR="009A1F18" w:rsidRDefault="00A75EC2">
    <w:pPr>
      <w:pStyle w:val="Header"/>
    </w:pPr>
    <w:r>
      <w:rPr>
        <w:noProof/>
      </w:rPr>
      <w:pict w14:anchorId="06F4AA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926656" o:spid="_x0000_s1027" type="#_x0000_t136" style="position:absolute;margin-left:0;margin-top:0;width:487.3pt;height:132.9pt;rotation:315;z-index:-251658237;mso-position-horizontal:center;mso-position-horizontal-relative:margin;mso-position-vertical:center;mso-position-vertical-relative:margin" o:allowincell="f" fillcolor="silver" stroked="f">
          <v:fill opacity=".5"/>
          <v:textpath style="font-family:&quot;Aptos Light&quot;;font-size:1pt" string="DRAFT VERSION"/>
          <w10:wrap anchorx="margin" anchory="margin"/>
        </v:shape>
      </w:pict>
    </w:r>
    <w:r w:rsidR="009A1F18">
      <w:rPr>
        <w:noProof/>
      </w:rPr>
      <w:drawing>
        <wp:anchor distT="0" distB="0" distL="114300" distR="114300" simplePos="0" relativeHeight="251658240" behindDoc="1" locked="0" layoutInCell="1" allowOverlap="1" wp14:anchorId="029D17AF" wp14:editId="5FA25157">
          <wp:simplePos x="0" y="0"/>
          <wp:positionH relativeFrom="column">
            <wp:posOffset>-1005263</wp:posOffset>
          </wp:positionH>
          <wp:positionV relativeFrom="paragraph">
            <wp:posOffset>-575079</wp:posOffset>
          </wp:positionV>
          <wp:extent cx="7577744" cy="10712528"/>
          <wp:effectExtent l="0" t="0" r="4445" b="0"/>
          <wp:wrapNone/>
          <wp:docPr id="1256274691" name="Picture 1256274691" descr="A close-up of a patter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274691" name="Picture 4" descr="A close-up of a pattern&#10;&#10;AI-generated content may be incorrect."/>
                  <pic:cNvPicPr/>
                </pic:nvPicPr>
                <pic:blipFill>
                  <a:blip r:embed="rId1"/>
                  <a:stretch>
                    <a:fillRect/>
                  </a:stretch>
                </pic:blipFill>
                <pic:spPr>
                  <a:xfrm>
                    <a:off x="0" y="0"/>
                    <a:ext cx="7634944" cy="107933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2"/>
    <w:multiLevelType w:val="singleLevel"/>
    <w:tmpl w:val="B154568A"/>
    <w:lvl w:ilvl="0">
      <w:start w:val="1"/>
      <w:numFmt w:val="bullet"/>
      <w:pStyle w:val="ListBullet3"/>
      <w:lvlText w:val="–"/>
      <w:lvlJc w:val="left"/>
      <w:pPr>
        <w:tabs>
          <w:tab w:val="num" w:pos="1080"/>
        </w:tabs>
        <w:ind w:left="1080" w:hanging="360"/>
      </w:pPr>
      <w:rPr>
        <w:rFonts w:ascii="Aptos Display" w:hAnsi="Aptos Display" w:hint="default"/>
        <w:color w:val="039D89" w:themeColor="accent2"/>
      </w:rPr>
    </w:lvl>
  </w:abstractNum>
  <w:abstractNum w:abstractNumId="2" w15:restartNumberingAfterBreak="0">
    <w:nsid w:val="FFFFFF83"/>
    <w:multiLevelType w:val="singleLevel"/>
    <w:tmpl w:val="7ECA8B06"/>
    <w:lvl w:ilvl="0">
      <w:start w:val="1"/>
      <w:numFmt w:val="bullet"/>
      <w:pStyle w:val="ListBullet2"/>
      <w:lvlText w:val=""/>
      <w:lvlJc w:val="left"/>
      <w:pPr>
        <w:tabs>
          <w:tab w:val="num" w:pos="720"/>
        </w:tabs>
        <w:ind w:left="720" w:hanging="360"/>
      </w:pPr>
      <w:rPr>
        <w:rFonts w:ascii="Symbol" w:hAnsi="Symbol" w:hint="default"/>
        <w:color w:val="039D89" w:themeColor="accent2"/>
      </w:rPr>
    </w:lvl>
  </w:abstractNum>
  <w:abstractNum w:abstractNumId="3" w15:restartNumberingAfterBreak="0">
    <w:nsid w:val="003C1E04"/>
    <w:multiLevelType w:val="hybridMultilevel"/>
    <w:tmpl w:val="73FAD052"/>
    <w:lvl w:ilvl="0" w:tplc="5AF03244">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1107958"/>
    <w:multiLevelType w:val="multilevel"/>
    <w:tmpl w:val="E1A86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807C17"/>
    <w:multiLevelType w:val="hybridMultilevel"/>
    <w:tmpl w:val="D0A4DEF2"/>
    <w:lvl w:ilvl="0" w:tplc="76A62530">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4195A64"/>
    <w:multiLevelType w:val="multilevel"/>
    <w:tmpl w:val="DC843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556008"/>
    <w:multiLevelType w:val="multilevel"/>
    <w:tmpl w:val="0809001F"/>
    <w:name w:val="list2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4B8354B"/>
    <w:multiLevelType w:val="hybridMultilevel"/>
    <w:tmpl w:val="55786222"/>
    <w:lvl w:ilvl="0" w:tplc="3D6E2A24">
      <w:start w:val="1"/>
      <w:numFmt w:val="bullet"/>
      <w:lvlText w:val=""/>
      <w:lvlJc w:val="left"/>
      <w:pPr>
        <w:ind w:left="1080" w:hanging="360"/>
      </w:pPr>
      <w:rPr>
        <w:rFonts w:ascii="Symbol" w:hAnsi="Symbol"/>
      </w:rPr>
    </w:lvl>
    <w:lvl w:ilvl="1" w:tplc="2E56E37C">
      <w:start w:val="1"/>
      <w:numFmt w:val="bullet"/>
      <w:lvlText w:val=""/>
      <w:lvlJc w:val="left"/>
      <w:pPr>
        <w:ind w:left="1080" w:hanging="360"/>
      </w:pPr>
      <w:rPr>
        <w:rFonts w:ascii="Symbol" w:hAnsi="Symbol"/>
      </w:rPr>
    </w:lvl>
    <w:lvl w:ilvl="2" w:tplc="9A04FCA4">
      <w:start w:val="1"/>
      <w:numFmt w:val="bullet"/>
      <w:lvlText w:val=""/>
      <w:lvlJc w:val="left"/>
      <w:pPr>
        <w:ind w:left="1080" w:hanging="360"/>
      </w:pPr>
      <w:rPr>
        <w:rFonts w:ascii="Symbol" w:hAnsi="Symbol"/>
      </w:rPr>
    </w:lvl>
    <w:lvl w:ilvl="3" w:tplc="C04227C4">
      <w:start w:val="1"/>
      <w:numFmt w:val="bullet"/>
      <w:lvlText w:val=""/>
      <w:lvlJc w:val="left"/>
      <w:pPr>
        <w:ind w:left="1080" w:hanging="360"/>
      </w:pPr>
      <w:rPr>
        <w:rFonts w:ascii="Symbol" w:hAnsi="Symbol"/>
      </w:rPr>
    </w:lvl>
    <w:lvl w:ilvl="4" w:tplc="0A2808D0">
      <w:start w:val="1"/>
      <w:numFmt w:val="bullet"/>
      <w:lvlText w:val=""/>
      <w:lvlJc w:val="left"/>
      <w:pPr>
        <w:ind w:left="1080" w:hanging="360"/>
      </w:pPr>
      <w:rPr>
        <w:rFonts w:ascii="Symbol" w:hAnsi="Symbol"/>
      </w:rPr>
    </w:lvl>
    <w:lvl w:ilvl="5" w:tplc="5EC893A6">
      <w:start w:val="1"/>
      <w:numFmt w:val="bullet"/>
      <w:lvlText w:val=""/>
      <w:lvlJc w:val="left"/>
      <w:pPr>
        <w:ind w:left="1080" w:hanging="360"/>
      </w:pPr>
      <w:rPr>
        <w:rFonts w:ascii="Symbol" w:hAnsi="Symbol"/>
      </w:rPr>
    </w:lvl>
    <w:lvl w:ilvl="6" w:tplc="DA0CBBFA">
      <w:start w:val="1"/>
      <w:numFmt w:val="bullet"/>
      <w:lvlText w:val=""/>
      <w:lvlJc w:val="left"/>
      <w:pPr>
        <w:ind w:left="1080" w:hanging="360"/>
      </w:pPr>
      <w:rPr>
        <w:rFonts w:ascii="Symbol" w:hAnsi="Symbol"/>
      </w:rPr>
    </w:lvl>
    <w:lvl w:ilvl="7" w:tplc="DC1E050E">
      <w:start w:val="1"/>
      <w:numFmt w:val="bullet"/>
      <w:lvlText w:val=""/>
      <w:lvlJc w:val="left"/>
      <w:pPr>
        <w:ind w:left="1080" w:hanging="360"/>
      </w:pPr>
      <w:rPr>
        <w:rFonts w:ascii="Symbol" w:hAnsi="Symbol"/>
      </w:rPr>
    </w:lvl>
    <w:lvl w:ilvl="8" w:tplc="4EDE2658">
      <w:start w:val="1"/>
      <w:numFmt w:val="bullet"/>
      <w:lvlText w:val=""/>
      <w:lvlJc w:val="left"/>
      <w:pPr>
        <w:ind w:left="1080" w:hanging="360"/>
      </w:pPr>
      <w:rPr>
        <w:rFonts w:ascii="Symbol" w:hAnsi="Symbol"/>
      </w:rPr>
    </w:lvl>
  </w:abstractNum>
  <w:abstractNum w:abstractNumId="9" w15:restartNumberingAfterBreak="0">
    <w:nsid w:val="083D3F21"/>
    <w:multiLevelType w:val="multilevel"/>
    <w:tmpl w:val="40B8202E"/>
    <w:styleLink w:val="CurrentList9"/>
    <w:lvl w:ilvl="0">
      <w:start w:val="1"/>
      <w:numFmt w:val="decimal"/>
      <w:lvlText w:val="%1."/>
      <w:lvlJc w:val="left"/>
      <w:pPr>
        <w:ind w:left="567" w:hanging="567"/>
      </w:pPr>
      <w:rPr>
        <w:rFonts w:hint="default"/>
        <w:color w:val="003399"/>
      </w:rPr>
    </w:lvl>
    <w:lvl w:ilvl="1">
      <w:start w:val="1"/>
      <w:numFmt w:val="decimal"/>
      <w:lvlText w:val="%1.%2."/>
      <w:lvlJc w:val="left"/>
      <w:pPr>
        <w:ind w:left="567" w:hanging="567"/>
      </w:pPr>
      <w:rPr>
        <w:rFonts w:hint="default"/>
        <w:color w:val="003399"/>
      </w:rPr>
    </w:lvl>
    <w:lvl w:ilvl="2">
      <w:start w:val="1"/>
      <w:numFmt w:val="decimal"/>
      <w:lvlText w:val="%1.%2.%3."/>
      <w:lvlJc w:val="left"/>
      <w:pPr>
        <w:ind w:left="850" w:hanging="850"/>
      </w:pPr>
      <w:rPr>
        <w:rFonts w:hint="default"/>
        <w:color w:val="003399"/>
      </w:rPr>
    </w:lvl>
    <w:lvl w:ilvl="3">
      <w:start w:val="1"/>
      <w:numFmt w:val="decimal"/>
      <w:lvlText w:val="%1.%2.%3.%4."/>
      <w:lvlJc w:val="left"/>
      <w:pPr>
        <w:ind w:left="964" w:hanging="964"/>
      </w:pPr>
      <w:rPr>
        <w:rFonts w:ascii="Aptos Light" w:hAnsi="Aptos Light" w:hint="default"/>
        <w:b w:val="0"/>
        <w:bCs w:val="0"/>
        <w:i w:val="0"/>
        <w:iCs w:val="0"/>
        <w:color w:val="003399"/>
      </w:rPr>
    </w:lvl>
    <w:lvl w:ilvl="4">
      <w:start w:val="1"/>
      <w:numFmt w:val="decimal"/>
      <w:lvlText w:val="%1.%2.%3.%4.%5."/>
      <w:lvlJc w:val="left"/>
      <w:pPr>
        <w:ind w:left="1844" w:hanging="1134"/>
      </w:pPr>
      <w:rPr>
        <w:rFonts w:ascii="Arial" w:hAnsi="Arial" w:hint="default"/>
        <w:color w:val="132D4E" w:themeColor="text2"/>
      </w:rPr>
    </w:lvl>
    <w:lvl w:ilvl="5">
      <w:start w:val="1"/>
      <w:numFmt w:val="decimal"/>
      <w:lvlText w:val="%1.%2.%3.%4.%5."/>
      <w:lvlJc w:val="left"/>
      <w:pPr>
        <w:ind w:left="1134" w:hanging="1134"/>
      </w:pPr>
      <w:rPr>
        <w:rFonts w:ascii="Arial" w:hAnsi="Arial" w:hint="default"/>
        <w:color w:val="132D4E" w:themeColor="text2"/>
      </w:rPr>
    </w:lvl>
    <w:lvl w:ilvl="6">
      <w:start w:val="1"/>
      <w:numFmt w:val="decimal"/>
      <w:lvlText w:val="%1.%2.%3.%4.%5."/>
      <w:lvlJc w:val="left"/>
      <w:pPr>
        <w:ind w:left="1134" w:hanging="1134"/>
      </w:pPr>
      <w:rPr>
        <w:rFonts w:ascii="Arial" w:hAnsi="Arial" w:hint="default"/>
        <w:color w:val="132D4E" w:themeColor="text2"/>
      </w:rPr>
    </w:lvl>
    <w:lvl w:ilvl="7">
      <w:start w:val="1"/>
      <w:numFmt w:val="decimal"/>
      <w:lvlText w:val="%1.%2.%3.%4.%5."/>
      <w:lvlJc w:val="left"/>
      <w:pPr>
        <w:ind w:left="1134" w:hanging="1134"/>
      </w:pPr>
      <w:rPr>
        <w:rFonts w:ascii="Arial" w:hAnsi="Arial" w:hint="default"/>
        <w:color w:val="132D4E" w:themeColor="text2"/>
      </w:rPr>
    </w:lvl>
    <w:lvl w:ilvl="8">
      <w:start w:val="1"/>
      <w:numFmt w:val="decimal"/>
      <w:lvlText w:val="%1.%2.%3.%4.%5."/>
      <w:lvlJc w:val="left"/>
      <w:pPr>
        <w:ind w:left="1134" w:hanging="1134"/>
      </w:pPr>
      <w:rPr>
        <w:rFonts w:ascii="Arial" w:hAnsi="Arial" w:hint="default"/>
        <w:color w:val="132D4E" w:themeColor="text2"/>
      </w:rPr>
    </w:lvl>
  </w:abstractNum>
  <w:abstractNum w:abstractNumId="10" w15:restartNumberingAfterBreak="0">
    <w:nsid w:val="08987298"/>
    <w:multiLevelType w:val="multilevel"/>
    <w:tmpl w:val="972C096E"/>
    <w:styleLink w:val="CurrentList24"/>
    <w:lvl w:ilvl="0">
      <w:start w:val="1"/>
      <w:numFmt w:val="decimal"/>
      <w:lvlText w:val="%1"/>
      <w:lvlJc w:val="left"/>
      <w:pPr>
        <w:ind w:left="715" w:hanging="432"/>
      </w:pPr>
      <w:rPr>
        <w:rFonts w:asciiTheme="minorHAnsi" w:hAnsiTheme="minorHAnsi" w:hint="default"/>
        <w:b w:val="0"/>
        <w:i w:val="0"/>
        <w:color w:val="auto"/>
        <w:sz w:val="20"/>
      </w:rPr>
    </w:lvl>
    <w:lvl w:ilvl="1">
      <w:start w:val="1"/>
      <w:numFmt w:val="decimal"/>
      <w:lvlRestart w:val="0"/>
      <w:lvlText w:val="%1.%2"/>
      <w:lvlJc w:val="left"/>
      <w:pPr>
        <w:ind w:left="859" w:hanging="576"/>
      </w:pPr>
      <w:rPr>
        <w:rFonts w:hint="default"/>
      </w:rPr>
    </w:lvl>
    <w:lvl w:ilvl="2">
      <w:start w:val="1"/>
      <w:numFmt w:val="decimal"/>
      <w:lvlText w:val="%1.%2.%3"/>
      <w:lvlJc w:val="left"/>
      <w:pPr>
        <w:ind w:left="1003" w:hanging="720"/>
      </w:pPr>
      <w:rPr>
        <w:rFonts w:hint="default"/>
      </w:rPr>
    </w:lvl>
    <w:lvl w:ilvl="3">
      <w:start w:val="1"/>
      <w:numFmt w:val="decimal"/>
      <w:lvlText w:val="%1.%2.%3.%4"/>
      <w:lvlJc w:val="left"/>
      <w:pPr>
        <w:ind w:left="1147" w:hanging="864"/>
      </w:pPr>
      <w:rPr>
        <w:rFonts w:hint="default"/>
      </w:rPr>
    </w:lvl>
    <w:lvl w:ilvl="4">
      <w:start w:val="1"/>
      <w:numFmt w:val="decimal"/>
      <w:lvlText w:val="%1.%2.%3.%4.%5"/>
      <w:lvlJc w:val="left"/>
      <w:pPr>
        <w:ind w:left="1291" w:hanging="1008"/>
      </w:pPr>
      <w:rPr>
        <w:rFonts w:hint="default"/>
      </w:rPr>
    </w:lvl>
    <w:lvl w:ilvl="5">
      <w:start w:val="1"/>
      <w:numFmt w:val="decimal"/>
      <w:lvlText w:val="%1.%2.%3.%4.%5.%6"/>
      <w:lvlJc w:val="left"/>
      <w:pPr>
        <w:ind w:left="1435" w:hanging="1152"/>
      </w:pPr>
      <w:rPr>
        <w:rFonts w:hint="default"/>
      </w:rPr>
    </w:lvl>
    <w:lvl w:ilvl="6">
      <w:start w:val="1"/>
      <w:numFmt w:val="decimal"/>
      <w:lvlText w:val="%1.%2.%3.%4.%5.%6.%7"/>
      <w:lvlJc w:val="left"/>
      <w:pPr>
        <w:ind w:left="1579" w:hanging="1296"/>
      </w:pPr>
      <w:rPr>
        <w:rFonts w:hint="default"/>
      </w:rPr>
    </w:lvl>
    <w:lvl w:ilvl="7">
      <w:start w:val="1"/>
      <w:numFmt w:val="decimal"/>
      <w:lvlText w:val="%1.%2.%3.%4.%5.%6.%7.%8"/>
      <w:lvlJc w:val="left"/>
      <w:pPr>
        <w:ind w:left="1723" w:hanging="1440"/>
      </w:pPr>
      <w:rPr>
        <w:rFonts w:hint="default"/>
      </w:rPr>
    </w:lvl>
    <w:lvl w:ilvl="8">
      <w:start w:val="1"/>
      <w:numFmt w:val="decimal"/>
      <w:lvlText w:val="%1.%2.%3.%4.%5.%6.%7.%8.%9"/>
      <w:lvlJc w:val="left"/>
      <w:pPr>
        <w:ind w:left="1867" w:hanging="1584"/>
      </w:pPr>
      <w:rPr>
        <w:rFonts w:hint="default"/>
      </w:rPr>
    </w:lvl>
  </w:abstractNum>
  <w:abstractNum w:abstractNumId="11" w15:restartNumberingAfterBreak="0">
    <w:nsid w:val="0909BFE4"/>
    <w:multiLevelType w:val="hybridMultilevel"/>
    <w:tmpl w:val="FFFFFFFF"/>
    <w:lvl w:ilvl="0" w:tplc="E9781E52">
      <w:start w:val="1"/>
      <w:numFmt w:val="bullet"/>
      <w:lvlText w:val="-"/>
      <w:lvlJc w:val="left"/>
      <w:pPr>
        <w:ind w:left="720" w:hanging="360"/>
      </w:pPr>
      <w:rPr>
        <w:rFonts w:ascii="&quot;Calibri&quot;,sans-serif" w:hAnsi="&quot;Calibri&quot;,sans-serif" w:hint="default"/>
      </w:rPr>
    </w:lvl>
    <w:lvl w:ilvl="1" w:tplc="87ECDBFC">
      <w:start w:val="1"/>
      <w:numFmt w:val="bullet"/>
      <w:lvlText w:val="o"/>
      <w:lvlJc w:val="left"/>
      <w:pPr>
        <w:ind w:left="1440" w:hanging="360"/>
      </w:pPr>
      <w:rPr>
        <w:rFonts w:ascii="Courier New" w:hAnsi="Courier New" w:hint="default"/>
      </w:rPr>
    </w:lvl>
    <w:lvl w:ilvl="2" w:tplc="12DCF294">
      <w:start w:val="1"/>
      <w:numFmt w:val="bullet"/>
      <w:lvlText w:val=""/>
      <w:lvlJc w:val="left"/>
      <w:pPr>
        <w:ind w:left="2160" w:hanging="360"/>
      </w:pPr>
      <w:rPr>
        <w:rFonts w:ascii="Wingdings" w:hAnsi="Wingdings" w:hint="default"/>
      </w:rPr>
    </w:lvl>
    <w:lvl w:ilvl="3" w:tplc="BE14885C">
      <w:start w:val="1"/>
      <w:numFmt w:val="bullet"/>
      <w:lvlText w:val=""/>
      <w:lvlJc w:val="left"/>
      <w:pPr>
        <w:ind w:left="2880" w:hanging="360"/>
      </w:pPr>
      <w:rPr>
        <w:rFonts w:ascii="Symbol" w:hAnsi="Symbol" w:hint="default"/>
      </w:rPr>
    </w:lvl>
    <w:lvl w:ilvl="4" w:tplc="CA1A00D6">
      <w:start w:val="1"/>
      <w:numFmt w:val="bullet"/>
      <w:lvlText w:val="o"/>
      <w:lvlJc w:val="left"/>
      <w:pPr>
        <w:ind w:left="3600" w:hanging="360"/>
      </w:pPr>
      <w:rPr>
        <w:rFonts w:ascii="Courier New" w:hAnsi="Courier New" w:hint="default"/>
      </w:rPr>
    </w:lvl>
    <w:lvl w:ilvl="5" w:tplc="7BAA9FBE">
      <w:start w:val="1"/>
      <w:numFmt w:val="bullet"/>
      <w:lvlText w:val=""/>
      <w:lvlJc w:val="left"/>
      <w:pPr>
        <w:ind w:left="4320" w:hanging="360"/>
      </w:pPr>
      <w:rPr>
        <w:rFonts w:ascii="Wingdings" w:hAnsi="Wingdings" w:hint="default"/>
      </w:rPr>
    </w:lvl>
    <w:lvl w:ilvl="6" w:tplc="BEF082F6">
      <w:start w:val="1"/>
      <w:numFmt w:val="bullet"/>
      <w:lvlText w:val=""/>
      <w:lvlJc w:val="left"/>
      <w:pPr>
        <w:ind w:left="5040" w:hanging="360"/>
      </w:pPr>
      <w:rPr>
        <w:rFonts w:ascii="Symbol" w:hAnsi="Symbol" w:hint="default"/>
      </w:rPr>
    </w:lvl>
    <w:lvl w:ilvl="7" w:tplc="8D7EA50E">
      <w:start w:val="1"/>
      <w:numFmt w:val="bullet"/>
      <w:lvlText w:val="o"/>
      <w:lvlJc w:val="left"/>
      <w:pPr>
        <w:ind w:left="5760" w:hanging="360"/>
      </w:pPr>
      <w:rPr>
        <w:rFonts w:ascii="Courier New" w:hAnsi="Courier New" w:hint="default"/>
      </w:rPr>
    </w:lvl>
    <w:lvl w:ilvl="8" w:tplc="881C0B60">
      <w:start w:val="1"/>
      <w:numFmt w:val="bullet"/>
      <w:lvlText w:val=""/>
      <w:lvlJc w:val="left"/>
      <w:pPr>
        <w:ind w:left="6480" w:hanging="360"/>
      </w:pPr>
      <w:rPr>
        <w:rFonts w:ascii="Wingdings" w:hAnsi="Wingdings" w:hint="default"/>
      </w:rPr>
    </w:lvl>
  </w:abstractNum>
  <w:abstractNum w:abstractNumId="12" w15:restartNumberingAfterBreak="0">
    <w:nsid w:val="095A6CB8"/>
    <w:multiLevelType w:val="multilevel"/>
    <w:tmpl w:val="A6603398"/>
    <w:lvl w:ilvl="0">
      <w:start w:val="1"/>
      <w:numFmt w:val="bullet"/>
      <w:lvlText w:val=""/>
      <w:lvlJc w:val="left"/>
      <w:pPr>
        <w:ind w:left="680" w:hanging="340"/>
      </w:pPr>
      <w:rPr>
        <w:rFonts w:ascii="Symbol" w:hAnsi="Symbol" w:hint="default"/>
      </w:rPr>
    </w:lvl>
    <w:lvl w:ilvl="1">
      <w:start w:val="1"/>
      <w:numFmt w:val="decimal"/>
      <w:lvlText w:val="%1.%2"/>
      <w:lvlJc w:val="left"/>
      <w:pPr>
        <w:ind w:left="1132" w:hanging="432"/>
      </w:pPr>
      <w:rPr>
        <w:rFonts w:hint="default"/>
      </w:rPr>
    </w:lvl>
    <w:lvl w:ilvl="2">
      <w:start w:val="1"/>
      <w:numFmt w:val="decimal"/>
      <w:lvlText w:val="%1.%2.%3"/>
      <w:lvlJc w:val="left"/>
      <w:pPr>
        <w:ind w:left="1191" w:hanging="131"/>
      </w:pPr>
      <w:rPr>
        <w:rFonts w:hint="default"/>
      </w:rPr>
    </w:lvl>
    <w:lvl w:ilvl="3">
      <w:start w:val="1"/>
      <w:numFmt w:val="decimal"/>
      <w:lvlText w:val="%1.%2.%3.%4."/>
      <w:lvlJc w:val="left"/>
      <w:pPr>
        <w:ind w:left="2068" w:hanging="648"/>
      </w:pPr>
      <w:rPr>
        <w:rFonts w:hint="default"/>
      </w:rPr>
    </w:lvl>
    <w:lvl w:ilvl="4">
      <w:start w:val="1"/>
      <w:numFmt w:val="decimal"/>
      <w:lvlText w:val="%1.%2.%3.%4.%5."/>
      <w:lvlJc w:val="left"/>
      <w:pPr>
        <w:ind w:left="2572" w:hanging="792"/>
      </w:pPr>
      <w:rPr>
        <w:rFonts w:hint="default"/>
      </w:rPr>
    </w:lvl>
    <w:lvl w:ilvl="5">
      <w:start w:val="1"/>
      <w:numFmt w:val="decimal"/>
      <w:lvlText w:val="%1.%2.%3.%4.%5.%6."/>
      <w:lvlJc w:val="left"/>
      <w:pPr>
        <w:ind w:left="3076" w:hanging="936"/>
      </w:pPr>
      <w:rPr>
        <w:rFonts w:hint="default"/>
      </w:rPr>
    </w:lvl>
    <w:lvl w:ilvl="6">
      <w:start w:val="1"/>
      <w:numFmt w:val="decimal"/>
      <w:lvlText w:val="%1.%2.%3.%4.%5.%6.%7."/>
      <w:lvlJc w:val="left"/>
      <w:pPr>
        <w:ind w:left="3580" w:hanging="1080"/>
      </w:pPr>
      <w:rPr>
        <w:rFonts w:hint="default"/>
      </w:rPr>
    </w:lvl>
    <w:lvl w:ilvl="7">
      <w:start w:val="1"/>
      <w:numFmt w:val="decimal"/>
      <w:lvlText w:val="%1.%2.%3.%4.%5.%6.%7.%8."/>
      <w:lvlJc w:val="left"/>
      <w:pPr>
        <w:ind w:left="4084" w:hanging="1224"/>
      </w:pPr>
      <w:rPr>
        <w:rFonts w:hint="default"/>
      </w:rPr>
    </w:lvl>
    <w:lvl w:ilvl="8">
      <w:start w:val="1"/>
      <w:numFmt w:val="decimal"/>
      <w:lvlText w:val="%1.%2.%3.%4.%5.%6.%7.%8.%9."/>
      <w:lvlJc w:val="left"/>
      <w:pPr>
        <w:ind w:left="4660" w:hanging="1440"/>
      </w:pPr>
      <w:rPr>
        <w:rFonts w:hint="default"/>
      </w:rPr>
    </w:lvl>
  </w:abstractNum>
  <w:abstractNum w:abstractNumId="13" w15:restartNumberingAfterBreak="0">
    <w:nsid w:val="09B22B9E"/>
    <w:multiLevelType w:val="multilevel"/>
    <w:tmpl w:val="E6668DB2"/>
    <w:lvl w:ilvl="0">
      <w:start w:val="1"/>
      <w:numFmt w:val="bullet"/>
      <w:lvlText w:val=""/>
      <w:lvlJc w:val="left"/>
      <w:pPr>
        <w:tabs>
          <w:tab w:val="num" w:pos="720"/>
        </w:tabs>
        <w:ind w:left="720" w:hanging="360"/>
      </w:pPr>
      <w:rPr>
        <w:rFonts w:ascii="Symbol" w:hAnsi="Symbol" w:hint="default"/>
      </w:rPr>
    </w:lvl>
    <w:lvl w:ilvl="1">
      <w:numFmt w:val="bullet"/>
      <w:lvlText w:val="-"/>
      <w:lvlJc w:val="left"/>
      <w:pPr>
        <w:ind w:left="1440" w:hanging="360"/>
      </w:pPr>
      <w:rPr>
        <w:rFonts w:ascii="Aptos" w:eastAsia="Times New Roman" w:hAnsi="Aptos"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AA92A5A"/>
    <w:multiLevelType w:val="hybridMultilevel"/>
    <w:tmpl w:val="FFFFFFFF"/>
    <w:lvl w:ilvl="0" w:tplc="F31AF2D6">
      <w:start w:val="1"/>
      <w:numFmt w:val="bullet"/>
      <w:lvlText w:val="●"/>
      <w:lvlJc w:val="left"/>
      <w:pPr>
        <w:ind w:left="576"/>
      </w:pPr>
    </w:lvl>
    <w:lvl w:ilvl="1" w:tplc="A02AEC10">
      <w:start w:val="1"/>
      <w:numFmt w:val="bullet"/>
      <w:lvlText w:val="○"/>
      <w:lvlJc w:val="left"/>
      <w:pPr>
        <w:ind w:left="936"/>
      </w:pPr>
    </w:lvl>
    <w:lvl w:ilvl="2" w:tplc="E9E0E826">
      <w:start w:val="1"/>
      <w:numFmt w:val="bullet"/>
      <w:lvlText w:val="■"/>
      <w:lvlJc w:val="left"/>
      <w:pPr>
        <w:ind w:left="1296"/>
      </w:pPr>
    </w:lvl>
    <w:lvl w:ilvl="3" w:tplc="77A8C3F6">
      <w:start w:val="1"/>
      <w:numFmt w:val="bullet"/>
      <w:lvlText w:val="◆"/>
      <w:lvlJc w:val="left"/>
      <w:pPr>
        <w:ind w:left="1656"/>
      </w:pPr>
    </w:lvl>
    <w:lvl w:ilvl="4" w:tplc="6E80C3F4">
      <w:start w:val="1"/>
      <w:numFmt w:val="bullet"/>
      <w:lvlText w:val="▶"/>
      <w:lvlJc w:val="left"/>
      <w:pPr>
        <w:ind w:left="2016"/>
      </w:pPr>
    </w:lvl>
    <w:lvl w:ilvl="5" w:tplc="146CDAE8">
      <w:start w:val="1"/>
      <w:numFmt w:val="bullet"/>
      <w:lvlText w:val="◉"/>
      <w:lvlJc w:val="left"/>
      <w:pPr>
        <w:ind w:left="2376"/>
      </w:pPr>
    </w:lvl>
    <w:lvl w:ilvl="6" w:tplc="8E68D274">
      <w:start w:val="1"/>
      <w:numFmt w:val="bullet"/>
      <w:lvlText w:val="⬤"/>
      <w:lvlJc w:val="left"/>
      <w:pPr>
        <w:ind w:left="2735"/>
      </w:pPr>
    </w:lvl>
    <w:lvl w:ilvl="7" w:tplc="39EA377E">
      <w:start w:val="1"/>
      <w:numFmt w:val="bullet"/>
      <w:lvlText w:val="♦"/>
      <w:lvlJc w:val="left"/>
      <w:pPr>
        <w:ind w:left="3095"/>
      </w:pPr>
    </w:lvl>
    <w:lvl w:ilvl="8" w:tplc="4EE887C4">
      <w:numFmt w:val="decimal"/>
      <w:lvlText w:val=""/>
      <w:lvlJc w:val="left"/>
    </w:lvl>
  </w:abstractNum>
  <w:abstractNum w:abstractNumId="15" w15:restartNumberingAfterBreak="0">
    <w:nsid w:val="0AD35FF6"/>
    <w:multiLevelType w:val="multilevel"/>
    <w:tmpl w:val="AE6A927C"/>
    <w:styleLink w:val="CurrentList47"/>
    <w:lvl w:ilvl="0">
      <w:start w:val="1"/>
      <w:numFmt w:val="decimal"/>
      <w:lvlText w:val="Table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B30678C"/>
    <w:multiLevelType w:val="multilevel"/>
    <w:tmpl w:val="81808BCC"/>
    <w:styleLink w:val="CurrentList57"/>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2.%3.%1."/>
      <w:lvlJc w:val="left"/>
      <w:pPr>
        <w:ind w:left="0" w:firstLine="720"/>
      </w:pPr>
      <w:rPr>
        <w:rFonts w:hint="default"/>
      </w:rPr>
    </w:lvl>
    <w:lvl w:ilvl="3">
      <w:start w:val="1"/>
      <w:numFmt w:val="none"/>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BE62C85"/>
    <w:multiLevelType w:val="multilevel"/>
    <w:tmpl w:val="F33261D4"/>
    <w:styleLink w:val="CurrentList6"/>
    <w:lvl w:ilvl="0">
      <w:start w:val="1"/>
      <w:numFmt w:val="decimal"/>
      <w:lvlText w:val="%1."/>
      <w:lvlJc w:val="left"/>
      <w:pPr>
        <w:ind w:left="928" w:hanging="360"/>
      </w:pPr>
      <w:rPr>
        <w:rFonts w:hint="default"/>
      </w:rPr>
    </w:lvl>
    <w:lvl w:ilvl="1">
      <w:start w:val="1"/>
      <w:numFmt w:val="decimal"/>
      <w:lvlText w:val="%1.%2"/>
      <w:lvlJc w:val="left"/>
      <w:pPr>
        <w:tabs>
          <w:tab w:val="num" w:pos="794"/>
        </w:tabs>
        <w:ind w:left="936" w:hanging="576"/>
      </w:pPr>
      <w:rPr>
        <w:rFonts w:hint="default"/>
      </w:rPr>
    </w:lvl>
    <w:lvl w:ilvl="2">
      <w:start w:val="1"/>
      <w:numFmt w:val="lowerLetter"/>
      <w:lvlText w:val="%3."/>
      <w:lvlJc w:val="left"/>
      <w:pPr>
        <w:tabs>
          <w:tab w:val="num" w:pos="794"/>
        </w:tabs>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FE31A43"/>
    <w:multiLevelType w:val="multilevel"/>
    <w:tmpl w:val="040EEECE"/>
    <w:styleLink w:val="CurrentList20"/>
    <w:lvl w:ilvl="0">
      <w:start w:val="1"/>
      <w:numFmt w:val="decimal"/>
      <w:lvlText w:val="%1"/>
      <w:lvlJc w:val="left"/>
      <w:pPr>
        <w:ind w:left="998" w:hanging="432"/>
      </w:pPr>
      <w:rPr>
        <w:rFonts w:asciiTheme="minorHAnsi" w:hAnsiTheme="minorHAnsi" w:hint="default"/>
      </w:rPr>
    </w:lvl>
    <w:lvl w:ilvl="1">
      <w:start w:val="1"/>
      <w:numFmt w:val="decimal"/>
      <w:lvlText w:val="%1.%2"/>
      <w:lvlJc w:val="left"/>
      <w:pPr>
        <w:ind w:left="1142" w:hanging="576"/>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430" w:hanging="864"/>
      </w:pPr>
      <w:rPr>
        <w:rFonts w:hint="default"/>
      </w:rPr>
    </w:lvl>
    <w:lvl w:ilvl="4">
      <w:start w:val="1"/>
      <w:numFmt w:val="decimal"/>
      <w:lvlText w:val="%1.%2.%3.%4.%5"/>
      <w:lvlJc w:val="left"/>
      <w:pPr>
        <w:ind w:left="1574" w:hanging="1008"/>
      </w:pPr>
      <w:rPr>
        <w:rFonts w:hint="default"/>
      </w:rPr>
    </w:lvl>
    <w:lvl w:ilvl="5">
      <w:start w:val="1"/>
      <w:numFmt w:val="decimal"/>
      <w:lvlText w:val="%1.%2.%3.%4.%5.%6"/>
      <w:lvlJc w:val="left"/>
      <w:pPr>
        <w:ind w:left="1718" w:hanging="1152"/>
      </w:pPr>
      <w:rPr>
        <w:rFonts w:hint="default"/>
      </w:rPr>
    </w:lvl>
    <w:lvl w:ilvl="6">
      <w:start w:val="1"/>
      <w:numFmt w:val="decimal"/>
      <w:lvlText w:val="%1.%2.%3.%4.%5.%6.%7"/>
      <w:lvlJc w:val="left"/>
      <w:pPr>
        <w:ind w:left="1862" w:hanging="1296"/>
      </w:pPr>
      <w:rPr>
        <w:rFonts w:hint="default"/>
      </w:rPr>
    </w:lvl>
    <w:lvl w:ilvl="7">
      <w:start w:val="1"/>
      <w:numFmt w:val="decimal"/>
      <w:lvlText w:val="%1.%2.%3.%4.%5.%6.%7.%8"/>
      <w:lvlJc w:val="left"/>
      <w:pPr>
        <w:ind w:left="2006" w:hanging="1440"/>
      </w:pPr>
      <w:rPr>
        <w:rFonts w:hint="default"/>
      </w:rPr>
    </w:lvl>
    <w:lvl w:ilvl="8">
      <w:start w:val="1"/>
      <w:numFmt w:val="decimal"/>
      <w:lvlText w:val="%1.%2.%3.%4.%5.%6.%7.%8.%9"/>
      <w:lvlJc w:val="left"/>
      <w:pPr>
        <w:ind w:left="2150" w:hanging="1584"/>
      </w:pPr>
      <w:rPr>
        <w:rFonts w:hint="default"/>
      </w:rPr>
    </w:lvl>
  </w:abstractNum>
  <w:abstractNum w:abstractNumId="19" w15:restartNumberingAfterBreak="0">
    <w:nsid w:val="10985111"/>
    <w:multiLevelType w:val="multilevel"/>
    <w:tmpl w:val="0809001F"/>
    <w:name w:val="list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1153D02"/>
    <w:multiLevelType w:val="multilevel"/>
    <w:tmpl w:val="9266B764"/>
    <w:name w:val="ListNumberNonindentedNumbering"/>
    <w:lvl w:ilvl="0">
      <w:start w:val="1"/>
      <w:numFmt w:val="decimal"/>
      <w:lvlText w:val="%1."/>
      <w:lvlJc w:val="left"/>
      <w:pPr>
        <w:ind w:left="425" w:hanging="567"/>
      </w:pPr>
      <w:rPr>
        <w:rFonts w:hint="default"/>
        <w:color w:val="003399"/>
      </w:rPr>
    </w:lvl>
    <w:lvl w:ilvl="1">
      <w:start w:val="1"/>
      <w:numFmt w:val="decimal"/>
      <w:lvlText w:val="%1.%2."/>
      <w:lvlJc w:val="left"/>
      <w:pPr>
        <w:ind w:left="567" w:hanging="567"/>
      </w:pPr>
      <w:rPr>
        <w:rFonts w:hint="default"/>
        <w:color w:val="003399"/>
      </w:rPr>
    </w:lvl>
    <w:lvl w:ilvl="2">
      <w:start w:val="1"/>
      <w:numFmt w:val="decimal"/>
      <w:lvlText w:val="%1.%2.%3."/>
      <w:lvlJc w:val="left"/>
      <w:pPr>
        <w:ind w:left="850" w:hanging="850"/>
      </w:pPr>
      <w:rPr>
        <w:rFonts w:hint="default"/>
        <w:color w:val="003399"/>
      </w:rPr>
    </w:lvl>
    <w:lvl w:ilvl="3">
      <w:start w:val="1"/>
      <w:numFmt w:val="decimal"/>
      <w:lvlText w:val="%1.%2.%3.%4."/>
      <w:lvlJc w:val="left"/>
      <w:pPr>
        <w:ind w:left="964" w:hanging="964"/>
      </w:pPr>
      <w:rPr>
        <w:rFonts w:ascii="Aptos Light" w:hAnsi="Aptos Light" w:hint="default"/>
        <w:b w:val="0"/>
        <w:bCs w:val="0"/>
        <w:i w:val="0"/>
        <w:iCs w:val="0"/>
        <w:color w:val="134291" w:themeColor="accent1"/>
      </w:rPr>
    </w:lvl>
    <w:lvl w:ilvl="4">
      <w:start w:val="1"/>
      <w:numFmt w:val="decimal"/>
      <w:lvlText w:val="%1.%2.%3.%4.%5."/>
      <w:lvlJc w:val="left"/>
      <w:pPr>
        <w:ind w:left="992" w:hanging="1134"/>
      </w:pPr>
      <w:rPr>
        <w:rFonts w:ascii="Arial" w:hAnsi="Arial" w:hint="default"/>
        <w:color w:val="132D4E" w:themeColor="text2"/>
      </w:rPr>
    </w:lvl>
    <w:lvl w:ilvl="5">
      <w:start w:val="1"/>
      <w:numFmt w:val="decimal"/>
      <w:lvlText w:val="%1.%2.%3.%4.%5."/>
      <w:lvlJc w:val="left"/>
      <w:pPr>
        <w:ind w:left="992" w:hanging="1134"/>
      </w:pPr>
      <w:rPr>
        <w:rFonts w:ascii="Arial" w:hAnsi="Arial" w:hint="default"/>
        <w:color w:val="132D4E" w:themeColor="text2"/>
      </w:rPr>
    </w:lvl>
    <w:lvl w:ilvl="6">
      <w:start w:val="1"/>
      <w:numFmt w:val="decimal"/>
      <w:lvlText w:val="%1.%2.%3.%4.%5."/>
      <w:lvlJc w:val="left"/>
      <w:pPr>
        <w:ind w:left="992" w:hanging="1134"/>
      </w:pPr>
      <w:rPr>
        <w:rFonts w:ascii="Arial" w:hAnsi="Arial" w:hint="default"/>
        <w:color w:val="132D4E" w:themeColor="text2"/>
      </w:rPr>
    </w:lvl>
    <w:lvl w:ilvl="7">
      <w:start w:val="1"/>
      <w:numFmt w:val="decimal"/>
      <w:lvlText w:val="%1.%2.%3.%4.%5."/>
      <w:lvlJc w:val="left"/>
      <w:pPr>
        <w:ind w:left="992" w:hanging="1134"/>
      </w:pPr>
      <w:rPr>
        <w:rFonts w:ascii="Arial" w:hAnsi="Arial" w:hint="default"/>
        <w:color w:val="132D4E" w:themeColor="text2"/>
      </w:rPr>
    </w:lvl>
    <w:lvl w:ilvl="8">
      <w:start w:val="1"/>
      <w:numFmt w:val="decimal"/>
      <w:lvlText w:val="%1.%2.%3.%4.%5."/>
      <w:lvlJc w:val="left"/>
      <w:pPr>
        <w:ind w:left="992" w:hanging="1134"/>
      </w:pPr>
      <w:rPr>
        <w:rFonts w:ascii="Arial" w:hAnsi="Arial" w:hint="default"/>
        <w:color w:val="132D4E" w:themeColor="text2"/>
      </w:rPr>
    </w:lvl>
  </w:abstractNum>
  <w:abstractNum w:abstractNumId="21" w15:restartNumberingAfterBreak="0">
    <w:nsid w:val="11482514"/>
    <w:multiLevelType w:val="multilevel"/>
    <w:tmpl w:val="119E3928"/>
    <w:styleLink w:val="CurrentList27"/>
    <w:lvl w:ilvl="0">
      <w:start w:val="1"/>
      <w:numFmt w:val="decimal"/>
      <w:lvlText w:val="%1"/>
      <w:lvlJc w:val="left"/>
      <w:pPr>
        <w:ind w:left="432" w:hanging="432"/>
      </w:pPr>
      <w:rPr>
        <w:rFonts w:asciiTheme="minorHAnsi" w:hAnsiTheme="minorHAnsi"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116D40EC"/>
    <w:multiLevelType w:val="multilevel"/>
    <w:tmpl w:val="C8527AD6"/>
    <w:styleLink w:val="CurrentList35"/>
    <w:lvl w:ilvl="0">
      <w:start w:val="1"/>
      <w:numFmt w:val="decimal"/>
      <w:lvlText w:val="%1"/>
      <w:lvlJc w:val="left"/>
      <w:pPr>
        <w:ind w:left="716" w:hanging="432"/>
      </w:pPr>
      <w:rPr>
        <w:rFonts w:asciiTheme="minorHAnsi" w:hAnsiTheme="minorHAnsi" w:hint="default"/>
        <w:b w:val="0"/>
        <w:i w:val="0"/>
        <w:color w:val="auto"/>
        <w:sz w:val="20"/>
      </w:rPr>
    </w:lvl>
    <w:lvl w:ilvl="1">
      <w:start w:val="1"/>
      <w:numFmt w:val="decimal"/>
      <w:lvlText w:val="%1.%2"/>
      <w:lvlJc w:val="left"/>
      <w:pPr>
        <w:ind w:left="860" w:hanging="576"/>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8" w:hanging="864"/>
      </w:pPr>
      <w:rPr>
        <w:rFonts w:hint="default"/>
      </w:rPr>
    </w:lvl>
    <w:lvl w:ilvl="4">
      <w:start w:val="1"/>
      <w:numFmt w:val="decimal"/>
      <w:lvlText w:val="%1.%2.%3.%4.%5"/>
      <w:lvlJc w:val="left"/>
      <w:pPr>
        <w:ind w:left="1292" w:hanging="1008"/>
      </w:pPr>
      <w:rPr>
        <w:rFonts w:hint="default"/>
      </w:rPr>
    </w:lvl>
    <w:lvl w:ilvl="5">
      <w:start w:val="1"/>
      <w:numFmt w:val="decimal"/>
      <w:lvlText w:val="%1.%2.%3.%4.%5.%6"/>
      <w:lvlJc w:val="left"/>
      <w:pPr>
        <w:ind w:left="1436" w:hanging="1152"/>
      </w:pPr>
      <w:rPr>
        <w:rFonts w:hint="default"/>
      </w:rPr>
    </w:lvl>
    <w:lvl w:ilvl="6">
      <w:start w:val="1"/>
      <w:numFmt w:val="decimal"/>
      <w:lvlText w:val="%1.%2.%3.%4.%5.%6.%7"/>
      <w:lvlJc w:val="left"/>
      <w:pPr>
        <w:ind w:left="1580" w:hanging="1296"/>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1868" w:hanging="1584"/>
      </w:pPr>
      <w:rPr>
        <w:rFonts w:hint="default"/>
      </w:rPr>
    </w:lvl>
  </w:abstractNum>
  <w:abstractNum w:abstractNumId="23" w15:restartNumberingAfterBreak="0">
    <w:nsid w:val="12061621"/>
    <w:multiLevelType w:val="hybridMultilevel"/>
    <w:tmpl w:val="3D0C88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127D7029"/>
    <w:multiLevelType w:val="hybridMultilevel"/>
    <w:tmpl w:val="0E0E91F6"/>
    <w:lvl w:ilvl="0" w:tplc="14F66A36">
      <w:numFmt w:val="bullet"/>
      <w:lvlText w:val="-"/>
      <w:lvlJc w:val="left"/>
      <w:pPr>
        <w:ind w:left="360" w:hanging="360"/>
      </w:pPr>
      <w:rPr>
        <w:rFonts w:ascii="Verdana" w:eastAsia="Times New Roman" w:hAnsi="Verdana"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12FE44D6"/>
    <w:multiLevelType w:val="multilevel"/>
    <w:tmpl w:val="5B7ABF52"/>
    <w:styleLink w:val="CurrentList7"/>
    <w:lvl w:ilvl="0">
      <w:start w:val="1"/>
      <w:numFmt w:val="decimal"/>
      <w:lvlText w:val="%1."/>
      <w:lvlJc w:val="left"/>
      <w:pPr>
        <w:ind w:left="1494" w:hanging="360"/>
      </w:pPr>
      <w:rPr>
        <w:rFonts w:hint="default"/>
      </w:rPr>
    </w:lvl>
    <w:lvl w:ilvl="1">
      <w:start w:val="1"/>
      <w:numFmt w:val="decimal"/>
      <w:lvlText w:val="%1.%2."/>
      <w:lvlJc w:val="left"/>
      <w:pPr>
        <w:ind w:left="1926" w:hanging="432"/>
      </w:pPr>
      <w:rPr>
        <w:rFonts w:hint="default"/>
      </w:rPr>
    </w:lvl>
    <w:lvl w:ilvl="2">
      <w:start w:val="1"/>
      <w:numFmt w:val="decimal"/>
      <w:lvlText w:val="%1.%2.%3."/>
      <w:lvlJc w:val="left"/>
      <w:pPr>
        <w:ind w:left="2358" w:hanging="504"/>
      </w:pPr>
      <w:rPr>
        <w:rFonts w:hint="default"/>
      </w:rPr>
    </w:lvl>
    <w:lvl w:ilvl="3">
      <w:start w:val="1"/>
      <w:numFmt w:val="decimal"/>
      <w:lvlText w:val="%1.%2.%3.%4."/>
      <w:lvlJc w:val="left"/>
      <w:pPr>
        <w:ind w:left="2862" w:hanging="648"/>
      </w:pPr>
      <w:rPr>
        <w:rFonts w:hint="default"/>
      </w:rPr>
    </w:lvl>
    <w:lvl w:ilvl="4">
      <w:start w:val="1"/>
      <w:numFmt w:val="decimal"/>
      <w:lvlText w:val="%1.%2.%3.%4.%5."/>
      <w:lvlJc w:val="left"/>
      <w:pPr>
        <w:ind w:left="3366" w:hanging="792"/>
      </w:pPr>
      <w:rPr>
        <w:rFonts w:hint="default"/>
      </w:rPr>
    </w:lvl>
    <w:lvl w:ilvl="5">
      <w:start w:val="1"/>
      <w:numFmt w:val="decimal"/>
      <w:lvlText w:val="%1.%2.%3.%4.%5.%6."/>
      <w:lvlJc w:val="left"/>
      <w:pPr>
        <w:ind w:left="3870" w:hanging="936"/>
      </w:pPr>
      <w:rPr>
        <w:rFonts w:hint="default"/>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26" w15:restartNumberingAfterBreak="0">
    <w:nsid w:val="15645418"/>
    <w:multiLevelType w:val="multilevel"/>
    <w:tmpl w:val="11809A1A"/>
    <w:styleLink w:val="CurrentList43"/>
    <w:lvl w:ilvl="0">
      <w:start w:val="1"/>
      <w:numFmt w:val="decimal"/>
      <w:suff w:val="space"/>
      <w:lvlText w:val="%1"/>
      <w:lvlJc w:val="left"/>
      <w:pPr>
        <w:ind w:left="360" w:hanging="360"/>
      </w:pPr>
      <w:rPr>
        <w:rFonts w:hint="default"/>
      </w:rPr>
    </w:lvl>
    <w:lvl w:ilvl="1">
      <w:start w:val="1"/>
      <w:numFmt w:val="decimal"/>
      <w:suff w:val="space"/>
      <w:lvlText w:val="%1.%2"/>
      <w:lvlJc w:val="left"/>
      <w:pPr>
        <w:ind w:left="0" w:firstLine="360"/>
      </w:pPr>
      <w:rPr>
        <w:rFonts w:hint="default"/>
      </w:rPr>
    </w:lvl>
    <w:lvl w:ilvl="2">
      <w:start w:val="1"/>
      <w:numFmt w:val="decimal"/>
      <w:suff w:val="space"/>
      <w:lvlText w:val="%3.%1.%2"/>
      <w:lvlJc w:val="left"/>
      <w:pPr>
        <w:ind w:left="0" w:firstLine="720"/>
      </w:pPr>
      <w:rPr>
        <w:rFonts w:hint="default"/>
      </w:rPr>
    </w:lvl>
    <w:lvl w:ilvl="3">
      <w:start w:val="1"/>
      <w:numFmt w:val="none"/>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ABF3A57"/>
    <w:multiLevelType w:val="multilevel"/>
    <w:tmpl w:val="361E8488"/>
    <w:styleLink w:val="CurrentList18"/>
    <w:lvl w:ilvl="0">
      <w:start w:val="1"/>
      <w:numFmt w:val="decimal"/>
      <w:lvlText w:val="%1"/>
      <w:lvlJc w:val="left"/>
      <w:pPr>
        <w:ind w:left="432" w:hanging="432"/>
      </w:pPr>
      <w:rPr>
        <w:rFonts w:asciiTheme="minorHAnsi" w:hAnsiTheme="minorHAnsi"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1B151DD4"/>
    <w:multiLevelType w:val="multilevel"/>
    <w:tmpl w:val="D2A20BF0"/>
    <w:name w:val="list2"/>
    <w:lvl w:ilvl="0">
      <w:start w:val="1"/>
      <w:numFmt w:val="decimal"/>
      <w:lvlText w:val="%1"/>
      <w:lvlJc w:val="left"/>
      <w:pPr>
        <w:ind w:left="716" w:hanging="432"/>
      </w:pPr>
      <w:rPr>
        <w:rFonts w:asciiTheme="minorHAnsi" w:hAnsiTheme="minorHAnsi" w:hint="default"/>
        <w:b w:val="0"/>
        <w:i w:val="0"/>
        <w:color w:val="auto"/>
        <w:sz w:val="20"/>
      </w:rPr>
    </w:lvl>
    <w:lvl w:ilvl="1">
      <w:start w:val="1"/>
      <w:numFmt w:val="decimal"/>
      <w:lvlText w:val="%1.%2"/>
      <w:lvlJc w:val="left"/>
      <w:pPr>
        <w:ind w:left="860" w:hanging="576"/>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8" w:hanging="864"/>
      </w:pPr>
      <w:rPr>
        <w:rFonts w:hint="default"/>
      </w:rPr>
    </w:lvl>
    <w:lvl w:ilvl="4">
      <w:start w:val="1"/>
      <w:numFmt w:val="decimal"/>
      <w:lvlText w:val="%1.%2.%3.%4.%5"/>
      <w:lvlJc w:val="left"/>
      <w:pPr>
        <w:ind w:left="1292" w:hanging="1008"/>
      </w:pPr>
      <w:rPr>
        <w:rFonts w:hint="default"/>
      </w:rPr>
    </w:lvl>
    <w:lvl w:ilvl="5">
      <w:start w:val="1"/>
      <w:numFmt w:val="decimal"/>
      <w:lvlText w:val="%1.%2.%3.%4.%5.%6"/>
      <w:lvlJc w:val="left"/>
      <w:pPr>
        <w:ind w:left="1436" w:hanging="1152"/>
      </w:pPr>
      <w:rPr>
        <w:rFonts w:hint="default"/>
      </w:rPr>
    </w:lvl>
    <w:lvl w:ilvl="6">
      <w:start w:val="1"/>
      <w:numFmt w:val="decimal"/>
      <w:lvlText w:val="%1.%2.%3.%4.%5.%6.%7"/>
      <w:lvlJc w:val="left"/>
      <w:pPr>
        <w:ind w:left="1580" w:hanging="1296"/>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1868" w:hanging="1584"/>
      </w:pPr>
      <w:rPr>
        <w:rFonts w:hint="default"/>
      </w:rPr>
    </w:lvl>
  </w:abstractNum>
  <w:abstractNum w:abstractNumId="29" w15:restartNumberingAfterBreak="0">
    <w:nsid w:val="1B473739"/>
    <w:multiLevelType w:val="multilevel"/>
    <w:tmpl w:val="BEDC81C4"/>
    <w:name w:val="numbered"/>
    <w:lvl w:ilvl="0">
      <w:start w:val="1"/>
      <w:numFmt w:val="decimal"/>
      <w:pStyle w:val="ListNumber"/>
      <w:lvlText w:val="%1."/>
      <w:lvlJc w:val="left"/>
      <w:pPr>
        <w:ind w:left="340" w:hanging="34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1B4A17A5"/>
    <w:multiLevelType w:val="multilevel"/>
    <w:tmpl w:val="04D841CA"/>
    <w:styleLink w:val="CurrentList46"/>
    <w:lvl w:ilvl="0">
      <w:start w:val="1"/>
      <w:numFmt w:val="decimal"/>
      <w:lvlText w:val="%1."/>
      <w:lvlJc w:val="left"/>
      <w:pPr>
        <w:ind w:left="340" w:hanging="34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1B6D4BBC"/>
    <w:multiLevelType w:val="hybridMultilevel"/>
    <w:tmpl w:val="4462FA04"/>
    <w:lvl w:ilvl="0" w:tplc="2BC44BF8">
      <w:start w:val="1"/>
      <w:numFmt w:val="bullet"/>
      <w:lvlText w:val=""/>
      <w:lvlJc w:val="left"/>
      <w:pPr>
        <w:ind w:left="720" w:hanging="360"/>
      </w:pPr>
      <w:rPr>
        <w:rFonts w:ascii="Symbol" w:hAnsi="Symbol"/>
      </w:rPr>
    </w:lvl>
    <w:lvl w:ilvl="1" w:tplc="C55E3A68">
      <w:start w:val="1"/>
      <w:numFmt w:val="bullet"/>
      <w:lvlText w:val=""/>
      <w:lvlJc w:val="left"/>
      <w:pPr>
        <w:ind w:left="720" w:hanging="360"/>
      </w:pPr>
      <w:rPr>
        <w:rFonts w:ascii="Symbol" w:hAnsi="Symbol"/>
      </w:rPr>
    </w:lvl>
    <w:lvl w:ilvl="2" w:tplc="FECC761A">
      <w:start w:val="1"/>
      <w:numFmt w:val="bullet"/>
      <w:lvlText w:val=""/>
      <w:lvlJc w:val="left"/>
      <w:pPr>
        <w:ind w:left="720" w:hanging="360"/>
      </w:pPr>
      <w:rPr>
        <w:rFonts w:ascii="Symbol" w:hAnsi="Symbol"/>
      </w:rPr>
    </w:lvl>
    <w:lvl w:ilvl="3" w:tplc="2266F87C">
      <w:start w:val="1"/>
      <w:numFmt w:val="bullet"/>
      <w:lvlText w:val=""/>
      <w:lvlJc w:val="left"/>
      <w:pPr>
        <w:ind w:left="720" w:hanging="360"/>
      </w:pPr>
      <w:rPr>
        <w:rFonts w:ascii="Symbol" w:hAnsi="Symbol"/>
      </w:rPr>
    </w:lvl>
    <w:lvl w:ilvl="4" w:tplc="3D9016EA">
      <w:start w:val="1"/>
      <w:numFmt w:val="bullet"/>
      <w:lvlText w:val=""/>
      <w:lvlJc w:val="left"/>
      <w:pPr>
        <w:ind w:left="720" w:hanging="360"/>
      </w:pPr>
      <w:rPr>
        <w:rFonts w:ascii="Symbol" w:hAnsi="Symbol"/>
      </w:rPr>
    </w:lvl>
    <w:lvl w:ilvl="5" w:tplc="4E5E00C0">
      <w:start w:val="1"/>
      <w:numFmt w:val="bullet"/>
      <w:lvlText w:val=""/>
      <w:lvlJc w:val="left"/>
      <w:pPr>
        <w:ind w:left="720" w:hanging="360"/>
      </w:pPr>
      <w:rPr>
        <w:rFonts w:ascii="Symbol" w:hAnsi="Symbol"/>
      </w:rPr>
    </w:lvl>
    <w:lvl w:ilvl="6" w:tplc="26A02572">
      <w:start w:val="1"/>
      <w:numFmt w:val="bullet"/>
      <w:lvlText w:val=""/>
      <w:lvlJc w:val="left"/>
      <w:pPr>
        <w:ind w:left="720" w:hanging="360"/>
      </w:pPr>
      <w:rPr>
        <w:rFonts w:ascii="Symbol" w:hAnsi="Symbol"/>
      </w:rPr>
    </w:lvl>
    <w:lvl w:ilvl="7" w:tplc="0BA0608A">
      <w:start w:val="1"/>
      <w:numFmt w:val="bullet"/>
      <w:lvlText w:val=""/>
      <w:lvlJc w:val="left"/>
      <w:pPr>
        <w:ind w:left="720" w:hanging="360"/>
      </w:pPr>
      <w:rPr>
        <w:rFonts w:ascii="Symbol" w:hAnsi="Symbol"/>
      </w:rPr>
    </w:lvl>
    <w:lvl w:ilvl="8" w:tplc="22B0FC74">
      <w:start w:val="1"/>
      <w:numFmt w:val="bullet"/>
      <w:lvlText w:val=""/>
      <w:lvlJc w:val="left"/>
      <w:pPr>
        <w:ind w:left="720" w:hanging="360"/>
      </w:pPr>
      <w:rPr>
        <w:rFonts w:ascii="Symbol" w:hAnsi="Symbol"/>
      </w:rPr>
    </w:lvl>
  </w:abstractNum>
  <w:abstractNum w:abstractNumId="32" w15:restartNumberingAfterBreak="0">
    <w:nsid w:val="1B6F205A"/>
    <w:multiLevelType w:val="multilevel"/>
    <w:tmpl w:val="9CA4ABB8"/>
    <w:styleLink w:val="AnnualReport"/>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BE01AA6"/>
    <w:multiLevelType w:val="hybridMultilevel"/>
    <w:tmpl w:val="112415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1CF06C63"/>
    <w:multiLevelType w:val="multilevel"/>
    <w:tmpl w:val="5B6CAA70"/>
    <w:styleLink w:val="CurrentList30"/>
    <w:lvl w:ilvl="0">
      <w:start w:val="1"/>
      <w:numFmt w:val="decimal"/>
      <w:lvlText w:val="%1"/>
      <w:lvlJc w:val="left"/>
      <w:pPr>
        <w:ind w:left="715" w:hanging="432"/>
      </w:pPr>
      <w:rPr>
        <w:rFonts w:asciiTheme="minorHAnsi" w:hAnsiTheme="minorHAnsi" w:hint="default"/>
        <w:b w:val="0"/>
        <w:i w:val="0"/>
        <w:color w:val="auto"/>
        <w:sz w:val="20"/>
      </w:rPr>
    </w:lvl>
    <w:lvl w:ilvl="1">
      <w:start w:val="1"/>
      <w:numFmt w:val="decimal"/>
      <w:lvlRestart w:val="0"/>
      <w:lvlText w:val="%1.%2"/>
      <w:lvlJc w:val="left"/>
      <w:pPr>
        <w:ind w:left="859" w:hanging="576"/>
      </w:pPr>
      <w:rPr>
        <w:rFonts w:hint="default"/>
      </w:rPr>
    </w:lvl>
    <w:lvl w:ilvl="2">
      <w:start w:val="1"/>
      <w:numFmt w:val="decimal"/>
      <w:lvlText w:val="%1.%2.%3"/>
      <w:lvlJc w:val="left"/>
      <w:pPr>
        <w:ind w:left="1003" w:hanging="720"/>
      </w:pPr>
      <w:rPr>
        <w:rFonts w:hint="default"/>
      </w:rPr>
    </w:lvl>
    <w:lvl w:ilvl="3">
      <w:start w:val="1"/>
      <w:numFmt w:val="decimal"/>
      <w:lvlText w:val="%1.%2.%3.%4"/>
      <w:lvlJc w:val="left"/>
      <w:pPr>
        <w:ind w:left="1147" w:hanging="864"/>
      </w:pPr>
      <w:rPr>
        <w:rFonts w:hint="default"/>
      </w:rPr>
    </w:lvl>
    <w:lvl w:ilvl="4">
      <w:start w:val="1"/>
      <w:numFmt w:val="decimal"/>
      <w:lvlText w:val="%1.%2.%3.%4.%5"/>
      <w:lvlJc w:val="left"/>
      <w:pPr>
        <w:ind w:left="1291" w:hanging="1008"/>
      </w:pPr>
      <w:rPr>
        <w:rFonts w:hint="default"/>
      </w:rPr>
    </w:lvl>
    <w:lvl w:ilvl="5">
      <w:start w:val="1"/>
      <w:numFmt w:val="decimal"/>
      <w:lvlText w:val="%1.%2.%3.%4.%5.%6"/>
      <w:lvlJc w:val="left"/>
      <w:pPr>
        <w:ind w:left="1435" w:hanging="1152"/>
      </w:pPr>
      <w:rPr>
        <w:rFonts w:hint="default"/>
      </w:rPr>
    </w:lvl>
    <w:lvl w:ilvl="6">
      <w:start w:val="1"/>
      <w:numFmt w:val="decimal"/>
      <w:lvlText w:val="%1.%2.%3.%4.%5.%6.%7"/>
      <w:lvlJc w:val="left"/>
      <w:pPr>
        <w:ind w:left="1579" w:hanging="1296"/>
      </w:pPr>
      <w:rPr>
        <w:rFonts w:hint="default"/>
      </w:rPr>
    </w:lvl>
    <w:lvl w:ilvl="7">
      <w:start w:val="1"/>
      <w:numFmt w:val="decimal"/>
      <w:lvlText w:val="%1.%2.%3.%4.%5.%6.%7.%8"/>
      <w:lvlJc w:val="left"/>
      <w:pPr>
        <w:ind w:left="1723" w:hanging="1440"/>
      </w:pPr>
      <w:rPr>
        <w:rFonts w:hint="default"/>
      </w:rPr>
    </w:lvl>
    <w:lvl w:ilvl="8">
      <w:start w:val="1"/>
      <w:numFmt w:val="decimal"/>
      <w:lvlText w:val="%1.%2.%3.%4.%5.%6.%7.%8.%9"/>
      <w:lvlJc w:val="left"/>
      <w:pPr>
        <w:ind w:left="1867" w:hanging="1584"/>
      </w:pPr>
      <w:rPr>
        <w:rFonts w:hint="default"/>
      </w:rPr>
    </w:lvl>
  </w:abstractNum>
  <w:abstractNum w:abstractNumId="35" w15:restartNumberingAfterBreak="0">
    <w:nsid w:val="1F2753BD"/>
    <w:multiLevelType w:val="hybridMultilevel"/>
    <w:tmpl w:val="85267868"/>
    <w:lvl w:ilvl="0" w:tplc="B262F5E2">
      <w:start w:val="1"/>
      <w:numFmt w:val="bullet"/>
      <w:lvlText w:val=""/>
      <w:lvlJc w:val="left"/>
      <w:pPr>
        <w:ind w:left="1080" w:hanging="360"/>
      </w:pPr>
      <w:rPr>
        <w:rFonts w:ascii="Symbol" w:hAnsi="Symbol"/>
      </w:rPr>
    </w:lvl>
    <w:lvl w:ilvl="1" w:tplc="62F0FCB6">
      <w:start w:val="1"/>
      <w:numFmt w:val="bullet"/>
      <w:lvlText w:val=""/>
      <w:lvlJc w:val="left"/>
      <w:pPr>
        <w:ind w:left="1080" w:hanging="360"/>
      </w:pPr>
      <w:rPr>
        <w:rFonts w:ascii="Symbol" w:hAnsi="Symbol"/>
      </w:rPr>
    </w:lvl>
    <w:lvl w:ilvl="2" w:tplc="558A2678">
      <w:start w:val="1"/>
      <w:numFmt w:val="bullet"/>
      <w:lvlText w:val=""/>
      <w:lvlJc w:val="left"/>
      <w:pPr>
        <w:ind w:left="1080" w:hanging="360"/>
      </w:pPr>
      <w:rPr>
        <w:rFonts w:ascii="Symbol" w:hAnsi="Symbol"/>
      </w:rPr>
    </w:lvl>
    <w:lvl w:ilvl="3" w:tplc="2FA2A6B6">
      <w:start w:val="1"/>
      <w:numFmt w:val="bullet"/>
      <w:lvlText w:val=""/>
      <w:lvlJc w:val="left"/>
      <w:pPr>
        <w:ind w:left="1080" w:hanging="360"/>
      </w:pPr>
      <w:rPr>
        <w:rFonts w:ascii="Symbol" w:hAnsi="Symbol"/>
      </w:rPr>
    </w:lvl>
    <w:lvl w:ilvl="4" w:tplc="3EB86EFE">
      <w:start w:val="1"/>
      <w:numFmt w:val="bullet"/>
      <w:lvlText w:val=""/>
      <w:lvlJc w:val="left"/>
      <w:pPr>
        <w:ind w:left="1080" w:hanging="360"/>
      </w:pPr>
      <w:rPr>
        <w:rFonts w:ascii="Symbol" w:hAnsi="Symbol"/>
      </w:rPr>
    </w:lvl>
    <w:lvl w:ilvl="5" w:tplc="73F88D2E">
      <w:start w:val="1"/>
      <w:numFmt w:val="bullet"/>
      <w:lvlText w:val=""/>
      <w:lvlJc w:val="left"/>
      <w:pPr>
        <w:ind w:left="1080" w:hanging="360"/>
      </w:pPr>
      <w:rPr>
        <w:rFonts w:ascii="Symbol" w:hAnsi="Symbol"/>
      </w:rPr>
    </w:lvl>
    <w:lvl w:ilvl="6" w:tplc="8E30431A">
      <w:start w:val="1"/>
      <w:numFmt w:val="bullet"/>
      <w:lvlText w:val=""/>
      <w:lvlJc w:val="left"/>
      <w:pPr>
        <w:ind w:left="1080" w:hanging="360"/>
      </w:pPr>
      <w:rPr>
        <w:rFonts w:ascii="Symbol" w:hAnsi="Symbol"/>
      </w:rPr>
    </w:lvl>
    <w:lvl w:ilvl="7" w:tplc="AED6F078">
      <w:start w:val="1"/>
      <w:numFmt w:val="bullet"/>
      <w:lvlText w:val=""/>
      <w:lvlJc w:val="left"/>
      <w:pPr>
        <w:ind w:left="1080" w:hanging="360"/>
      </w:pPr>
      <w:rPr>
        <w:rFonts w:ascii="Symbol" w:hAnsi="Symbol"/>
      </w:rPr>
    </w:lvl>
    <w:lvl w:ilvl="8" w:tplc="E088540C">
      <w:start w:val="1"/>
      <w:numFmt w:val="bullet"/>
      <w:lvlText w:val=""/>
      <w:lvlJc w:val="left"/>
      <w:pPr>
        <w:ind w:left="1080" w:hanging="360"/>
      </w:pPr>
      <w:rPr>
        <w:rFonts w:ascii="Symbol" w:hAnsi="Symbol"/>
      </w:rPr>
    </w:lvl>
  </w:abstractNum>
  <w:abstractNum w:abstractNumId="36" w15:restartNumberingAfterBreak="0">
    <w:nsid w:val="1F7E6942"/>
    <w:multiLevelType w:val="multilevel"/>
    <w:tmpl w:val="9266B764"/>
    <w:styleLink w:val="CurrentList12"/>
    <w:lvl w:ilvl="0">
      <w:start w:val="1"/>
      <w:numFmt w:val="decimal"/>
      <w:lvlText w:val="%1."/>
      <w:lvlJc w:val="left"/>
      <w:pPr>
        <w:ind w:left="425" w:hanging="567"/>
      </w:pPr>
      <w:rPr>
        <w:rFonts w:hint="default"/>
        <w:color w:val="003399"/>
      </w:rPr>
    </w:lvl>
    <w:lvl w:ilvl="1">
      <w:start w:val="1"/>
      <w:numFmt w:val="decimal"/>
      <w:lvlText w:val="%1.%2."/>
      <w:lvlJc w:val="left"/>
      <w:pPr>
        <w:ind w:left="567" w:hanging="567"/>
      </w:pPr>
      <w:rPr>
        <w:rFonts w:hint="default"/>
        <w:color w:val="003399"/>
      </w:rPr>
    </w:lvl>
    <w:lvl w:ilvl="2">
      <w:start w:val="1"/>
      <w:numFmt w:val="decimal"/>
      <w:lvlText w:val="%1.%2.%3."/>
      <w:lvlJc w:val="left"/>
      <w:pPr>
        <w:ind w:left="850" w:hanging="850"/>
      </w:pPr>
      <w:rPr>
        <w:rFonts w:hint="default"/>
        <w:color w:val="003399"/>
      </w:rPr>
    </w:lvl>
    <w:lvl w:ilvl="3">
      <w:start w:val="1"/>
      <w:numFmt w:val="decimal"/>
      <w:lvlText w:val="%1.%2.%3.%4."/>
      <w:lvlJc w:val="left"/>
      <w:pPr>
        <w:ind w:left="964" w:hanging="964"/>
      </w:pPr>
      <w:rPr>
        <w:rFonts w:ascii="Aptos Light" w:hAnsi="Aptos Light" w:hint="default"/>
        <w:b w:val="0"/>
        <w:bCs w:val="0"/>
        <w:i w:val="0"/>
        <w:iCs w:val="0"/>
        <w:color w:val="134291" w:themeColor="accent1"/>
      </w:rPr>
    </w:lvl>
    <w:lvl w:ilvl="4">
      <w:start w:val="1"/>
      <w:numFmt w:val="decimal"/>
      <w:lvlText w:val="%1.%2.%3.%4.%5."/>
      <w:lvlJc w:val="left"/>
      <w:pPr>
        <w:ind w:left="992" w:hanging="1134"/>
      </w:pPr>
      <w:rPr>
        <w:rFonts w:ascii="Arial" w:hAnsi="Arial" w:hint="default"/>
        <w:color w:val="132D4E" w:themeColor="text2"/>
      </w:rPr>
    </w:lvl>
    <w:lvl w:ilvl="5">
      <w:start w:val="1"/>
      <w:numFmt w:val="decimal"/>
      <w:lvlText w:val="%1.%2.%3.%4.%5."/>
      <w:lvlJc w:val="left"/>
      <w:pPr>
        <w:ind w:left="992" w:hanging="1134"/>
      </w:pPr>
      <w:rPr>
        <w:rFonts w:ascii="Arial" w:hAnsi="Arial" w:hint="default"/>
        <w:color w:val="132D4E" w:themeColor="text2"/>
      </w:rPr>
    </w:lvl>
    <w:lvl w:ilvl="6">
      <w:start w:val="1"/>
      <w:numFmt w:val="decimal"/>
      <w:lvlText w:val="%1.%2.%3.%4.%5."/>
      <w:lvlJc w:val="left"/>
      <w:pPr>
        <w:ind w:left="992" w:hanging="1134"/>
      </w:pPr>
      <w:rPr>
        <w:rFonts w:ascii="Arial" w:hAnsi="Arial" w:hint="default"/>
        <w:color w:val="132D4E" w:themeColor="text2"/>
      </w:rPr>
    </w:lvl>
    <w:lvl w:ilvl="7">
      <w:start w:val="1"/>
      <w:numFmt w:val="decimal"/>
      <w:lvlText w:val="%1.%2.%3.%4.%5."/>
      <w:lvlJc w:val="left"/>
      <w:pPr>
        <w:ind w:left="992" w:hanging="1134"/>
      </w:pPr>
      <w:rPr>
        <w:rFonts w:ascii="Arial" w:hAnsi="Arial" w:hint="default"/>
        <w:color w:val="132D4E" w:themeColor="text2"/>
      </w:rPr>
    </w:lvl>
    <w:lvl w:ilvl="8">
      <w:start w:val="1"/>
      <w:numFmt w:val="decimal"/>
      <w:lvlText w:val="%1.%2.%3.%4.%5."/>
      <w:lvlJc w:val="left"/>
      <w:pPr>
        <w:ind w:left="992" w:hanging="1134"/>
      </w:pPr>
      <w:rPr>
        <w:rFonts w:ascii="Arial" w:hAnsi="Arial" w:hint="default"/>
        <w:color w:val="132D4E" w:themeColor="text2"/>
      </w:rPr>
    </w:lvl>
  </w:abstractNum>
  <w:abstractNum w:abstractNumId="37" w15:restartNumberingAfterBreak="0">
    <w:nsid w:val="20075637"/>
    <w:multiLevelType w:val="hybridMultilevel"/>
    <w:tmpl w:val="6DC8F054"/>
    <w:lvl w:ilvl="0" w:tplc="8B1AD8FA">
      <w:start w:val="1"/>
      <w:numFmt w:val="bullet"/>
      <w:lvlText w:val=""/>
      <w:lvlJc w:val="left"/>
      <w:pPr>
        <w:ind w:left="1080" w:hanging="360"/>
      </w:pPr>
      <w:rPr>
        <w:rFonts w:ascii="Symbol" w:hAnsi="Symbol"/>
      </w:rPr>
    </w:lvl>
    <w:lvl w:ilvl="1" w:tplc="A2122BA8">
      <w:start w:val="1"/>
      <w:numFmt w:val="bullet"/>
      <w:lvlText w:val=""/>
      <w:lvlJc w:val="left"/>
      <w:pPr>
        <w:ind w:left="1080" w:hanging="360"/>
      </w:pPr>
      <w:rPr>
        <w:rFonts w:ascii="Symbol" w:hAnsi="Symbol"/>
      </w:rPr>
    </w:lvl>
    <w:lvl w:ilvl="2" w:tplc="5AE475AC">
      <w:start w:val="1"/>
      <w:numFmt w:val="bullet"/>
      <w:lvlText w:val=""/>
      <w:lvlJc w:val="left"/>
      <w:pPr>
        <w:ind w:left="1080" w:hanging="360"/>
      </w:pPr>
      <w:rPr>
        <w:rFonts w:ascii="Symbol" w:hAnsi="Symbol"/>
      </w:rPr>
    </w:lvl>
    <w:lvl w:ilvl="3" w:tplc="A2B216C4">
      <w:start w:val="1"/>
      <w:numFmt w:val="bullet"/>
      <w:lvlText w:val=""/>
      <w:lvlJc w:val="left"/>
      <w:pPr>
        <w:ind w:left="1080" w:hanging="360"/>
      </w:pPr>
      <w:rPr>
        <w:rFonts w:ascii="Symbol" w:hAnsi="Symbol"/>
      </w:rPr>
    </w:lvl>
    <w:lvl w:ilvl="4" w:tplc="DEE6C29A">
      <w:start w:val="1"/>
      <w:numFmt w:val="bullet"/>
      <w:lvlText w:val=""/>
      <w:lvlJc w:val="left"/>
      <w:pPr>
        <w:ind w:left="1080" w:hanging="360"/>
      </w:pPr>
      <w:rPr>
        <w:rFonts w:ascii="Symbol" w:hAnsi="Symbol"/>
      </w:rPr>
    </w:lvl>
    <w:lvl w:ilvl="5" w:tplc="11A2E41E">
      <w:start w:val="1"/>
      <w:numFmt w:val="bullet"/>
      <w:lvlText w:val=""/>
      <w:lvlJc w:val="left"/>
      <w:pPr>
        <w:ind w:left="1080" w:hanging="360"/>
      </w:pPr>
      <w:rPr>
        <w:rFonts w:ascii="Symbol" w:hAnsi="Symbol"/>
      </w:rPr>
    </w:lvl>
    <w:lvl w:ilvl="6" w:tplc="0B0643C4">
      <w:start w:val="1"/>
      <w:numFmt w:val="bullet"/>
      <w:lvlText w:val=""/>
      <w:lvlJc w:val="left"/>
      <w:pPr>
        <w:ind w:left="1080" w:hanging="360"/>
      </w:pPr>
      <w:rPr>
        <w:rFonts w:ascii="Symbol" w:hAnsi="Symbol"/>
      </w:rPr>
    </w:lvl>
    <w:lvl w:ilvl="7" w:tplc="362206DE">
      <w:start w:val="1"/>
      <w:numFmt w:val="bullet"/>
      <w:lvlText w:val=""/>
      <w:lvlJc w:val="left"/>
      <w:pPr>
        <w:ind w:left="1080" w:hanging="360"/>
      </w:pPr>
      <w:rPr>
        <w:rFonts w:ascii="Symbol" w:hAnsi="Symbol"/>
      </w:rPr>
    </w:lvl>
    <w:lvl w:ilvl="8" w:tplc="CE2C11DA">
      <w:start w:val="1"/>
      <w:numFmt w:val="bullet"/>
      <w:lvlText w:val=""/>
      <w:lvlJc w:val="left"/>
      <w:pPr>
        <w:ind w:left="1080" w:hanging="360"/>
      </w:pPr>
      <w:rPr>
        <w:rFonts w:ascii="Symbol" w:hAnsi="Symbol"/>
      </w:rPr>
    </w:lvl>
  </w:abstractNum>
  <w:abstractNum w:abstractNumId="38" w15:restartNumberingAfterBreak="0">
    <w:nsid w:val="20146611"/>
    <w:multiLevelType w:val="multilevel"/>
    <w:tmpl w:val="0809001F"/>
    <w:name w:val="list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20C270AD"/>
    <w:multiLevelType w:val="multilevel"/>
    <w:tmpl w:val="CE1A4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0D13443"/>
    <w:multiLevelType w:val="hybridMultilevel"/>
    <w:tmpl w:val="60D07CEE"/>
    <w:lvl w:ilvl="0" w:tplc="A2727662">
      <w:start w:val="1"/>
      <w:numFmt w:val="lowerRoman"/>
      <w:lvlText w:val="(%1)"/>
      <w:lvlJc w:val="left"/>
      <w:pPr>
        <w:ind w:left="1080" w:hanging="360"/>
      </w:pPr>
      <w:rPr>
        <w:rFonts w:hint="default"/>
      </w:r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1" w15:restartNumberingAfterBreak="0">
    <w:nsid w:val="20D306DF"/>
    <w:multiLevelType w:val="multilevel"/>
    <w:tmpl w:val="865C2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381462F"/>
    <w:multiLevelType w:val="multilevel"/>
    <w:tmpl w:val="38EC211A"/>
    <w:styleLink w:val="CurrentList54"/>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3.%1.%2"/>
      <w:lvlJc w:val="left"/>
      <w:pPr>
        <w:ind w:left="0" w:firstLine="720"/>
      </w:pPr>
      <w:rPr>
        <w:rFonts w:hint="default"/>
      </w:rPr>
    </w:lvl>
    <w:lvl w:ilvl="3">
      <w:start w:val="1"/>
      <w:numFmt w:val="none"/>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24B454B6"/>
    <w:multiLevelType w:val="hybridMultilevel"/>
    <w:tmpl w:val="173469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25AF58DD"/>
    <w:multiLevelType w:val="multilevel"/>
    <w:tmpl w:val="36281748"/>
    <w:styleLink w:val="CurrentList42"/>
    <w:lvl w:ilvl="0">
      <w:start w:val="1"/>
      <w:numFmt w:val="decimal"/>
      <w:suff w:val="space"/>
      <w:lvlText w:val="%1"/>
      <w:lvlJc w:val="left"/>
      <w:pPr>
        <w:ind w:left="360" w:hanging="360"/>
      </w:pPr>
      <w:rPr>
        <w:rFonts w:hint="default"/>
      </w:rPr>
    </w:lvl>
    <w:lvl w:ilvl="1">
      <w:start w:val="1"/>
      <w:numFmt w:val="decimal"/>
      <w:suff w:val="space"/>
      <w:lvlText w:val="%1.%2"/>
      <w:lvlJc w:val="left"/>
      <w:pPr>
        <w:ind w:left="737" w:hanging="377"/>
      </w:pPr>
      <w:rPr>
        <w:rFonts w:hint="default"/>
      </w:rPr>
    </w:lvl>
    <w:lvl w:ilvl="2">
      <w:start w:val="1"/>
      <w:numFmt w:val="decimal"/>
      <w:suff w:val="space"/>
      <w:lvlText w:val="%3.%1.%2"/>
      <w:lvlJc w:val="left"/>
      <w:pPr>
        <w:ind w:left="1080" w:hanging="360"/>
      </w:pPr>
      <w:rPr>
        <w:rFonts w:hint="default"/>
      </w:rPr>
    </w:lvl>
    <w:lvl w:ilvl="3">
      <w:start w:val="1"/>
      <w:numFmt w:val="none"/>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27935CFD"/>
    <w:multiLevelType w:val="hybridMultilevel"/>
    <w:tmpl w:val="7EF01F0A"/>
    <w:lvl w:ilvl="0" w:tplc="5AF03244">
      <w:start w:val="1"/>
      <w:numFmt w:val="lowerLetter"/>
      <w:lvlText w:val="(%1)"/>
      <w:lvlJc w:val="left"/>
      <w:pPr>
        <w:ind w:left="1080" w:hanging="360"/>
      </w:pPr>
      <w:rPr>
        <w:rFonts w:hint="default"/>
      </w:rPr>
    </w:lvl>
    <w:lvl w:ilvl="1" w:tplc="FFFFFFFF">
      <w:numFmt w:val="bullet"/>
      <w:lvlText w:val="-"/>
      <w:lvlJc w:val="left"/>
      <w:pPr>
        <w:ind w:left="1800" w:hanging="360"/>
      </w:pPr>
      <w:rPr>
        <w:rFonts w:ascii="Verdana" w:eastAsia="Times New Roman" w:hAnsi="Verdana" w:cs="Times New Roman"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27F769C0"/>
    <w:multiLevelType w:val="hybridMultilevel"/>
    <w:tmpl w:val="806C4A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7" w15:restartNumberingAfterBreak="0">
    <w:nsid w:val="27F87F5B"/>
    <w:multiLevelType w:val="multilevel"/>
    <w:tmpl w:val="47784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B0E6D77"/>
    <w:multiLevelType w:val="multilevel"/>
    <w:tmpl w:val="5F2E01EC"/>
    <w:styleLink w:val="CurrentList29"/>
    <w:lvl w:ilvl="0">
      <w:start w:val="1"/>
      <w:numFmt w:val="bullet"/>
      <w:lvlText w:val="►"/>
      <w:lvlJc w:val="left"/>
      <w:pPr>
        <w:ind w:left="360" w:hanging="360"/>
      </w:pPr>
      <w:rPr>
        <w:rFonts w:ascii="Aptos" w:hAnsi="Aptos" w:hint="default"/>
        <w:color w:val="039D89" w:themeColor="accen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BC9788E"/>
    <w:multiLevelType w:val="multilevel"/>
    <w:tmpl w:val="B876049E"/>
    <w:styleLink w:val="CurrentList6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0" w15:restartNumberingAfterBreak="0">
    <w:nsid w:val="2C4C167C"/>
    <w:multiLevelType w:val="hybridMultilevel"/>
    <w:tmpl w:val="26F4E098"/>
    <w:lvl w:ilvl="0" w:tplc="BEF67E50">
      <w:numFmt w:val="bullet"/>
      <w:lvlText w:val="•"/>
      <w:lvlJc w:val="left"/>
      <w:pPr>
        <w:ind w:left="1080" w:hanging="720"/>
      </w:pPr>
      <w:rPr>
        <w:rFonts w:ascii="Aptos Light" w:eastAsia="Cambria" w:hAnsi="Aptos Light"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1" w15:restartNumberingAfterBreak="0">
    <w:nsid w:val="2C627886"/>
    <w:multiLevelType w:val="multilevel"/>
    <w:tmpl w:val="94E0F424"/>
    <w:styleLink w:val="CurrentList6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2" w15:restartNumberingAfterBreak="0">
    <w:nsid w:val="2D4F6350"/>
    <w:multiLevelType w:val="multilevel"/>
    <w:tmpl w:val="81808BCC"/>
    <w:name w:val="numbered titles"/>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2.%3.%1."/>
      <w:lvlJc w:val="left"/>
      <w:pPr>
        <w:ind w:left="0" w:firstLine="720"/>
      </w:pPr>
      <w:rPr>
        <w:rFonts w:hint="default"/>
      </w:rPr>
    </w:lvl>
    <w:lvl w:ilvl="3">
      <w:start w:val="1"/>
      <w:numFmt w:val="none"/>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2D75161A"/>
    <w:multiLevelType w:val="hybridMultilevel"/>
    <w:tmpl w:val="E392DFF0"/>
    <w:lvl w:ilvl="0" w:tplc="FFFFFFFF">
      <w:start w:val="1"/>
      <w:numFmt w:val="lowerLetter"/>
      <w:lvlText w:val="(%1)"/>
      <w:lvlJc w:val="left"/>
      <w:pPr>
        <w:ind w:left="360" w:hanging="360"/>
      </w:pPr>
      <w:rPr>
        <w:rFonts w:asciiTheme="minorHAnsi" w:eastAsia="Times New Roman" w:hAnsiTheme="minorHAnsi" w:cs="Calibr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2D751E87"/>
    <w:multiLevelType w:val="multilevel"/>
    <w:tmpl w:val="9C54AF9E"/>
    <w:name w:val="ListNumberNonindentedNumbering2"/>
    <w:lvl w:ilvl="0">
      <w:start w:val="1"/>
      <w:numFmt w:val="decimal"/>
      <w:lvlText w:val="%1."/>
      <w:lvlJc w:val="left"/>
      <w:pPr>
        <w:ind w:left="-143" w:hanging="567"/>
      </w:pPr>
      <w:rPr>
        <w:rFonts w:hint="default"/>
        <w:color w:val="003399"/>
      </w:rPr>
    </w:lvl>
    <w:lvl w:ilvl="1">
      <w:start w:val="1"/>
      <w:numFmt w:val="decimal"/>
      <w:lvlText w:val="%1.%2."/>
      <w:lvlJc w:val="left"/>
      <w:pPr>
        <w:ind w:left="0" w:hanging="710"/>
      </w:pPr>
      <w:rPr>
        <w:rFonts w:hint="default"/>
        <w:color w:val="003399"/>
      </w:rPr>
    </w:lvl>
    <w:lvl w:ilvl="2">
      <w:start w:val="1"/>
      <w:numFmt w:val="decimal"/>
      <w:lvlText w:val="%1.%2.%3."/>
      <w:lvlJc w:val="left"/>
      <w:pPr>
        <w:ind w:left="140" w:hanging="850"/>
      </w:pPr>
      <w:rPr>
        <w:rFonts w:hint="default"/>
        <w:color w:val="003399"/>
      </w:rPr>
    </w:lvl>
    <w:lvl w:ilvl="3">
      <w:start w:val="1"/>
      <w:numFmt w:val="decimal"/>
      <w:lvlText w:val="%1.%2.%3.%4."/>
      <w:lvlJc w:val="left"/>
      <w:pPr>
        <w:ind w:left="254" w:hanging="964"/>
      </w:pPr>
      <w:rPr>
        <w:rFonts w:ascii="Aptos Light" w:hAnsi="Aptos Light" w:hint="default"/>
        <w:b w:val="0"/>
        <w:bCs w:val="0"/>
        <w:i w:val="0"/>
        <w:iCs w:val="0"/>
        <w:color w:val="003399"/>
      </w:rPr>
    </w:lvl>
    <w:lvl w:ilvl="4">
      <w:start w:val="1"/>
      <w:numFmt w:val="decimal"/>
      <w:lvlText w:val="%1.%2.%3.%4.%5."/>
      <w:lvlJc w:val="left"/>
      <w:pPr>
        <w:ind w:left="1134" w:hanging="1134"/>
      </w:pPr>
      <w:rPr>
        <w:rFonts w:ascii="Aptos Light" w:hAnsi="Aptos Light" w:hint="default"/>
        <w:color w:val="132D4E" w:themeColor="text2"/>
      </w:rPr>
    </w:lvl>
    <w:lvl w:ilvl="5">
      <w:start w:val="1"/>
      <w:numFmt w:val="decimal"/>
      <w:lvlText w:val="%1.%2.%3.%4.%5."/>
      <w:lvlJc w:val="left"/>
      <w:pPr>
        <w:ind w:left="424" w:hanging="1134"/>
      </w:pPr>
      <w:rPr>
        <w:rFonts w:ascii="Arial" w:hAnsi="Arial" w:hint="default"/>
        <w:color w:val="132D4E" w:themeColor="text2"/>
      </w:rPr>
    </w:lvl>
    <w:lvl w:ilvl="6">
      <w:start w:val="1"/>
      <w:numFmt w:val="decimal"/>
      <w:lvlText w:val="%1.%2.%3.%4.%5."/>
      <w:lvlJc w:val="left"/>
      <w:pPr>
        <w:ind w:left="424" w:hanging="1134"/>
      </w:pPr>
      <w:rPr>
        <w:rFonts w:ascii="Arial" w:hAnsi="Arial" w:hint="default"/>
        <w:color w:val="132D4E" w:themeColor="text2"/>
      </w:rPr>
    </w:lvl>
    <w:lvl w:ilvl="7">
      <w:start w:val="1"/>
      <w:numFmt w:val="decimal"/>
      <w:lvlText w:val="%1.%2.%3.%4.%5."/>
      <w:lvlJc w:val="left"/>
      <w:pPr>
        <w:ind w:left="424" w:hanging="1134"/>
      </w:pPr>
      <w:rPr>
        <w:rFonts w:ascii="Arial" w:hAnsi="Arial" w:hint="default"/>
        <w:color w:val="132D4E" w:themeColor="text2"/>
      </w:rPr>
    </w:lvl>
    <w:lvl w:ilvl="8">
      <w:start w:val="1"/>
      <w:numFmt w:val="decimal"/>
      <w:lvlText w:val="%1.%2.%3.%4.%5."/>
      <w:lvlJc w:val="left"/>
      <w:pPr>
        <w:ind w:left="424" w:hanging="1134"/>
      </w:pPr>
      <w:rPr>
        <w:rFonts w:ascii="Arial" w:hAnsi="Arial" w:hint="default"/>
        <w:color w:val="132D4E" w:themeColor="text2"/>
      </w:rPr>
    </w:lvl>
  </w:abstractNum>
  <w:abstractNum w:abstractNumId="55" w15:restartNumberingAfterBreak="0">
    <w:nsid w:val="2EB107EC"/>
    <w:multiLevelType w:val="multilevel"/>
    <w:tmpl w:val="A6603398"/>
    <w:lvl w:ilvl="0">
      <w:start w:val="1"/>
      <w:numFmt w:val="bullet"/>
      <w:lvlText w:val=""/>
      <w:lvlJc w:val="left"/>
      <w:pPr>
        <w:ind w:left="680" w:hanging="340"/>
      </w:pPr>
      <w:rPr>
        <w:rFonts w:ascii="Symbol" w:hAnsi="Symbol" w:hint="default"/>
      </w:rPr>
    </w:lvl>
    <w:lvl w:ilvl="1">
      <w:start w:val="1"/>
      <w:numFmt w:val="decimal"/>
      <w:lvlText w:val="%1.%2"/>
      <w:lvlJc w:val="left"/>
      <w:pPr>
        <w:ind w:left="1132" w:hanging="432"/>
      </w:pPr>
      <w:rPr>
        <w:rFonts w:hint="default"/>
      </w:rPr>
    </w:lvl>
    <w:lvl w:ilvl="2">
      <w:start w:val="1"/>
      <w:numFmt w:val="decimal"/>
      <w:lvlText w:val="%1.%2.%3"/>
      <w:lvlJc w:val="left"/>
      <w:pPr>
        <w:ind w:left="1191" w:hanging="131"/>
      </w:pPr>
      <w:rPr>
        <w:rFonts w:hint="default"/>
      </w:rPr>
    </w:lvl>
    <w:lvl w:ilvl="3">
      <w:start w:val="1"/>
      <w:numFmt w:val="decimal"/>
      <w:lvlText w:val="%1.%2.%3.%4."/>
      <w:lvlJc w:val="left"/>
      <w:pPr>
        <w:ind w:left="2068" w:hanging="648"/>
      </w:pPr>
      <w:rPr>
        <w:rFonts w:hint="default"/>
      </w:rPr>
    </w:lvl>
    <w:lvl w:ilvl="4">
      <w:start w:val="1"/>
      <w:numFmt w:val="decimal"/>
      <w:lvlText w:val="%1.%2.%3.%4.%5."/>
      <w:lvlJc w:val="left"/>
      <w:pPr>
        <w:ind w:left="2572" w:hanging="792"/>
      </w:pPr>
      <w:rPr>
        <w:rFonts w:hint="default"/>
      </w:rPr>
    </w:lvl>
    <w:lvl w:ilvl="5">
      <w:start w:val="1"/>
      <w:numFmt w:val="decimal"/>
      <w:lvlText w:val="%1.%2.%3.%4.%5.%6."/>
      <w:lvlJc w:val="left"/>
      <w:pPr>
        <w:ind w:left="3076" w:hanging="936"/>
      </w:pPr>
      <w:rPr>
        <w:rFonts w:hint="default"/>
      </w:rPr>
    </w:lvl>
    <w:lvl w:ilvl="6">
      <w:start w:val="1"/>
      <w:numFmt w:val="decimal"/>
      <w:lvlText w:val="%1.%2.%3.%4.%5.%6.%7."/>
      <w:lvlJc w:val="left"/>
      <w:pPr>
        <w:ind w:left="3580" w:hanging="1080"/>
      </w:pPr>
      <w:rPr>
        <w:rFonts w:hint="default"/>
      </w:rPr>
    </w:lvl>
    <w:lvl w:ilvl="7">
      <w:start w:val="1"/>
      <w:numFmt w:val="decimal"/>
      <w:lvlText w:val="%1.%2.%3.%4.%5.%6.%7.%8."/>
      <w:lvlJc w:val="left"/>
      <w:pPr>
        <w:ind w:left="4084" w:hanging="1224"/>
      </w:pPr>
      <w:rPr>
        <w:rFonts w:hint="default"/>
      </w:rPr>
    </w:lvl>
    <w:lvl w:ilvl="8">
      <w:start w:val="1"/>
      <w:numFmt w:val="decimal"/>
      <w:lvlText w:val="%1.%2.%3.%4.%5.%6.%7.%8.%9."/>
      <w:lvlJc w:val="left"/>
      <w:pPr>
        <w:ind w:left="4660" w:hanging="1440"/>
      </w:pPr>
      <w:rPr>
        <w:rFonts w:hint="default"/>
      </w:rPr>
    </w:lvl>
  </w:abstractNum>
  <w:abstractNum w:abstractNumId="56" w15:restartNumberingAfterBreak="0">
    <w:nsid w:val="2EC16E7E"/>
    <w:multiLevelType w:val="hybridMultilevel"/>
    <w:tmpl w:val="6ED8BD06"/>
    <w:lvl w:ilvl="0" w:tplc="FAB6D8EE">
      <w:start w:val="1"/>
      <w:numFmt w:val="decimal"/>
      <w:pStyle w:val="Figuretitlenumbered"/>
      <w:lvlText w:val="Figure %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30D46198"/>
    <w:multiLevelType w:val="multilevel"/>
    <w:tmpl w:val="A6603398"/>
    <w:lvl w:ilvl="0">
      <w:start w:val="1"/>
      <w:numFmt w:val="bullet"/>
      <w:lvlText w:val=""/>
      <w:lvlJc w:val="left"/>
      <w:pPr>
        <w:ind w:left="680" w:hanging="340"/>
      </w:pPr>
      <w:rPr>
        <w:rFonts w:ascii="Symbol" w:hAnsi="Symbol" w:hint="default"/>
      </w:rPr>
    </w:lvl>
    <w:lvl w:ilvl="1">
      <w:start w:val="1"/>
      <w:numFmt w:val="decimal"/>
      <w:lvlText w:val="%1.%2"/>
      <w:lvlJc w:val="left"/>
      <w:pPr>
        <w:ind w:left="1132" w:hanging="432"/>
      </w:pPr>
      <w:rPr>
        <w:rFonts w:hint="default"/>
      </w:rPr>
    </w:lvl>
    <w:lvl w:ilvl="2">
      <w:start w:val="1"/>
      <w:numFmt w:val="decimal"/>
      <w:lvlText w:val="%1.%2.%3"/>
      <w:lvlJc w:val="left"/>
      <w:pPr>
        <w:ind w:left="1191" w:hanging="131"/>
      </w:pPr>
      <w:rPr>
        <w:rFonts w:hint="default"/>
      </w:rPr>
    </w:lvl>
    <w:lvl w:ilvl="3">
      <w:start w:val="1"/>
      <w:numFmt w:val="decimal"/>
      <w:lvlText w:val="%1.%2.%3.%4."/>
      <w:lvlJc w:val="left"/>
      <w:pPr>
        <w:ind w:left="2068" w:hanging="648"/>
      </w:pPr>
      <w:rPr>
        <w:rFonts w:hint="default"/>
      </w:rPr>
    </w:lvl>
    <w:lvl w:ilvl="4">
      <w:start w:val="1"/>
      <w:numFmt w:val="decimal"/>
      <w:lvlText w:val="%1.%2.%3.%4.%5."/>
      <w:lvlJc w:val="left"/>
      <w:pPr>
        <w:ind w:left="2572" w:hanging="792"/>
      </w:pPr>
      <w:rPr>
        <w:rFonts w:hint="default"/>
      </w:rPr>
    </w:lvl>
    <w:lvl w:ilvl="5">
      <w:start w:val="1"/>
      <w:numFmt w:val="decimal"/>
      <w:lvlText w:val="%1.%2.%3.%4.%5.%6."/>
      <w:lvlJc w:val="left"/>
      <w:pPr>
        <w:ind w:left="3076" w:hanging="936"/>
      </w:pPr>
      <w:rPr>
        <w:rFonts w:hint="default"/>
      </w:rPr>
    </w:lvl>
    <w:lvl w:ilvl="6">
      <w:start w:val="1"/>
      <w:numFmt w:val="decimal"/>
      <w:lvlText w:val="%1.%2.%3.%4.%5.%6.%7."/>
      <w:lvlJc w:val="left"/>
      <w:pPr>
        <w:ind w:left="3580" w:hanging="1080"/>
      </w:pPr>
      <w:rPr>
        <w:rFonts w:hint="default"/>
      </w:rPr>
    </w:lvl>
    <w:lvl w:ilvl="7">
      <w:start w:val="1"/>
      <w:numFmt w:val="decimal"/>
      <w:lvlText w:val="%1.%2.%3.%4.%5.%6.%7.%8."/>
      <w:lvlJc w:val="left"/>
      <w:pPr>
        <w:ind w:left="4084" w:hanging="1224"/>
      </w:pPr>
      <w:rPr>
        <w:rFonts w:hint="default"/>
      </w:rPr>
    </w:lvl>
    <w:lvl w:ilvl="8">
      <w:start w:val="1"/>
      <w:numFmt w:val="decimal"/>
      <w:lvlText w:val="%1.%2.%3.%4.%5.%6.%7.%8.%9."/>
      <w:lvlJc w:val="left"/>
      <w:pPr>
        <w:ind w:left="4660" w:hanging="1440"/>
      </w:pPr>
      <w:rPr>
        <w:rFonts w:hint="default"/>
      </w:rPr>
    </w:lvl>
  </w:abstractNum>
  <w:abstractNum w:abstractNumId="58" w15:restartNumberingAfterBreak="0">
    <w:nsid w:val="30F8610C"/>
    <w:multiLevelType w:val="multilevel"/>
    <w:tmpl w:val="0396FAD0"/>
    <w:styleLink w:val="CurrentList28"/>
    <w:lvl w:ilvl="0">
      <w:start w:val="1"/>
      <w:numFmt w:val="decimal"/>
      <w:lvlText w:val="%1"/>
      <w:lvlJc w:val="left"/>
      <w:pPr>
        <w:ind w:left="715" w:hanging="432"/>
      </w:pPr>
      <w:rPr>
        <w:rFonts w:asciiTheme="minorHAnsi" w:hAnsiTheme="minorHAnsi" w:hint="default"/>
        <w:b w:val="0"/>
        <w:i w:val="0"/>
        <w:color w:val="auto"/>
        <w:sz w:val="20"/>
      </w:rPr>
    </w:lvl>
    <w:lvl w:ilvl="1">
      <w:start w:val="1"/>
      <w:numFmt w:val="decimal"/>
      <w:lvlRestart w:val="0"/>
      <w:lvlText w:val="%1.%2"/>
      <w:lvlJc w:val="left"/>
      <w:pPr>
        <w:ind w:left="859" w:hanging="576"/>
      </w:pPr>
      <w:rPr>
        <w:rFonts w:hint="default"/>
      </w:rPr>
    </w:lvl>
    <w:lvl w:ilvl="2">
      <w:start w:val="1"/>
      <w:numFmt w:val="decimal"/>
      <w:lvlText w:val="%1.%2.%3"/>
      <w:lvlJc w:val="left"/>
      <w:pPr>
        <w:ind w:left="1003" w:hanging="720"/>
      </w:pPr>
      <w:rPr>
        <w:rFonts w:hint="default"/>
      </w:rPr>
    </w:lvl>
    <w:lvl w:ilvl="3">
      <w:start w:val="1"/>
      <w:numFmt w:val="decimal"/>
      <w:lvlText w:val="%1.%2.%3.%4"/>
      <w:lvlJc w:val="left"/>
      <w:pPr>
        <w:ind w:left="1147" w:hanging="864"/>
      </w:pPr>
      <w:rPr>
        <w:rFonts w:hint="default"/>
      </w:rPr>
    </w:lvl>
    <w:lvl w:ilvl="4">
      <w:start w:val="1"/>
      <w:numFmt w:val="decimal"/>
      <w:lvlText w:val="%1.%2.%3.%4.%5"/>
      <w:lvlJc w:val="left"/>
      <w:pPr>
        <w:ind w:left="1291" w:hanging="1008"/>
      </w:pPr>
      <w:rPr>
        <w:rFonts w:hint="default"/>
      </w:rPr>
    </w:lvl>
    <w:lvl w:ilvl="5">
      <w:start w:val="1"/>
      <w:numFmt w:val="decimal"/>
      <w:lvlText w:val="%1.%2.%3.%4.%5.%6"/>
      <w:lvlJc w:val="left"/>
      <w:pPr>
        <w:ind w:left="1435" w:hanging="1152"/>
      </w:pPr>
      <w:rPr>
        <w:rFonts w:hint="default"/>
      </w:rPr>
    </w:lvl>
    <w:lvl w:ilvl="6">
      <w:start w:val="1"/>
      <w:numFmt w:val="decimal"/>
      <w:lvlText w:val="%1.%2.%3.%4.%5.%6.%7"/>
      <w:lvlJc w:val="left"/>
      <w:pPr>
        <w:ind w:left="1579" w:hanging="1296"/>
      </w:pPr>
      <w:rPr>
        <w:rFonts w:hint="default"/>
      </w:rPr>
    </w:lvl>
    <w:lvl w:ilvl="7">
      <w:start w:val="1"/>
      <w:numFmt w:val="decimal"/>
      <w:lvlText w:val="%1.%2.%3.%4.%5.%6.%7.%8"/>
      <w:lvlJc w:val="left"/>
      <w:pPr>
        <w:ind w:left="1723" w:hanging="1440"/>
      </w:pPr>
      <w:rPr>
        <w:rFonts w:hint="default"/>
      </w:rPr>
    </w:lvl>
    <w:lvl w:ilvl="8">
      <w:start w:val="1"/>
      <w:numFmt w:val="decimal"/>
      <w:lvlText w:val="%1.%2.%3.%4.%5.%6.%7.%8.%9"/>
      <w:lvlJc w:val="left"/>
      <w:pPr>
        <w:ind w:left="1867" w:hanging="1584"/>
      </w:pPr>
      <w:rPr>
        <w:rFonts w:hint="default"/>
      </w:rPr>
    </w:lvl>
  </w:abstractNum>
  <w:abstractNum w:abstractNumId="59" w15:restartNumberingAfterBreak="0">
    <w:nsid w:val="326C24B0"/>
    <w:multiLevelType w:val="multilevel"/>
    <w:tmpl w:val="F462D504"/>
    <w:styleLink w:val="LFO7"/>
    <w:lvl w:ilvl="0">
      <w:start w:val="1"/>
      <w:numFmt w:val="decimal"/>
      <w:lvlText w:val="%1."/>
      <w:lvlJc w:val="left"/>
    </w:lvl>
    <w:lvl w:ilvl="1">
      <w:start w:val="1"/>
      <w:numFmt w:val="decimal"/>
      <w:lvlText w:val="%1.%2"/>
      <w:lvlJc w:val="left"/>
    </w:lvl>
    <w:lvl w:ilvl="2">
      <w:start w:val="1"/>
      <w:numFmt w:val="decimal"/>
      <w:lvlText w:val="%1.%2.%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0" w15:restartNumberingAfterBreak="0">
    <w:nsid w:val="33BE37D1"/>
    <w:multiLevelType w:val="multilevel"/>
    <w:tmpl w:val="A6603398"/>
    <w:lvl w:ilvl="0">
      <w:start w:val="1"/>
      <w:numFmt w:val="bullet"/>
      <w:lvlText w:val=""/>
      <w:lvlJc w:val="left"/>
      <w:pPr>
        <w:ind w:left="680" w:hanging="340"/>
      </w:pPr>
      <w:rPr>
        <w:rFonts w:ascii="Symbol" w:hAnsi="Symbol" w:hint="default"/>
      </w:rPr>
    </w:lvl>
    <w:lvl w:ilvl="1">
      <w:start w:val="1"/>
      <w:numFmt w:val="decimal"/>
      <w:lvlText w:val="%1.%2"/>
      <w:lvlJc w:val="left"/>
      <w:pPr>
        <w:ind w:left="1132" w:hanging="432"/>
      </w:pPr>
      <w:rPr>
        <w:rFonts w:hint="default"/>
      </w:rPr>
    </w:lvl>
    <w:lvl w:ilvl="2">
      <w:start w:val="1"/>
      <w:numFmt w:val="decimal"/>
      <w:lvlText w:val="%1.%2.%3"/>
      <w:lvlJc w:val="left"/>
      <w:pPr>
        <w:ind w:left="1191" w:hanging="131"/>
      </w:pPr>
      <w:rPr>
        <w:rFonts w:hint="default"/>
      </w:rPr>
    </w:lvl>
    <w:lvl w:ilvl="3">
      <w:start w:val="1"/>
      <w:numFmt w:val="decimal"/>
      <w:lvlText w:val="%1.%2.%3.%4."/>
      <w:lvlJc w:val="left"/>
      <w:pPr>
        <w:ind w:left="2068" w:hanging="648"/>
      </w:pPr>
      <w:rPr>
        <w:rFonts w:hint="default"/>
      </w:rPr>
    </w:lvl>
    <w:lvl w:ilvl="4">
      <w:start w:val="1"/>
      <w:numFmt w:val="decimal"/>
      <w:lvlText w:val="%1.%2.%3.%4.%5."/>
      <w:lvlJc w:val="left"/>
      <w:pPr>
        <w:ind w:left="2572" w:hanging="792"/>
      </w:pPr>
      <w:rPr>
        <w:rFonts w:hint="default"/>
      </w:rPr>
    </w:lvl>
    <w:lvl w:ilvl="5">
      <w:start w:val="1"/>
      <w:numFmt w:val="decimal"/>
      <w:lvlText w:val="%1.%2.%3.%4.%5.%6."/>
      <w:lvlJc w:val="left"/>
      <w:pPr>
        <w:ind w:left="3076" w:hanging="936"/>
      </w:pPr>
      <w:rPr>
        <w:rFonts w:hint="default"/>
      </w:rPr>
    </w:lvl>
    <w:lvl w:ilvl="6">
      <w:start w:val="1"/>
      <w:numFmt w:val="decimal"/>
      <w:lvlText w:val="%1.%2.%3.%4.%5.%6.%7."/>
      <w:lvlJc w:val="left"/>
      <w:pPr>
        <w:ind w:left="3580" w:hanging="1080"/>
      </w:pPr>
      <w:rPr>
        <w:rFonts w:hint="default"/>
      </w:rPr>
    </w:lvl>
    <w:lvl w:ilvl="7">
      <w:start w:val="1"/>
      <w:numFmt w:val="decimal"/>
      <w:lvlText w:val="%1.%2.%3.%4.%5.%6.%7.%8."/>
      <w:lvlJc w:val="left"/>
      <w:pPr>
        <w:ind w:left="4084" w:hanging="1224"/>
      </w:pPr>
      <w:rPr>
        <w:rFonts w:hint="default"/>
      </w:rPr>
    </w:lvl>
    <w:lvl w:ilvl="8">
      <w:start w:val="1"/>
      <w:numFmt w:val="decimal"/>
      <w:lvlText w:val="%1.%2.%3.%4.%5.%6.%7.%8.%9."/>
      <w:lvlJc w:val="left"/>
      <w:pPr>
        <w:ind w:left="4660" w:hanging="1440"/>
      </w:pPr>
      <w:rPr>
        <w:rFonts w:hint="default"/>
      </w:rPr>
    </w:lvl>
  </w:abstractNum>
  <w:abstractNum w:abstractNumId="61" w15:restartNumberingAfterBreak="0">
    <w:nsid w:val="343224DD"/>
    <w:multiLevelType w:val="hybridMultilevel"/>
    <w:tmpl w:val="C4884F86"/>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348C217D"/>
    <w:multiLevelType w:val="multilevel"/>
    <w:tmpl w:val="7D5487D2"/>
    <w:styleLink w:val="CurrentList10"/>
    <w:lvl w:ilvl="0">
      <w:start w:val="1"/>
      <w:numFmt w:val="decimal"/>
      <w:lvlText w:val="%1."/>
      <w:lvlJc w:val="left"/>
      <w:pPr>
        <w:ind w:left="-143" w:hanging="567"/>
      </w:pPr>
      <w:rPr>
        <w:rFonts w:hint="default"/>
        <w:color w:val="003399"/>
      </w:rPr>
    </w:lvl>
    <w:lvl w:ilvl="1">
      <w:start w:val="1"/>
      <w:numFmt w:val="decimal"/>
      <w:lvlText w:val="%1.%2."/>
      <w:lvlJc w:val="left"/>
      <w:pPr>
        <w:ind w:left="-143" w:hanging="567"/>
      </w:pPr>
      <w:rPr>
        <w:rFonts w:hint="default"/>
        <w:color w:val="003399"/>
      </w:rPr>
    </w:lvl>
    <w:lvl w:ilvl="2">
      <w:start w:val="1"/>
      <w:numFmt w:val="decimal"/>
      <w:lvlText w:val="%1.%2.%3."/>
      <w:lvlJc w:val="left"/>
      <w:pPr>
        <w:ind w:left="140" w:hanging="850"/>
      </w:pPr>
      <w:rPr>
        <w:rFonts w:hint="default"/>
        <w:color w:val="003399"/>
      </w:rPr>
    </w:lvl>
    <w:lvl w:ilvl="3">
      <w:start w:val="1"/>
      <w:numFmt w:val="decimal"/>
      <w:lvlText w:val="%1.%2.%3.%4."/>
      <w:lvlJc w:val="left"/>
      <w:pPr>
        <w:ind w:left="254" w:hanging="964"/>
      </w:pPr>
      <w:rPr>
        <w:rFonts w:ascii="Aptos Light" w:hAnsi="Aptos Light" w:hint="default"/>
        <w:b w:val="0"/>
        <w:bCs w:val="0"/>
        <w:i w:val="0"/>
        <w:iCs w:val="0"/>
        <w:color w:val="003399"/>
      </w:rPr>
    </w:lvl>
    <w:lvl w:ilvl="4">
      <w:start w:val="1"/>
      <w:numFmt w:val="decimal"/>
      <w:lvlText w:val="%1.%2.%3.%4.%5."/>
      <w:lvlJc w:val="left"/>
      <w:pPr>
        <w:ind w:left="1134" w:hanging="1134"/>
      </w:pPr>
      <w:rPr>
        <w:rFonts w:ascii="Aptos Light" w:hAnsi="Aptos Light" w:hint="default"/>
        <w:color w:val="132D4E" w:themeColor="text2"/>
      </w:rPr>
    </w:lvl>
    <w:lvl w:ilvl="5">
      <w:start w:val="1"/>
      <w:numFmt w:val="decimal"/>
      <w:lvlText w:val="%1.%2.%3.%4.%5."/>
      <w:lvlJc w:val="left"/>
      <w:pPr>
        <w:ind w:left="424" w:hanging="1134"/>
      </w:pPr>
      <w:rPr>
        <w:rFonts w:ascii="Arial" w:hAnsi="Arial" w:hint="default"/>
        <w:color w:val="132D4E" w:themeColor="text2"/>
      </w:rPr>
    </w:lvl>
    <w:lvl w:ilvl="6">
      <w:start w:val="1"/>
      <w:numFmt w:val="decimal"/>
      <w:lvlText w:val="%1.%2.%3.%4.%5."/>
      <w:lvlJc w:val="left"/>
      <w:pPr>
        <w:ind w:left="424" w:hanging="1134"/>
      </w:pPr>
      <w:rPr>
        <w:rFonts w:ascii="Arial" w:hAnsi="Arial" w:hint="default"/>
        <w:color w:val="132D4E" w:themeColor="text2"/>
      </w:rPr>
    </w:lvl>
    <w:lvl w:ilvl="7">
      <w:start w:val="1"/>
      <w:numFmt w:val="decimal"/>
      <w:lvlText w:val="%1.%2.%3.%4.%5."/>
      <w:lvlJc w:val="left"/>
      <w:pPr>
        <w:ind w:left="424" w:hanging="1134"/>
      </w:pPr>
      <w:rPr>
        <w:rFonts w:ascii="Arial" w:hAnsi="Arial" w:hint="default"/>
        <w:color w:val="132D4E" w:themeColor="text2"/>
      </w:rPr>
    </w:lvl>
    <w:lvl w:ilvl="8">
      <w:start w:val="1"/>
      <w:numFmt w:val="decimal"/>
      <w:lvlText w:val="%1.%2.%3.%4.%5."/>
      <w:lvlJc w:val="left"/>
      <w:pPr>
        <w:ind w:left="424" w:hanging="1134"/>
      </w:pPr>
      <w:rPr>
        <w:rFonts w:ascii="Arial" w:hAnsi="Arial" w:hint="default"/>
        <w:color w:val="132D4E" w:themeColor="text2"/>
      </w:rPr>
    </w:lvl>
  </w:abstractNum>
  <w:abstractNum w:abstractNumId="63" w15:restartNumberingAfterBreak="0">
    <w:nsid w:val="35326FC5"/>
    <w:multiLevelType w:val="multilevel"/>
    <w:tmpl w:val="A6603398"/>
    <w:lvl w:ilvl="0">
      <w:start w:val="1"/>
      <w:numFmt w:val="bullet"/>
      <w:lvlText w:val=""/>
      <w:lvlJc w:val="left"/>
      <w:pPr>
        <w:ind w:left="340" w:hanging="34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851" w:hanging="13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35A1154B"/>
    <w:multiLevelType w:val="multilevel"/>
    <w:tmpl w:val="40B8202E"/>
    <w:styleLink w:val="CurrentList8"/>
    <w:lvl w:ilvl="0">
      <w:start w:val="1"/>
      <w:numFmt w:val="decimal"/>
      <w:lvlText w:val="%1."/>
      <w:lvlJc w:val="left"/>
      <w:pPr>
        <w:ind w:left="567" w:hanging="567"/>
      </w:pPr>
      <w:rPr>
        <w:rFonts w:hint="default"/>
        <w:color w:val="003399"/>
      </w:rPr>
    </w:lvl>
    <w:lvl w:ilvl="1">
      <w:start w:val="1"/>
      <w:numFmt w:val="decimal"/>
      <w:lvlText w:val="%1.%2."/>
      <w:lvlJc w:val="left"/>
      <w:pPr>
        <w:ind w:left="567" w:hanging="567"/>
      </w:pPr>
      <w:rPr>
        <w:rFonts w:hint="default"/>
        <w:color w:val="003399"/>
      </w:rPr>
    </w:lvl>
    <w:lvl w:ilvl="2">
      <w:start w:val="1"/>
      <w:numFmt w:val="decimal"/>
      <w:lvlText w:val="%1.%2.%3."/>
      <w:lvlJc w:val="left"/>
      <w:pPr>
        <w:ind w:left="850" w:hanging="850"/>
      </w:pPr>
      <w:rPr>
        <w:rFonts w:hint="default"/>
        <w:color w:val="003399"/>
      </w:rPr>
    </w:lvl>
    <w:lvl w:ilvl="3">
      <w:start w:val="1"/>
      <w:numFmt w:val="decimal"/>
      <w:lvlText w:val="%1.%2.%3.%4."/>
      <w:lvlJc w:val="left"/>
      <w:pPr>
        <w:ind w:left="964" w:hanging="964"/>
      </w:pPr>
      <w:rPr>
        <w:rFonts w:ascii="Aptos Light" w:hAnsi="Aptos Light" w:hint="default"/>
        <w:b w:val="0"/>
        <w:bCs w:val="0"/>
        <w:i w:val="0"/>
        <w:iCs w:val="0"/>
        <w:color w:val="003399"/>
      </w:rPr>
    </w:lvl>
    <w:lvl w:ilvl="4">
      <w:start w:val="1"/>
      <w:numFmt w:val="decimal"/>
      <w:lvlText w:val="%1.%2.%3.%4.%5."/>
      <w:lvlJc w:val="left"/>
      <w:pPr>
        <w:ind w:left="1844" w:hanging="1134"/>
      </w:pPr>
      <w:rPr>
        <w:rFonts w:ascii="Arial" w:hAnsi="Arial" w:hint="default"/>
        <w:color w:val="132D4E" w:themeColor="text2"/>
      </w:rPr>
    </w:lvl>
    <w:lvl w:ilvl="5">
      <w:start w:val="1"/>
      <w:numFmt w:val="decimal"/>
      <w:lvlText w:val="%1.%2.%3.%4.%5."/>
      <w:lvlJc w:val="left"/>
      <w:pPr>
        <w:ind w:left="1134" w:hanging="1134"/>
      </w:pPr>
      <w:rPr>
        <w:rFonts w:ascii="Arial" w:hAnsi="Arial" w:hint="default"/>
        <w:color w:val="132D4E" w:themeColor="text2"/>
      </w:rPr>
    </w:lvl>
    <w:lvl w:ilvl="6">
      <w:start w:val="1"/>
      <w:numFmt w:val="decimal"/>
      <w:lvlText w:val="%1.%2.%3.%4.%5."/>
      <w:lvlJc w:val="left"/>
      <w:pPr>
        <w:ind w:left="1134" w:hanging="1134"/>
      </w:pPr>
      <w:rPr>
        <w:rFonts w:ascii="Arial" w:hAnsi="Arial" w:hint="default"/>
        <w:color w:val="132D4E" w:themeColor="text2"/>
      </w:rPr>
    </w:lvl>
    <w:lvl w:ilvl="7">
      <w:start w:val="1"/>
      <w:numFmt w:val="decimal"/>
      <w:lvlText w:val="%1.%2.%3.%4.%5."/>
      <w:lvlJc w:val="left"/>
      <w:pPr>
        <w:ind w:left="1134" w:hanging="1134"/>
      </w:pPr>
      <w:rPr>
        <w:rFonts w:ascii="Arial" w:hAnsi="Arial" w:hint="default"/>
        <w:color w:val="132D4E" w:themeColor="text2"/>
      </w:rPr>
    </w:lvl>
    <w:lvl w:ilvl="8">
      <w:start w:val="1"/>
      <w:numFmt w:val="decimal"/>
      <w:lvlText w:val="%1.%2.%3.%4.%5."/>
      <w:lvlJc w:val="left"/>
      <w:pPr>
        <w:ind w:left="1134" w:hanging="1134"/>
      </w:pPr>
      <w:rPr>
        <w:rFonts w:ascii="Arial" w:hAnsi="Arial" w:hint="default"/>
        <w:color w:val="132D4E" w:themeColor="text2"/>
      </w:rPr>
    </w:lvl>
  </w:abstractNum>
  <w:abstractNum w:abstractNumId="65" w15:restartNumberingAfterBreak="0">
    <w:nsid w:val="35D31CEE"/>
    <w:multiLevelType w:val="hybridMultilevel"/>
    <w:tmpl w:val="28D868FE"/>
    <w:lvl w:ilvl="0" w:tplc="5538D81C">
      <w:start w:val="1"/>
      <w:numFmt w:val="bullet"/>
      <w:lvlText w:val=""/>
      <w:lvlJc w:val="left"/>
      <w:pPr>
        <w:ind w:left="1080" w:hanging="360"/>
      </w:pPr>
      <w:rPr>
        <w:rFonts w:ascii="Symbol" w:hAnsi="Symbol"/>
      </w:rPr>
    </w:lvl>
    <w:lvl w:ilvl="1" w:tplc="3C8A0710">
      <w:start w:val="1"/>
      <w:numFmt w:val="bullet"/>
      <w:lvlText w:val=""/>
      <w:lvlJc w:val="left"/>
      <w:pPr>
        <w:ind w:left="1080" w:hanging="360"/>
      </w:pPr>
      <w:rPr>
        <w:rFonts w:ascii="Symbol" w:hAnsi="Symbol"/>
      </w:rPr>
    </w:lvl>
    <w:lvl w:ilvl="2" w:tplc="4600C6BE">
      <w:start w:val="1"/>
      <w:numFmt w:val="bullet"/>
      <w:lvlText w:val=""/>
      <w:lvlJc w:val="left"/>
      <w:pPr>
        <w:ind w:left="1080" w:hanging="360"/>
      </w:pPr>
      <w:rPr>
        <w:rFonts w:ascii="Symbol" w:hAnsi="Symbol"/>
      </w:rPr>
    </w:lvl>
    <w:lvl w:ilvl="3" w:tplc="E7C65C82">
      <w:start w:val="1"/>
      <w:numFmt w:val="bullet"/>
      <w:lvlText w:val=""/>
      <w:lvlJc w:val="left"/>
      <w:pPr>
        <w:ind w:left="1080" w:hanging="360"/>
      </w:pPr>
      <w:rPr>
        <w:rFonts w:ascii="Symbol" w:hAnsi="Symbol"/>
      </w:rPr>
    </w:lvl>
    <w:lvl w:ilvl="4" w:tplc="73A26BAA">
      <w:start w:val="1"/>
      <w:numFmt w:val="bullet"/>
      <w:lvlText w:val=""/>
      <w:lvlJc w:val="left"/>
      <w:pPr>
        <w:ind w:left="1080" w:hanging="360"/>
      </w:pPr>
      <w:rPr>
        <w:rFonts w:ascii="Symbol" w:hAnsi="Symbol"/>
      </w:rPr>
    </w:lvl>
    <w:lvl w:ilvl="5" w:tplc="D3D67168">
      <w:start w:val="1"/>
      <w:numFmt w:val="bullet"/>
      <w:lvlText w:val=""/>
      <w:lvlJc w:val="left"/>
      <w:pPr>
        <w:ind w:left="1080" w:hanging="360"/>
      </w:pPr>
      <w:rPr>
        <w:rFonts w:ascii="Symbol" w:hAnsi="Symbol"/>
      </w:rPr>
    </w:lvl>
    <w:lvl w:ilvl="6" w:tplc="1B18E3FC">
      <w:start w:val="1"/>
      <w:numFmt w:val="bullet"/>
      <w:lvlText w:val=""/>
      <w:lvlJc w:val="left"/>
      <w:pPr>
        <w:ind w:left="1080" w:hanging="360"/>
      </w:pPr>
      <w:rPr>
        <w:rFonts w:ascii="Symbol" w:hAnsi="Symbol"/>
      </w:rPr>
    </w:lvl>
    <w:lvl w:ilvl="7" w:tplc="BB60DFA6">
      <w:start w:val="1"/>
      <w:numFmt w:val="bullet"/>
      <w:lvlText w:val=""/>
      <w:lvlJc w:val="left"/>
      <w:pPr>
        <w:ind w:left="1080" w:hanging="360"/>
      </w:pPr>
      <w:rPr>
        <w:rFonts w:ascii="Symbol" w:hAnsi="Symbol"/>
      </w:rPr>
    </w:lvl>
    <w:lvl w:ilvl="8" w:tplc="65CA67F2">
      <w:start w:val="1"/>
      <w:numFmt w:val="bullet"/>
      <w:lvlText w:val=""/>
      <w:lvlJc w:val="left"/>
      <w:pPr>
        <w:ind w:left="1080" w:hanging="360"/>
      </w:pPr>
      <w:rPr>
        <w:rFonts w:ascii="Symbol" w:hAnsi="Symbol"/>
      </w:rPr>
    </w:lvl>
  </w:abstractNum>
  <w:abstractNum w:abstractNumId="66" w15:restartNumberingAfterBreak="0">
    <w:nsid w:val="367F6A45"/>
    <w:multiLevelType w:val="multilevel"/>
    <w:tmpl w:val="D6AE5024"/>
    <w:name w:val="List Number Number"/>
    <w:lvl w:ilvl="0">
      <w:start w:val="1"/>
      <w:numFmt w:val="decimal"/>
      <w:lvlText w:val="%1."/>
      <w:lvlJc w:val="left"/>
      <w:pPr>
        <w:ind w:left="360" w:hanging="360"/>
      </w:pPr>
      <w:rPr>
        <w:rFonts w:hint="default"/>
      </w:rPr>
    </w:lvl>
    <w:lvl w:ilvl="1">
      <w:start w:val="1"/>
      <w:numFmt w:val="decimal"/>
      <w:lvlText w:val="%1.%2"/>
      <w:lvlJc w:val="left"/>
      <w:pPr>
        <w:tabs>
          <w:tab w:val="num" w:pos="226"/>
        </w:tabs>
        <w:ind w:left="368" w:hanging="576"/>
      </w:pPr>
      <w:rPr>
        <w:rFonts w:hint="default"/>
      </w:rPr>
    </w:lvl>
    <w:lvl w:ilvl="2">
      <w:start w:val="1"/>
      <w:numFmt w:val="lowerLetter"/>
      <w:lvlText w:val="%3."/>
      <w:lvlJc w:val="left"/>
      <w:pPr>
        <w:tabs>
          <w:tab w:val="num" w:pos="226"/>
        </w:tabs>
        <w:ind w:left="152" w:hanging="360"/>
      </w:pPr>
      <w:rPr>
        <w:rFonts w:hint="default"/>
      </w:rPr>
    </w:lvl>
    <w:lvl w:ilvl="3">
      <w:start w:val="1"/>
      <w:numFmt w:val="lowerRoman"/>
      <w:pStyle w:val="ListNumber4"/>
      <w:lvlText w:val="%4."/>
      <w:lvlJc w:val="left"/>
      <w:pPr>
        <w:ind w:left="512" w:hanging="360"/>
      </w:pPr>
      <w:rPr>
        <w:rFonts w:hint="default"/>
      </w:rPr>
    </w:lvl>
    <w:lvl w:ilvl="4">
      <w:start w:val="1"/>
      <w:numFmt w:val="lowerLetter"/>
      <w:pStyle w:val="ListNumber5"/>
      <w:lvlText w:val="(%5)"/>
      <w:lvlJc w:val="left"/>
      <w:pPr>
        <w:ind w:left="1232" w:hanging="360"/>
      </w:pPr>
      <w:rPr>
        <w:rFonts w:hint="default"/>
      </w:rPr>
    </w:lvl>
    <w:lvl w:ilvl="5">
      <w:start w:val="1"/>
      <w:numFmt w:val="lowerRoman"/>
      <w:lvlText w:val="(%6)"/>
      <w:lvlJc w:val="left"/>
      <w:pPr>
        <w:ind w:left="1592" w:hanging="360"/>
      </w:pPr>
      <w:rPr>
        <w:rFonts w:hint="default"/>
      </w:rPr>
    </w:lvl>
    <w:lvl w:ilvl="6">
      <w:start w:val="1"/>
      <w:numFmt w:val="decimal"/>
      <w:lvlText w:val="%7."/>
      <w:lvlJc w:val="left"/>
      <w:pPr>
        <w:ind w:left="1952" w:hanging="360"/>
      </w:pPr>
      <w:rPr>
        <w:rFonts w:hint="default"/>
      </w:rPr>
    </w:lvl>
    <w:lvl w:ilvl="7">
      <w:start w:val="1"/>
      <w:numFmt w:val="lowerLetter"/>
      <w:lvlText w:val="%8."/>
      <w:lvlJc w:val="left"/>
      <w:pPr>
        <w:ind w:left="2312" w:hanging="360"/>
      </w:pPr>
      <w:rPr>
        <w:rFonts w:hint="default"/>
      </w:rPr>
    </w:lvl>
    <w:lvl w:ilvl="8">
      <w:start w:val="1"/>
      <w:numFmt w:val="lowerRoman"/>
      <w:lvlText w:val="%9."/>
      <w:lvlJc w:val="left"/>
      <w:pPr>
        <w:ind w:left="2672" w:hanging="360"/>
      </w:pPr>
      <w:rPr>
        <w:rFonts w:hint="default"/>
      </w:rPr>
    </w:lvl>
  </w:abstractNum>
  <w:abstractNum w:abstractNumId="67" w15:restartNumberingAfterBreak="0">
    <w:nsid w:val="37B9022D"/>
    <w:multiLevelType w:val="hybridMultilevel"/>
    <w:tmpl w:val="4E2AF460"/>
    <w:lvl w:ilvl="0" w:tplc="76A62530">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8" w15:restartNumberingAfterBreak="0">
    <w:nsid w:val="37DB0671"/>
    <w:multiLevelType w:val="multilevel"/>
    <w:tmpl w:val="23EEC9AE"/>
    <w:styleLink w:val="CurrentList2"/>
    <w:lvl w:ilvl="0">
      <w:start w:val="1"/>
      <w:numFmt w:val="decimal"/>
      <w:lvlText w:val="%1."/>
      <w:lvlJc w:val="left"/>
      <w:pPr>
        <w:ind w:left="567" w:hanging="567"/>
      </w:pPr>
      <w:rPr>
        <w:rFonts w:hint="default"/>
        <w:color w:val="003399"/>
      </w:rPr>
    </w:lvl>
    <w:lvl w:ilvl="1">
      <w:start w:val="1"/>
      <w:numFmt w:val="decimal"/>
      <w:lvlText w:val="%1.%2."/>
      <w:lvlJc w:val="left"/>
      <w:pPr>
        <w:ind w:left="567" w:hanging="567"/>
      </w:pPr>
      <w:rPr>
        <w:rFonts w:hint="default"/>
        <w:color w:val="003399"/>
      </w:rPr>
    </w:lvl>
    <w:lvl w:ilvl="2">
      <w:start w:val="1"/>
      <w:numFmt w:val="decimal"/>
      <w:lvlText w:val="%1.%2.%3."/>
      <w:lvlJc w:val="left"/>
      <w:pPr>
        <w:ind w:left="850" w:hanging="850"/>
      </w:pPr>
      <w:rPr>
        <w:rFonts w:hint="default"/>
        <w:color w:val="003399"/>
      </w:rPr>
    </w:lvl>
    <w:lvl w:ilvl="3">
      <w:start w:val="1"/>
      <w:numFmt w:val="decimal"/>
      <w:lvlText w:val="%1.%2.%3.%4."/>
      <w:lvlJc w:val="left"/>
      <w:pPr>
        <w:ind w:left="964" w:hanging="964"/>
      </w:pPr>
      <w:rPr>
        <w:rFonts w:ascii="Arial" w:hAnsi="Arial" w:hint="default"/>
        <w:color w:val="003399"/>
      </w:rPr>
    </w:lvl>
    <w:lvl w:ilvl="4">
      <w:start w:val="1"/>
      <w:numFmt w:val="decimal"/>
      <w:lvlText w:val="%1.%2.%3.%4.%5."/>
      <w:lvlJc w:val="left"/>
      <w:pPr>
        <w:ind w:left="1134" w:hanging="1134"/>
      </w:pPr>
      <w:rPr>
        <w:rFonts w:ascii="Arial" w:hAnsi="Arial" w:hint="default"/>
        <w:color w:val="132D4E" w:themeColor="text2"/>
      </w:rPr>
    </w:lvl>
    <w:lvl w:ilvl="5">
      <w:start w:val="1"/>
      <w:numFmt w:val="decimal"/>
      <w:lvlText w:val="%1.%2.%3.%4.%5."/>
      <w:lvlJc w:val="left"/>
      <w:pPr>
        <w:ind w:left="1134" w:hanging="1134"/>
      </w:pPr>
      <w:rPr>
        <w:rFonts w:ascii="Arial" w:hAnsi="Arial" w:hint="default"/>
        <w:color w:val="132D4E" w:themeColor="text2"/>
      </w:rPr>
    </w:lvl>
    <w:lvl w:ilvl="6">
      <w:start w:val="1"/>
      <w:numFmt w:val="decimal"/>
      <w:lvlText w:val="%1.%2.%3.%4.%5."/>
      <w:lvlJc w:val="left"/>
      <w:pPr>
        <w:ind w:left="1134" w:hanging="1134"/>
      </w:pPr>
      <w:rPr>
        <w:rFonts w:ascii="Arial" w:hAnsi="Arial" w:hint="default"/>
        <w:color w:val="132D4E" w:themeColor="text2"/>
      </w:rPr>
    </w:lvl>
    <w:lvl w:ilvl="7">
      <w:start w:val="1"/>
      <w:numFmt w:val="decimal"/>
      <w:lvlText w:val="%1.%2.%3.%4.%5."/>
      <w:lvlJc w:val="left"/>
      <w:pPr>
        <w:ind w:left="1134" w:hanging="1134"/>
      </w:pPr>
      <w:rPr>
        <w:rFonts w:ascii="Arial" w:hAnsi="Arial" w:hint="default"/>
        <w:color w:val="132D4E" w:themeColor="text2"/>
      </w:rPr>
    </w:lvl>
    <w:lvl w:ilvl="8">
      <w:start w:val="1"/>
      <w:numFmt w:val="decimal"/>
      <w:lvlText w:val="%1.%2.%3.%4.%5."/>
      <w:lvlJc w:val="left"/>
      <w:pPr>
        <w:ind w:left="1134" w:hanging="1134"/>
      </w:pPr>
      <w:rPr>
        <w:rFonts w:ascii="Arial" w:hAnsi="Arial" w:hint="default"/>
        <w:color w:val="132D4E" w:themeColor="text2"/>
      </w:rPr>
    </w:lvl>
  </w:abstractNum>
  <w:abstractNum w:abstractNumId="69" w15:restartNumberingAfterBreak="0">
    <w:nsid w:val="380015E9"/>
    <w:multiLevelType w:val="multilevel"/>
    <w:tmpl w:val="FD30E578"/>
    <w:styleLink w:val="CurrentList23"/>
    <w:lvl w:ilvl="0">
      <w:start w:val="1"/>
      <w:numFmt w:val="decimal"/>
      <w:lvlText w:val="%1"/>
      <w:lvlJc w:val="left"/>
      <w:pPr>
        <w:ind w:left="715" w:hanging="432"/>
      </w:pPr>
      <w:rPr>
        <w:rFonts w:asciiTheme="minorHAnsi" w:hAnsiTheme="minorHAnsi" w:hint="default"/>
        <w:b w:val="0"/>
        <w:i w:val="0"/>
        <w:color w:val="auto"/>
        <w:sz w:val="20"/>
      </w:rPr>
    </w:lvl>
    <w:lvl w:ilvl="1">
      <w:start w:val="1"/>
      <w:numFmt w:val="decimal"/>
      <w:lvlText w:val="%1.%2"/>
      <w:lvlJc w:val="left"/>
      <w:pPr>
        <w:ind w:left="859" w:hanging="576"/>
      </w:pPr>
      <w:rPr>
        <w:rFonts w:hint="default"/>
      </w:rPr>
    </w:lvl>
    <w:lvl w:ilvl="2">
      <w:start w:val="1"/>
      <w:numFmt w:val="decimal"/>
      <w:lvlText w:val="%1.%2.%3"/>
      <w:lvlJc w:val="left"/>
      <w:pPr>
        <w:ind w:left="1003" w:hanging="720"/>
      </w:pPr>
      <w:rPr>
        <w:rFonts w:hint="default"/>
      </w:rPr>
    </w:lvl>
    <w:lvl w:ilvl="3">
      <w:start w:val="1"/>
      <w:numFmt w:val="decimal"/>
      <w:lvlText w:val="%1.%2.%3.%4"/>
      <w:lvlJc w:val="left"/>
      <w:pPr>
        <w:ind w:left="1147" w:hanging="864"/>
      </w:pPr>
      <w:rPr>
        <w:rFonts w:hint="default"/>
      </w:rPr>
    </w:lvl>
    <w:lvl w:ilvl="4">
      <w:start w:val="1"/>
      <w:numFmt w:val="decimal"/>
      <w:lvlText w:val="%1.%2.%3.%4.%5"/>
      <w:lvlJc w:val="left"/>
      <w:pPr>
        <w:ind w:left="1291" w:hanging="1008"/>
      </w:pPr>
      <w:rPr>
        <w:rFonts w:hint="default"/>
      </w:rPr>
    </w:lvl>
    <w:lvl w:ilvl="5">
      <w:start w:val="1"/>
      <w:numFmt w:val="decimal"/>
      <w:lvlText w:val="%1.%2.%3.%4.%5.%6"/>
      <w:lvlJc w:val="left"/>
      <w:pPr>
        <w:ind w:left="1435" w:hanging="1152"/>
      </w:pPr>
      <w:rPr>
        <w:rFonts w:hint="default"/>
      </w:rPr>
    </w:lvl>
    <w:lvl w:ilvl="6">
      <w:start w:val="1"/>
      <w:numFmt w:val="decimal"/>
      <w:lvlText w:val="%1.%2.%3.%4.%5.%6.%7"/>
      <w:lvlJc w:val="left"/>
      <w:pPr>
        <w:ind w:left="1579" w:hanging="1296"/>
      </w:pPr>
      <w:rPr>
        <w:rFonts w:hint="default"/>
      </w:rPr>
    </w:lvl>
    <w:lvl w:ilvl="7">
      <w:start w:val="1"/>
      <w:numFmt w:val="decimal"/>
      <w:lvlText w:val="%1.%2.%3.%4.%5.%6.%7.%8"/>
      <w:lvlJc w:val="left"/>
      <w:pPr>
        <w:ind w:left="1723" w:hanging="1440"/>
      </w:pPr>
      <w:rPr>
        <w:rFonts w:hint="default"/>
      </w:rPr>
    </w:lvl>
    <w:lvl w:ilvl="8">
      <w:start w:val="1"/>
      <w:numFmt w:val="decimal"/>
      <w:lvlText w:val="%1.%2.%3.%4.%5.%6.%7.%8.%9"/>
      <w:lvlJc w:val="left"/>
      <w:pPr>
        <w:ind w:left="1867" w:hanging="1584"/>
      </w:pPr>
      <w:rPr>
        <w:rFonts w:hint="default"/>
      </w:rPr>
    </w:lvl>
  </w:abstractNum>
  <w:abstractNum w:abstractNumId="70" w15:restartNumberingAfterBreak="0">
    <w:nsid w:val="38956231"/>
    <w:multiLevelType w:val="multilevel"/>
    <w:tmpl w:val="85DCE8A4"/>
    <w:styleLink w:val="CurrentList22"/>
    <w:lvl w:ilvl="0">
      <w:start w:val="1"/>
      <w:numFmt w:val="decimal"/>
      <w:lvlText w:val="%1"/>
      <w:lvlJc w:val="left"/>
      <w:pPr>
        <w:ind w:left="432" w:hanging="432"/>
      </w:pPr>
      <w:rPr>
        <w:rFonts w:asciiTheme="minorHAnsi" w:hAnsiTheme="minorHAnsi"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1" w15:restartNumberingAfterBreak="0">
    <w:nsid w:val="3AB16083"/>
    <w:multiLevelType w:val="multilevel"/>
    <w:tmpl w:val="81808BCC"/>
    <w:styleLink w:val="CurrentList58"/>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2.%3.%1."/>
      <w:lvlJc w:val="left"/>
      <w:pPr>
        <w:ind w:left="0" w:firstLine="720"/>
      </w:pPr>
      <w:rPr>
        <w:rFonts w:hint="default"/>
      </w:rPr>
    </w:lvl>
    <w:lvl w:ilvl="3">
      <w:start w:val="1"/>
      <w:numFmt w:val="none"/>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3B032481"/>
    <w:multiLevelType w:val="multilevel"/>
    <w:tmpl w:val="B5143D64"/>
    <w:styleLink w:val="CurrentList5"/>
    <w:lvl w:ilvl="0">
      <w:start w:val="1"/>
      <w:numFmt w:val="decimal"/>
      <w:lvlText w:val="%1."/>
      <w:lvlJc w:val="left"/>
      <w:pPr>
        <w:ind w:left="567" w:hanging="567"/>
      </w:pPr>
      <w:rPr>
        <w:rFonts w:hint="default"/>
        <w:color w:val="003399"/>
      </w:rPr>
    </w:lvl>
    <w:lvl w:ilvl="1">
      <w:start w:val="1"/>
      <w:numFmt w:val="decimal"/>
      <w:lvlText w:val="%1.%2."/>
      <w:lvlJc w:val="left"/>
      <w:pPr>
        <w:ind w:left="709" w:hanging="567"/>
      </w:pPr>
      <w:rPr>
        <w:rFonts w:hint="default"/>
        <w:color w:val="003399"/>
      </w:rPr>
    </w:lvl>
    <w:lvl w:ilvl="2">
      <w:start w:val="1"/>
      <w:numFmt w:val="decimal"/>
      <w:lvlText w:val="%1.%2.%3."/>
      <w:lvlJc w:val="left"/>
      <w:pPr>
        <w:ind w:left="992" w:hanging="850"/>
      </w:pPr>
      <w:rPr>
        <w:rFonts w:hint="default"/>
        <w:color w:val="003399"/>
      </w:rPr>
    </w:lvl>
    <w:lvl w:ilvl="3">
      <w:start w:val="1"/>
      <w:numFmt w:val="decimal"/>
      <w:lvlText w:val="%1.%2.%3.%4."/>
      <w:lvlJc w:val="left"/>
      <w:pPr>
        <w:ind w:left="1106" w:hanging="964"/>
      </w:pPr>
      <w:rPr>
        <w:rFonts w:ascii="Aptos Light" w:hAnsi="Aptos Light" w:hint="default"/>
        <w:b w:val="0"/>
        <w:bCs w:val="0"/>
        <w:i w:val="0"/>
        <w:iCs w:val="0"/>
        <w:color w:val="134291" w:themeColor="accent1"/>
      </w:rPr>
    </w:lvl>
    <w:lvl w:ilvl="4">
      <w:start w:val="1"/>
      <w:numFmt w:val="decimal"/>
      <w:lvlText w:val="%1.%2.%3.%4.%5."/>
      <w:lvlJc w:val="left"/>
      <w:pPr>
        <w:ind w:left="1134" w:hanging="1134"/>
      </w:pPr>
      <w:rPr>
        <w:rFonts w:ascii="Arial" w:hAnsi="Arial" w:hint="default"/>
        <w:color w:val="132D4E" w:themeColor="text2"/>
      </w:rPr>
    </w:lvl>
    <w:lvl w:ilvl="5">
      <w:start w:val="1"/>
      <w:numFmt w:val="decimal"/>
      <w:lvlText w:val="%1.%2.%3.%4.%5."/>
      <w:lvlJc w:val="left"/>
      <w:pPr>
        <w:ind w:left="1134" w:hanging="1134"/>
      </w:pPr>
      <w:rPr>
        <w:rFonts w:ascii="Arial" w:hAnsi="Arial" w:hint="default"/>
        <w:color w:val="132D4E" w:themeColor="text2"/>
      </w:rPr>
    </w:lvl>
    <w:lvl w:ilvl="6">
      <w:start w:val="1"/>
      <w:numFmt w:val="decimal"/>
      <w:lvlText w:val="%1.%2.%3.%4.%5."/>
      <w:lvlJc w:val="left"/>
      <w:pPr>
        <w:ind w:left="1134" w:hanging="1134"/>
      </w:pPr>
      <w:rPr>
        <w:rFonts w:ascii="Arial" w:hAnsi="Arial" w:hint="default"/>
        <w:color w:val="132D4E" w:themeColor="text2"/>
      </w:rPr>
    </w:lvl>
    <w:lvl w:ilvl="7">
      <w:start w:val="1"/>
      <w:numFmt w:val="decimal"/>
      <w:lvlText w:val="%1.%2.%3.%4.%5."/>
      <w:lvlJc w:val="left"/>
      <w:pPr>
        <w:ind w:left="1134" w:hanging="1134"/>
      </w:pPr>
      <w:rPr>
        <w:rFonts w:ascii="Arial" w:hAnsi="Arial" w:hint="default"/>
        <w:color w:val="132D4E" w:themeColor="text2"/>
      </w:rPr>
    </w:lvl>
    <w:lvl w:ilvl="8">
      <w:start w:val="1"/>
      <w:numFmt w:val="decimal"/>
      <w:lvlText w:val="%1.%2.%3.%4.%5."/>
      <w:lvlJc w:val="left"/>
      <w:pPr>
        <w:ind w:left="1134" w:hanging="1134"/>
      </w:pPr>
      <w:rPr>
        <w:rFonts w:ascii="Arial" w:hAnsi="Arial" w:hint="default"/>
        <w:color w:val="132D4E" w:themeColor="text2"/>
      </w:rPr>
    </w:lvl>
  </w:abstractNum>
  <w:abstractNum w:abstractNumId="73" w15:restartNumberingAfterBreak="0">
    <w:nsid w:val="3B782A92"/>
    <w:multiLevelType w:val="multilevel"/>
    <w:tmpl w:val="1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4" w15:restartNumberingAfterBreak="0">
    <w:nsid w:val="3BF863A0"/>
    <w:multiLevelType w:val="hybridMultilevel"/>
    <w:tmpl w:val="91423D98"/>
    <w:lvl w:ilvl="0" w:tplc="5AF03244">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5" w15:restartNumberingAfterBreak="0">
    <w:nsid w:val="3CB52AA5"/>
    <w:multiLevelType w:val="hybridMultilevel"/>
    <w:tmpl w:val="797273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6" w15:restartNumberingAfterBreak="0">
    <w:nsid w:val="3D89013A"/>
    <w:multiLevelType w:val="multilevel"/>
    <w:tmpl w:val="5A62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110546A"/>
    <w:multiLevelType w:val="multilevel"/>
    <w:tmpl w:val="23EEC9AE"/>
    <w:styleLink w:val="CurrentList3"/>
    <w:lvl w:ilvl="0">
      <w:start w:val="1"/>
      <w:numFmt w:val="decimal"/>
      <w:lvlText w:val="%1."/>
      <w:lvlJc w:val="left"/>
      <w:pPr>
        <w:ind w:left="567" w:hanging="567"/>
      </w:pPr>
      <w:rPr>
        <w:rFonts w:hint="default"/>
        <w:color w:val="003399"/>
      </w:rPr>
    </w:lvl>
    <w:lvl w:ilvl="1">
      <w:start w:val="1"/>
      <w:numFmt w:val="decimal"/>
      <w:lvlText w:val="%1.%2."/>
      <w:lvlJc w:val="left"/>
      <w:pPr>
        <w:ind w:left="567" w:hanging="567"/>
      </w:pPr>
      <w:rPr>
        <w:rFonts w:hint="default"/>
        <w:color w:val="003399"/>
      </w:rPr>
    </w:lvl>
    <w:lvl w:ilvl="2">
      <w:start w:val="1"/>
      <w:numFmt w:val="decimal"/>
      <w:lvlText w:val="%1.%2.%3."/>
      <w:lvlJc w:val="left"/>
      <w:pPr>
        <w:ind w:left="850" w:hanging="850"/>
      </w:pPr>
      <w:rPr>
        <w:rFonts w:hint="default"/>
        <w:color w:val="003399"/>
      </w:rPr>
    </w:lvl>
    <w:lvl w:ilvl="3">
      <w:start w:val="1"/>
      <w:numFmt w:val="decimal"/>
      <w:lvlText w:val="%1.%2.%3.%4."/>
      <w:lvlJc w:val="left"/>
      <w:pPr>
        <w:ind w:left="964" w:hanging="964"/>
      </w:pPr>
      <w:rPr>
        <w:rFonts w:ascii="Arial" w:hAnsi="Arial" w:hint="default"/>
        <w:color w:val="003399"/>
      </w:rPr>
    </w:lvl>
    <w:lvl w:ilvl="4">
      <w:start w:val="1"/>
      <w:numFmt w:val="decimal"/>
      <w:lvlText w:val="%1.%2.%3.%4.%5."/>
      <w:lvlJc w:val="left"/>
      <w:pPr>
        <w:ind w:left="1134" w:hanging="1134"/>
      </w:pPr>
      <w:rPr>
        <w:rFonts w:ascii="Arial" w:hAnsi="Arial" w:hint="default"/>
        <w:color w:val="132D4E" w:themeColor="text2"/>
      </w:rPr>
    </w:lvl>
    <w:lvl w:ilvl="5">
      <w:start w:val="1"/>
      <w:numFmt w:val="decimal"/>
      <w:lvlText w:val="%1.%2.%3.%4.%5."/>
      <w:lvlJc w:val="left"/>
      <w:pPr>
        <w:ind w:left="1134" w:hanging="1134"/>
      </w:pPr>
      <w:rPr>
        <w:rFonts w:ascii="Arial" w:hAnsi="Arial" w:hint="default"/>
        <w:color w:val="132D4E" w:themeColor="text2"/>
      </w:rPr>
    </w:lvl>
    <w:lvl w:ilvl="6">
      <w:start w:val="1"/>
      <w:numFmt w:val="decimal"/>
      <w:lvlText w:val="%1.%2.%3.%4.%5."/>
      <w:lvlJc w:val="left"/>
      <w:pPr>
        <w:ind w:left="1134" w:hanging="1134"/>
      </w:pPr>
      <w:rPr>
        <w:rFonts w:ascii="Arial" w:hAnsi="Arial" w:hint="default"/>
        <w:color w:val="132D4E" w:themeColor="text2"/>
      </w:rPr>
    </w:lvl>
    <w:lvl w:ilvl="7">
      <w:start w:val="1"/>
      <w:numFmt w:val="decimal"/>
      <w:lvlText w:val="%1.%2.%3.%4.%5."/>
      <w:lvlJc w:val="left"/>
      <w:pPr>
        <w:ind w:left="1134" w:hanging="1134"/>
      </w:pPr>
      <w:rPr>
        <w:rFonts w:ascii="Arial" w:hAnsi="Arial" w:hint="default"/>
        <w:color w:val="132D4E" w:themeColor="text2"/>
      </w:rPr>
    </w:lvl>
    <w:lvl w:ilvl="8">
      <w:start w:val="1"/>
      <w:numFmt w:val="decimal"/>
      <w:lvlText w:val="%1.%2.%3.%4.%5."/>
      <w:lvlJc w:val="left"/>
      <w:pPr>
        <w:ind w:left="1134" w:hanging="1134"/>
      </w:pPr>
      <w:rPr>
        <w:rFonts w:ascii="Arial" w:hAnsi="Arial" w:hint="default"/>
        <w:color w:val="132D4E" w:themeColor="text2"/>
      </w:rPr>
    </w:lvl>
  </w:abstractNum>
  <w:abstractNum w:abstractNumId="78" w15:restartNumberingAfterBreak="0">
    <w:nsid w:val="41286513"/>
    <w:multiLevelType w:val="hybridMultilevel"/>
    <w:tmpl w:val="91D63D9A"/>
    <w:lvl w:ilvl="0" w:tplc="5AF0324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9" w15:restartNumberingAfterBreak="0">
    <w:nsid w:val="41562EED"/>
    <w:multiLevelType w:val="multilevel"/>
    <w:tmpl w:val="09D230E0"/>
    <w:styleLink w:val="CurrentList6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0" w15:restartNumberingAfterBreak="0">
    <w:nsid w:val="41F461EA"/>
    <w:multiLevelType w:val="hybridMultilevel"/>
    <w:tmpl w:val="35EACA8C"/>
    <w:lvl w:ilvl="0" w:tplc="18090005">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1" w15:restartNumberingAfterBreak="0">
    <w:nsid w:val="42101C82"/>
    <w:multiLevelType w:val="multilevel"/>
    <w:tmpl w:val="98D82576"/>
    <w:lvl w:ilvl="0">
      <w:start w:val="1"/>
      <w:numFmt w:val="bullet"/>
      <w:lvlText w:val=""/>
      <w:lvlJc w:val="left"/>
      <w:pPr>
        <w:tabs>
          <w:tab w:val="num" w:pos="6"/>
        </w:tabs>
        <w:ind w:left="6" w:hanging="360"/>
      </w:pPr>
      <w:rPr>
        <w:rFonts w:ascii="Symbol" w:hAnsi="Symbol" w:hint="default"/>
        <w:sz w:val="20"/>
      </w:rPr>
    </w:lvl>
    <w:lvl w:ilvl="1" w:tentative="1">
      <w:start w:val="1"/>
      <w:numFmt w:val="bullet"/>
      <w:lvlText w:val="o"/>
      <w:lvlJc w:val="left"/>
      <w:pPr>
        <w:tabs>
          <w:tab w:val="num" w:pos="726"/>
        </w:tabs>
        <w:ind w:left="726" w:hanging="360"/>
      </w:pPr>
      <w:rPr>
        <w:rFonts w:ascii="Courier New" w:hAnsi="Courier New" w:hint="default"/>
        <w:sz w:val="20"/>
      </w:rPr>
    </w:lvl>
    <w:lvl w:ilvl="2" w:tentative="1">
      <w:start w:val="1"/>
      <w:numFmt w:val="bullet"/>
      <w:lvlText w:val=""/>
      <w:lvlJc w:val="left"/>
      <w:pPr>
        <w:tabs>
          <w:tab w:val="num" w:pos="1446"/>
        </w:tabs>
        <w:ind w:left="1446" w:hanging="360"/>
      </w:pPr>
      <w:rPr>
        <w:rFonts w:ascii="Wingdings" w:hAnsi="Wingdings" w:hint="default"/>
        <w:sz w:val="20"/>
      </w:rPr>
    </w:lvl>
    <w:lvl w:ilvl="3" w:tentative="1">
      <w:start w:val="1"/>
      <w:numFmt w:val="bullet"/>
      <w:lvlText w:val=""/>
      <w:lvlJc w:val="left"/>
      <w:pPr>
        <w:tabs>
          <w:tab w:val="num" w:pos="2166"/>
        </w:tabs>
        <w:ind w:left="2166" w:hanging="360"/>
      </w:pPr>
      <w:rPr>
        <w:rFonts w:ascii="Wingdings" w:hAnsi="Wingdings" w:hint="default"/>
        <w:sz w:val="20"/>
      </w:rPr>
    </w:lvl>
    <w:lvl w:ilvl="4" w:tentative="1">
      <w:start w:val="1"/>
      <w:numFmt w:val="bullet"/>
      <w:lvlText w:val=""/>
      <w:lvlJc w:val="left"/>
      <w:pPr>
        <w:tabs>
          <w:tab w:val="num" w:pos="2886"/>
        </w:tabs>
        <w:ind w:left="2886" w:hanging="360"/>
      </w:pPr>
      <w:rPr>
        <w:rFonts w:ascii="Wingdings" w:hAnsi="Wingdings" w:hint="default"/>
        <w:sz w:val="20"/>
      </w:rPr>
    </w:lvl>
    <w:lvl w:ilvl="5" w:tentative="1">
      <w:start w:val="1"/>
      <w:numFmt w:val="bullet"/>
      <w:lvlText w:val=""/>
      <w:lvlJc w:val="left"/>
      <w:pPr>
        <w:tabs>
          <w:tab w:val="num" w:pos="3606"/>
        </w:tabs>
        <w:ind w:left="3606" w:hanging="360"/>
      </w:pPr>
      <w:rPr>
        <w:rFonts w:ascii="Wingdings" w:hAnsi="Wingdings" w:hint="default"/>
        <w:sz w:val="20"/>
      </w:rPr>
    </w:lvl>
    <w:lvl w:ilvl="6" w:tentative="1">
      <w:start w:val="1"/>
      <w:numFmt w:val="bullet"/>
      <w:lvlText w:val=""/>
      <w:lvlJc w:val="left"/>
      <w:pPr>
        <w:tabs>
          <w:tab w:val="num" w:pos="4326"/>
        </w:tabs>
        <w:ind w:left="4326" w:hanging="360"/>
      </w:pPr>
      <w:rPr>
        <w:rFonts w:ascii="Wingdings" w:hAnsi="Wingdings" w:hint="default"/>
        <w:sz w:val="20"/>
      </w:rPr>
    </w:lvl>
    <w:lvl w:ilvl="7" w:tentative="1">
      <w:start w:val="1"/>
      <w:numFmt w:val="bullet"/>
      <w:lvlText w:val=""/>
      <w:lvlJc w:val="left"/>
      <w:pPr>
        <w:tabs>
          <w:tab w:val="num" w:pos="5046"/>
        </w:tabs>
        <w:ind w:left="5046" w:hanging="360"/>
      </w:pPr>
      <w:rPr>
        <w:rFonts w:ascii="Wingdings" w:hAnsi="Wingdings" w:hint="default"/>
        <w:sz w:val="20"/>
      </w:rPr>
    </w:lvl>
    <w:lvl w:ilvl="8" w:tentative="1">
      <w:start w:val="1"/>
      <w:numFmt w:val="bullet"/>
      <w:lvlText w:val=""/>
      <w:lvlJc w:val="left"/>
      <w:pPr>
        <w:tabs>
          <w:tab w:val="num" w:pos="5766"/>
        </w:tabs>
        <w:ind w:left="5766" w:hanging="360"/>
      </w:pPr>
      <w:rPr>
        <w:rFonts w:ascii="Wingdings" w:hAnsi="Wingdings" w:hint="default"/>
        <w:sz w:val="20"/>
      </w:rPr>
    </w:lvl>
  </w:abstractNum>
  <w:abstractNum w:abstractNumId="82" w15:restartNumberingAfterBreak="0">
    <w:nsid w:val="425D1C9D"/>
    <w:multiLevelType w:val="hybridMultilevel"/>
    <w:tmpl w:val="E8244E3A"/>
    <w:lvl w:ilvl="0" w:tplc="5A0AA150">
      <w:start w:val="1"/>
      <w:numFmt w:val="bullet"/>
      <w:lvlText w:val=""/>
      <w:lvlJc w:val="left"/>
      <w:pPr>
        <w:ind w:left="1080" w:hanging="360"/>
      </w:pPr>
      <w:rPr>
        <w:rFonts w:ascii="Symbol" w:hAnsi="Symbol"/>
      </w:rPr>
    </w:lvl>
    <w:lvl w:ilvl="1" w:tplc="11322BA6">
      <w:start w:val="1"/>
      <w:numFmt w:val="bullet"/>
      <w:lvlText w:val=""/>
      <w:lvlJc w:val="left"/>
      <w:pPr>
        <w:ind w:left="1080" w:hanging="360"/>
      </w:pPr>
      <w:rPr>
        <w:rFonts w:ascii="Symbol" w:hAnsi="Symbol"/>
      </w:rPr>
    </w:lvl>
    <w:lvl w:ilvl="2" w:tplc="CE8A3E42">
      <w:start w:val="1"/>
      <w:numFmt w:val="bullet"/>
      <w:lvlText w:val=""/>
      <w:lvlJc w:val="left"/>
      <w:pPr>
        <w:ind w:left="1080" w:hanging="360"/>
      </w:pPr>
      <w:rPr>
        <w:rFonts w:ascii="Symbol" w:hAnsi="Symbol"/>
      </w:rPr>
    </w:lvl>
    <w:lvl w:ilvl="3" w:tplc="F5AECE0C">
      <w:start w:val="1"/>
      <w:numFmt w:val="bullet"/>
      <w:lvlText w:val=""/>
      <w:lvlJc w:val="left"/>
      <w:pPr>
        <w:ind w:left="1080" w:hanging="360"/>
      </w:pPr>
      <w:rPr>
        <w:rFonts w:ascii="Symbol" w:hAnsi="Symbol"/>
      </w:rPr>
    </w:lvl>
    <w:lvl w:ilvl="4" w:tplc="587A9330">
      <w:start w:val="1"/>
      <w:numFmt w:val="bullet"/>
      <w:lvlText w:val=""/>
      <w:lvlJc w:val="left"/>
      <w:pPr>
        <w:ind w:left="1080" w:hanging="360"/>
      </w:pPr>
      <w:rPr>
        <w:rFonts w:ascii="Symbol" w:hAnsi="Symbol"/>
      </w:rPr>
    </w:lvl>
    <w:lvl w:ilvl="5" w:tplc="32C4DB90">
      <w:start w:val="1"/>
      <w:numFmt w:val="bullet"/>
      <w:lvlText w:val=""/>
      <w:lvlJc w:val="left"/>
      <w:pPr>
        <w:ind w:left="1080" w:hanging="360"/>
      </w:pPr>
      <w:rPr>
        <w:rFonts w:ascii="Symbol" w:hAnsi="Symbol"/>
      </w:rPr>
    </w:lvl>
    <w:lvl w:ilvl="6" w:tplc="C75C9E1A">
      <w:start w:val="1"/>
      <w:numFmt w:val="bullet"/>
      <w:lvlText w:val=""/>
      <w:lvlJc w:val="left"/>
      <w:pPr>
        <w:ind w:left="1080" w:hanging="360"/>
      </w:pPr>
      <w:rPr>
        <w:rFonts w:ascii="Symbol" w:hAnsi="Symbol"/>
      </w:rPr>
    </w:lvl>
    <w:lvl w:ilvl="7" w:tplc="BEFC4EE2">
      <w:start w:val="1"/>
      <w:numFmt w:val="bullet"/>
      <w:lvlText w:val=""/>
      <w:lvlJc w:val="left"/>
      <w:pPr>
        <w:ind w:left="1080" w:hanging="360"/>
      </w:pPr>
      <w:rPr>
        <w:rFonts w:ascii="Symbol" w:hAnsi="Symbol"/>
      </w:rPr>
    </w:lvl>
    <w:lvl w:ilvl="8" w:tplc="A210EDB6">
      <w:start w:val="1"/>
      <w:numFmt w:val="bullet"/>
      <w:lvlText w:val=""/>
      <w:lvlJc w:val="left"/>
      <w:pPr>
        <w:ind w:left="1080" w:hanging="360"/>
      </w:pPr>
      <w:rPr>
        <w:rFonts w:ascii="Symbol" w:hAnsi="Symbol"/>
      </w:rPr>
    </w:lvl>
  </w:abstractNum>
  <w:abstractNum w:abstractNumId="83" w15:restartNumberingAfterBreak="0">
    <w:nsid w:val="42A02BD6"/>
    <w:multiLevelType w:val="multilevel"/>
    <w:tmpl w:val="FEBAC0E2"/>
    <w:styleLink w:val="CurrentList34"/>
    <w:lvl w:ilvl="0">
      <w:start w:val="1"/>
      <w:numFmt w:val="decimal"/>
      <w:lvlText w:val="%1"/>
      <w:lvlJc w:val="left"/>
      <w:pPr>
        <w:ind w:left="432" w:hanging="432"/>
      </w:pPr>
      <w:rPr>
        <w:rFonts w:asciiTheme="minorHAnsi" w:hAnsiTheme="minorHAnsi"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4" w15:restartNumberingAfterBreak="0">
    <w:nsid w:val="439D1F13"/>
    <w:multiLevelType w:val="hybridMultilevel"/>
    <w:tmpl w:val="92BCB790"/>
    <w:lvl w:ilvl="0" w:tplc="5AF0324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5" w15:restartNumberingAfterBreak="0">
    <w:nsid w:val="4619740F"/>
    <w:multiLevelType w:val="hybridMultilevel"/>
    <w:tmpl w:val="4C886D8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6" w15:restartNumberingAfterBreak="0">
    <w:nsid w:val="4689492D"/>
    <w:multiLevelType w:val="multilevel"/>
    <w:tmpl w:val="81808BCC"/>
    <w:styleLink w:val="CurrentList56"/>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2.%3.%1."/>
      <w:lvlJc w:val="left"/>
      <w:pPr>
        <w:ind w:left="0" w:firstLine="720"/>
      </w:pPr>
      <w:rPr>
        <w:rFonts w:hint="default"/>
      </w:rPr>
    </w:lvl>
    <w:lvl w:ilvl="3">
      <w:start w:val="1"/>
      <w:numFmt w:val="none"/>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468C371B"/>
    <w:multiLevelType w:val="multilevel"/>
    <w:tmpl w:val="7EE6AE1A"/>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88" w15:restartNumberingAfterBreak="0">
    <w:nsid w:val="46CC3DC1"/>
    <w:multiLevelType w:val="multilevel"/>
    <w:tmpl w:val="9162F10E"/>
    <w:styleLink w:val="CurrentList33"/>
    <w:lvl w:ilvl="0">
      <w:start w:val="1"/>
      <w:numFmt w:val="decimal"/>
      <w:lvlText w:val="%1"/>
      <w:lvlJc w:val="left"/>
      <w:pPr>
        <w:ind w:left="716" w:hanging="432"/>
      </w:pPr>
      <w:rPr>
        <w:rFonts w:asciiTheme="minorHAnsi" w:hAnsiTheme="minorHAnsi" w:hint="default"/>
        <w:b w:val="0"/>
        <w:i w:val="0"/>
        <w:color w:val="auto"/>
        <w:sz w:val="20"/>
      </w:rPr>
    </w:lvl>
    <w:lvl w:ilvl="1">
      <w:start w:val="1"/>
      <w:numFmt w:val="decimal"/>
      <w:lvlText w:val="%1.%2"/>
      <w:lvlJc w:val="left"/>
      <w:pPr>
        <w:ind w:left="860" w:hanging="576"/>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8" w:hanging="864"/>
      </w:pPr>
      <w:rPr>
        <w:rFonts w:hint="default"/>
      </w:rPr>
    </w:lvl>
    <w:lvl w:ilvl="4">
      <w:start w:val="1"/>
      <w:numFmt w:val="decimal"/>
      <w:lvlText w:val="%1.%2.%3.%4.%5"/>
      <w:lvlJc w:val="left"/>
      <w:pPr>
        <w:ind w:left="1292" w:hanging="1008"/>
      </w:pPr>
      <w:rPr>
        <w:rFonts w:hint="default"/>
      </w:rPr>
    </w:lvl>
    <w:lvl w:ilvl="5">
      <w:start w:val="1"/>
      <w:numFmt w:val="decimal"/>
      <w:lvlText w:val="%1.%2.%3.%4.%5.%6"/>
      <w:lvlJc w:val="left"/>
      <w:pPr>
        <w:ind w:left="1436" w:hanging="1152"/>
      </w:pPr>
      <w:rPr>
        <w:rFonts w:hint="default"/>
      </w:rPr>
    </w:lvl>
    <w:lvl w:ilvl="6">
      <w:start w:val="1"/>
      <w:numFmt w:val="decimal"/>
      <w:lvlText w:val="%1.%2.%3.%4.%5.%6.%7"/>
      <w:lvlJc w:val="left"/>
      <w:pPr>
        <w:ind w:left="1580" w:hanging="1296"/>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1868" w:hanging="1584"/>
      </w:pPr>
      <w:rPr>
        <w:rFonts w:hint="default"/>
      </w:rPr>
    </w:lvl>
  </w:abstractNum>
  <w:abstractNum w:abstractNumId="89" w15:restartNumberingAfterBreak="0">
    <w:nsid w:val="492E2910"/>
    <w:multiLevelType w:val="multilevel"/>
    <w:tmpl w:val="658C0C44"/>
    <w:styleLink w:val="CurrentList39"/>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4C410CC3"/>
    <w:multiLevelType w:val="multilevel"/>
    <w:tmpl w:val="5FE66B80"/>
    <w:styleLink w:val="CurrentList32"/>
    <w:lvl w:ilvl="0">
      <w:start w:val="1"/>
      <w:numFmt w:val="decimal"/>
      <w:lvlText w:val="%1"/>
      <w:lvlJc w:val="left"/>
      <w:pPr>
        <w:ind w:left="716" w:hanging="432"/>
      </w:pPr>
      <w:rPr>
        <w:rFonts w:asciiTheme="minorHAnsi" w:hAnsiTheme="minorHAnsi" w:hint="default"/>
        <w:b w:val="0"/>
        <w:i w:val="0"/>
        <w:color w:val="auto"/>
        <w:sz w:val="20"/>
      </w:rPr>
    </w:lvl>
    <w:lvl w:ilvl="1">
      <w:start w:val="1"/>
      <w:numFmt w:val="decimal"/>
      <w:lvlText w:val="%1.%2"/>
      <w:lvlJc w:val="left"/>
      <w:pPr>
        <w:ind w:left="860" w:hanging="576"/>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8" w:hanging="864"/>
      </w:pPr>
      <w:rPr>
        <w:rFonts w:hint="default"/>
      </w:rPr>
    </w:lvl>
    <w:lvl w:ilvl="4">
      <w:start w:val="1"/>
      <w:numFmt w:val="decimal"/>
      <w:lvlText w:val="%1.%2.%3.%4.%5"/>
      <w:lvlJc w:val="left"/>
      <w:pPr>
        <w:ind w:left="1292" w:hanging="1008"/>
      </w:pPr>
      <w:rPr>
        <w:rFonts w:hint="default"/>
      </w:rPr>
    </w:lvl>
    <w:lvl w:ilvl="5">
      <w:start w:val="1"/>
      <w:numFmt w:val="decimal"/>
      <w:lvlText w:val="%1.%2.%3.%4.%5.%6"/>
      <w:lvlJc w:val="left"/>
      <w:pPr>
        <w:ind w:left="1436" w:hanging="1152"/>
      </w:pPr>
      <w:rPr>
        <w:rFonts w:hint="default"/>
      </w:rPr>
    </w:lvl>
    <w:lvl w:ilvl="6">
      <w:start w:val="1"/>
      <w:numFmt w:val="decimal"/>
      <w:lvlText w:val="%1.%2.%3.%4.%5.%6.%7"/>
      <w:lvlJc w:val="left"/>
      <w:pPr>
        <w:ind w:left="1580" w:hanging="1296"/>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1868" w:hanging="1584"/>
      </w:pPr>
      <w:rPr>
        <w:rFonts w:hint="default"/>
      </w:rPr>
    </w:lvl>
  </w:abstractNum>
  <w:abstractNum w:abstractNumId="91" w15:restartNumberingAfterBreak="0">
    <w:nsid w:val="4C7A3790"/>
    <w:multiLevelType w:val="multilevel"/>
    <w:tmpl w:val="EB86256A"/>
    <w:styleLink w:val="CurrentList21"/>
    <w:lvl w:ilvl="0">
      <w:start w:val="1"/>
      <w:numFmt w:val="decimal"/>
      <w:lvlText w:val="%1"/>
      <w:lvlJc w:val="left"/>
      <w:pPr>
        <w:ind w:left="715" w:hanging="432"/>
      </w:pPr>
      <w:rPr>
        <w:rFonts w:asciiTheme="minorHAnsi" w:hAnsiTheme="minorHAnsi" w:hint="default"/>
        <w:b w:val="0"/>
        <w:i w:val="0"/>
        <w:color w:val="auto"/>
        <w:sz w:val="20"/>
      </w:rPr>
    </w:lvl>
    <w:lvl w:ilvl="1">
      <w:start w:val="1"/>
      <w:numFmt w:val="decimal"/>
      <w:lvlText w:val="%1.%2"/>
      <w:lvlJc w:val="left"/>
      <w:pPr>
        <w:ind w:left="859" w:hanging="576"/>
      </w:pPr>
      <w:rPr>
        <w:rFonts w:hint="default"/>
      </w:rPr>
    </w:lvl>
    <w:lvl w:ilvl="2">
      <w:start w:val="1"/>
      <w:numFmt w:val="decimal"/>
      <w:lvlText w:val="%1.%2.%3"/>
      <w:lvlJc w:val="left"/>
      <w:pPr>
        <w:ind w:left="1003" w:hanging="720"/>
      </w:pPr>
      <w:rPr>
        <w:rFonts w:hint="default"/>
      </w:rPr>
    </w:lvl>
    <w:lvl w:ilvl="3">
      <w:start w:val="1"/>
      <w:numFmt w:val="decimal"/>
      <w:lvlText w:val="%1.%2.%3.%4"/>
      <w:lvlJc w:val="left"/>
      <w:pPr>
        <w:ind w:left="1147" w:hanging="864"/>
      </w:pPr>
      <w:rPr>
        <w:rFonts w:hint="default"/>
      </w:rPr>
    </w:lvl>
    <w:lvl w:ilvl="4">
      <w:start w:val="1"/>
      <w:numFmt w:val="decimal"/>
      <w:lvlText w:val="%1.%2.%3.%4.%5"/>
      <w:lvlJc w:val="left"/>
      <w:pPr>
        <w:ind w:left="1291" w:hanging="1008"/>
      </w:pPr>
      <w:rPr>
        <w:rFonts w:hint="default"/>
      </w:rPr>
    </w:lvl>
    <w:lvl w:ilvl="5">
      <w:start w:val="1"/>
      <w:numFmt w:val="decimal"/>
      <w:lvlText w:val="%1.%2.%3.%4.%5.%6"/>
      <w:lvlJc w:val="left"/>
      <w:pPr>
        <w:ind w:left="1435" w:hanging="1152"/>
      </w:pPr>
      <w:rPr>
        <w:rFonts w:hint="default"/>
      </w:rPr>
    </w:lvl>
    <w:lvl w:ilvl="6">
      <w:start w:val="1"/>
      <w:numFmt w:val="decimal"/>
      <w:lvlText w:val="%1.%2.%3.%4.%5.%6.%7"/>
      <w:lvlJc w:val="left"/>
      <w:pPr>
        <w:ind w:left="1579" w:hanging="1296"/>
      </w:pPr>
      <w:rPr>
        <w:rFonts w:hint="default"/>
      </w:rPr>
    </w:lvl>
    <w:lvl w:ilvl="7">
      <w:start w:val="1"/>
      <w:numFmt w:val="decimal"/>
      <w:lvlText w:val="%1.%2.%3.%4.%5.%6.%7.%8"/>
      <w:lvlJc w:val="left"/>
      <w:pPr>
        <w:ind w:left="1723" w:hanging="1440"/>
      </w:pPr>
      <w:rPr>
        <w:rFonts w:hint="default"/>
      </w:rPr>
    </w:lvl>
    <w:lvl w:ilvl="8">
      <w:start w:val="1"/>
      <w:numFmt w:val="decimal"/>
      <w:lvlText w:val="%1.%2.%3.%4.%5.%6.%7.%8.%9"/>
      <w:lvlJc w:val="left"/>
      <w:pPr>
        <w:ind w:left="1867" w:hanging="1584"/>
      </w:pPr>
      <w:rPr>
        <w:rFonts w:hint="default"/>
      </w:rPr>
    </w:lvl>
  </w:abstractNum>
  <w:abstractNum w:abstractNumId="92" w15:restartNumberingAfterBreak="0">
    <w:nsid w:val="4D853197"/>
    <w:multiLevelType w:val="hybridMultilevel"/>
    <w:tmpl w:val="5D5AC710"/>
    <w:lvl w:ilvl="0" w:tplc="353CC09E">
      <w:start w:val="1"/>
      <w:numFmt w:val="bullet"/>
      <w:lvlText w:val=""/>
      <w:lvlJc w:val="left"/>
      <w:pPr>
        <w:ind w:left="1080" w:hanging="360"/>
      </w:pPr>
      <w:rPr>
        <w:rFonts w:ascii="Symbol" w:hAnsi="Symbol"/>
      </w:rPr>
    </w:lvl>
    <w:lvl w:ilvl="1" w:tplc="07BAAB26">
      <w:start w:val="1"/>
      <w:numFmt w:val="bullet"/>
      <w:lvlText w:val=""/>
      <w:lvlJc w:val="left"/>
      <w:pPr>
        <w:ind w:left="1080" w:hanging="360"/>
      </w:pPr>
      <w:rPr>
        <w:rFonts w:ascii="Symbol" w:hAnsi="Symbol"/>
      </w:rPr>
    </w:lvl>
    <w:lvl w:ilvl="2" w:tplc="46D48EB8">
      <w:start w:val="1"/>
      <w:numFmt w:val="bullet"/>
      <w:lvlText w:val=""/>
      <w:lvlJc w:val="left"/>
      <w:pPr>
        <w:ind w:left="1080" w:hanging="360"/>
      </w:pPr>
      <w:rPr>
        <w:rFonts w:ascii="Symbol" w:hAnsi="Symbol"/>
      </w:rPr>
    </w:lvl>
    <w:lvl w:ilvl="3" w:tplc="92984956">
      <w:start w:val="1"/>
      <w:numFmt w:val="bullet"/>
      <w:lvlText w:val=""/>
      <w:lvlJc w:val="left"/>
      <w:pPr>
        <w:ind w:left="1080" w:hanging="360"/>
      </w:pPr>
      <w:rPr>
        <w:rFonts w:ascii="Symbol" w:hAnsi="Symbol"/>
      </w:rPr>
    </w:lvl>
    <w:lvl w:ilvl="4" w:tplc="B71AD1A6">
      <w:start w:val="1"/>
      <w:numFmt w:val="bullet"/>
      <w:lvlText w:val=""/>
      <w:lvlJc w:val="left"/>
      <w:pPr>
        <w:ind w:left="1080" w:hanging="360"/>
      </w:pPr>
      <w:rPr>
        <w:rFonts w:ascii="Symbol" w:hAnsi="Symbol"/>
      </w:rPr>
    </w:lvl>
    <w:lvl w:ilvl="5" w:tplc="581C9444">
      <w:start w:val="1"/>
      <w:numFmt w:val="bullet"/>
      <w:lvlText w:val=""/>
      <w:lvlJc w:val="left"/>
      <w:pPr>
        <w:ind w:left="1080" w:hanging="360"/>
      </w:pPr>
      <w:rPr>
        <w:rFonts w:ascii="Symbol" w:hAnsi="Symbol"/>
      </w:rPr>
    </w:lvl>
    <w:lvl w:ilvl="6" w:tplc="9A30CB54">
      <w:start w:val="1"/>
      <w:numFmt w:val="bullet"/>
      <w:lvlText w:val=""/>
      <w:lvlJc w:val="left"/>
      <w:pPr>
        <w:ind w:left="1080" w:hanging="360"/>
      </w:pPr>
      <w:rPr>
        <w:rFonts w:ascii="Symbol" w:hAnsi="Symbol"/>
      </w:rPr>
    </w:lvl>
    <w:lvl w:ilvl="7" w:tplc="01987DC4">
      <w:start w:val="1"/>
      <w:numFmt w:val="bullet"/>
      <w:lvlText w:val=""/>
      <w:lvlJc w:val="left"/>
      <w:pPr>
        <w:ind w:left="1080" w:hanging="360"/>
      </w:pPr>
      <w:rPr>
        <w:rFonts w:ascii="Symbol" w:hAnsi="Symbol"/>
      </w:rPr>
    </w:lvl>
    <w:lvl w:ilvl="8" w:tplc="62D03FA4">
      <w:start w:val="1"/>
      <w:numFmt w:val="bullet"/>
      <w:lvlText w:val=""/>
      <w:lvlJc w:val="left"/>
      <w:pPr>
        <w:ind w:left="1080" w:hanging="360"/>
      </w:pPr>
      <w:rPr>
        <w:rFonts w:ascii="Symbol" w:hAnsi="Symbol"/>
      </w:rPr>
    </w:lvl>
  </w:abstractNum>
  <w:abstractNum w:abstractNumId="93" w15:restartNumberingAfterBreak="0">
    <w:nsid w:val="4DDC3B47"/>
    <w:multiLevelType w:val="multilevel"/>
    <w:tmpl w:val="361E8488"/>
    <w:styleLink w:val="CurrentList19"/>
    <w:lvl w:ilvl="0">
      <w:start w:val="1"/>
      <w:numFmt w:val="decimal"/>
      <w:lvlText w:val="%1"/>
      <w:lvlJc w:val="left"/>
      <w:pPr>
        <w:ind w:left="432" w:hanging="432"/>
      </w:pPr>
      <w:rPr>
        <w:rFonts w:asciiTheme="minorHAnsi" w:hAnsiTheme="minorHAnsi"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4" w15:restartNumberingAfterBreak="0">
    <w:nsid w:val="4F0B11DF"/>
    <w:multiLevelType w:val="hybridMultilevel"/>
    <w:tmpl w:val="8A58B416"/>
    <w:lvl w:ilvl="0" w:tplc="14F66A36">
      <w:numFmt w:val="bullet"/>
      <w:lvlText w:val="-"/>
      <w:lvlJc w:val="left"/>
      <w:pPr>
        <w:ind w:left="360" w:hanging="360"/>
      </w:pPr>
      <w:rPr>
        <w:rFonts w:ascii="Verdana" w:eastAsia="Times New Roman" w:hAnsi="Verdana"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5" w15:restartNumberingAfterBreak="0">
    <w:nsid w:val="50FC2A2E"/>
    <w:multiLevelType w:val="multilevel"/>
    <w:tmpl w:val="5DF055EE"/>
    <w:styleLink w:val="CurrentList49"/>
    <w:lvl w:ilvl="0">
      <w:start w:val="1"/>
      <w:numFmt w:val="decimal"/>
      <w:lvlText w:val="Figure %1."/>
      <w:lvlJc w:val="left"/>
      <w:pPr>
        <w:ind w:left="0" w:firstLine="0"/>
      </w:pPr>
      <w:rPr>
        <w:rFonts w:hint="default"/>
        <w:color w:val="auto"/>
        <w:u w:color="039D89" w:themeColor="accent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512946FA"/>
    <w:multiLevelType w:val="hybridMultilevel"/>
    <w:tmpl w:val="76DEA7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7" w15:restartNumberingAfterBreak="0">
    <w:nsid w:val="51DD553E"/>
    <w:multiLevelType w:val="multilevel"/>
    <w:tmpl w:val="5568DE2A"/>
    <w:styleLink w:val="CurrentList63"/>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8" w15:restartNumberingAfterBreak="0">
    <w:nsid w:val="547F44FF"/>
    <w:multiLevelType w:val="multilevel"/>
    <w:tmpl w:val="61649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49E6D5A"/>
    <w:multiLevelType w:val="multilevel"/>
    <w:tmpl w:val="9266B764"/>
    <w:styleLink w:val="CurrentList15"/>
    <w:lvl w:ilvl="0">
      <w:start w:val="1"/>
      <w:numFmt w:val="decimal"/>
      <w:lvlText w:val="%1."/>
      <w:lvlJc w:val="left"/>
      <w:pPr>
        <w:ind w:left="425" w:hanging="567"/>
      </w:pPr>
      <w:rPr>
        <w:rFonts w:hint="default"/>
        <w:color w:val="003399"/>
      </w:rPr>
    </w:lvl>
    <w:lvl w:ilvl="1">
      <w:start w:val="1"/>
      <w:numFmt w:val="decimal"/>
      <w:lvlText w:val="%1.%2."/>
      <w:lvlJc w:val="left"/>
      <w:pPr>
        <w:ind w:left="567" w:hanging="567"/>
      </w:pPr>
      <w:rPr>
        <w:rFonts w:hint="default"/>
        <w:color w:val="003399"/>
      </w:rPr>
    </w:lvl>
    <w:lvl w:ilvl="2">
      <w:start w:val="1"/>
      <w:numFmt w:val="decimal"/>
      <w:lvlText w:val="%1.%2.%3."/>
      <w:lvlJc w:val="left"/>
      <w:pPr>
        <w:ind w:left="850" w:hanging="850"/>
      </w:pPr>
      <w:rPr>
        <w:rFonts w:hint="default"/>
        <w:color w:val="003399"/>
      </w:rPr>
    </w:lvl>
    <w:lvl w:ilvl="3">
      <w:start w:val="1"/>
      <w:numFmt w:val="decimal"/>
      <w:lvlText w:val="%1.%2.%3.%4."/>
      <w:lvlJc w:val="left"/>
      <w:pPr>
        <w:ind w:left="964" w:hanging="964"/>
      </w:pPr>
      <w:rPr>
        <w:rFonts w:ascii="Aptos Light" w:hAnsi="Aptos Light" w:hint="default"/>
        <w:b w:val="0"/>
        <w:bCs w:val="0"/>
        <w:i w:val="0"/>
        <w:iCs w:val="0"/>
        <w:color w:val="134291" w:themeColor="accent1"/>
      </w:rPr>
    </w:lvl>
    <w:lvl w:ilvl="4">
      <w:start w:val="1"/>
      <w:numFmt w:val="decimal"/>
      <w:lvlText w:val="%1.%2.%3.%4.%5."/>
      <w:lvlJc w:val="left"/>
      <w:pPr>
        <w:ind w:left="992" w:hanging="1134"/>
      </w:pPr>
      <w:rPr>
        <w:rFonts w:ascii="Arial" w:hAnsi="Arial" w:hint="default"/>
        <w:color w:val="132D4E" w:themeColor="text2"/>
      </w:rPr>
    </w:lvl>
    <w:lvl w:ilvl="5">
      <w:start w:val="1"/>
      <w:numFmt w:val="decimal"/>
      <w:lvlText w:val="%1.%2.%3.%4.%5."/>
      <w:lvlJc w:val="left"/>
      <w:pPr>
        <w:ind w:left="992" w:hanging="1134"/>
      </w:pPr>
      <w:rPr>
        <w:rFonts w:ascii="Arial" w:hAnsi="Arial" w:hint="default"/>
        <w:color w:val="132D4E" w:themeColor="text2"/>
      </w:rPr>
    </w:lvl>
    <w:lvl w:ilvl="6">
      <w:start w:val="1"/>
      <w:numFmt w:val="decimal"/>
      <w:lvlText w:val="%1.%2.%3.%4.%5."/>
      <w:lvlJc w:val="left"/>
      <w:pPr>
        <w:ind w:left="992" w:hanging="1134"/>
      </w:pPr>
      <w:rPr>
        <w:rFonts w:ascii="Arial" w:hAnsi="Arial" w:hint="default"/>
        <w:color w:val="132D4E" w:themeColor="text2"/>
      </w:rPr>
    </w:lvl>
    <w:lvl w:ilvl="7">
      <w:start w:val="1"/>
      <w:numFmt w:val="decimal"/>
      <w:lvlText w:val="%1.%2.%3.%4.%5."/>
      <w:lvlJc w:val="left"/>
      <w:pPr>
        <w:ind w:left="992" w:hanging="1134"/>
      </w:pPr>
      <w:rPr>
        <w:rFonts w:ascii="Arial" w:hAnsi="Arial" w:hint="default"/>
        <w:color w:val="132D4E" w:themeColor="text2"/>
      </w:rPr>
    </w:lvl>
    <w:lvl w:ilvl="8">
      <w:start w:val="1"/>
      <w:numFmt w:val="decimal"/>
      <w:lvlText w:val="%1.%2.%3.%4.%5."/>
      <w:lvlJc w:val="left"/>
      <w:pPr>
        <w:ind w:left="992" w:hanging="1134"/>
      </w:pPr>
      <w:rPr>
        <w:rFonts w:ascii="Arial" w:hAnsi="Arial" w:hint="default"/>
        <w:color w:val="132D4E" w:themeColor="text2"/>
      </w:rPr>
    </w:lvl>
  </w:abstractNum>
  <w:abstractNum w:abstractNumId="100" w15:restartNumberingAfterBreak="0">
    <w:nsid w:val="54F86C46"/>
    <w:multiLevelType w:val="multilevel"/>
    <w:tmpl w:val="3050F932"/>
    <w:styleLink w:val="CurrentList4"/>
    <w:lvl w:ilvl="0">
      <w:start w:val="1"/>
      <w:numFmt w:val="decimal"/>
      <w:lvlText w:val="%1."/>
      <w:lvlJc w:val="left"/>
      <w:pPr>
        <w:ind w:left="1494" w:hanging="360"/>
      </w:pPr>
      <w:rPr>
        <w:rFonts w:hint="default"/>
      </w:rPr>
    </w:lvl>
    <w:lvl w:ilvl="1">
      <w:start w:val="1"/>
      <w:numFmt w:val="decimal"/>
      <w:lvlText w:val="%1.%2."/>
      <w:lvlJc w:val="left"/>
      <w:pPr>
        <w:ind w:left="1926" w:hanging="432"/>
      </w:pPr>
      <w:rPr>
        <w:rFonts w:hint="default"/>
      </w:rPr>
    </w:lvl>
    <w:lvl w:ilvl="2">
      <w:start w:val="1"/>
      <w:numFmt w:val="decimal"/>
      <w:lvlText w:val="%1.%2.%3."/>
      <w:lvlJc w:val="left"/>
      <w:pPr>
        <w:ind w:left="2358" w:hanging="504"/>
      </w:pPr>
      <w:rPr>
        <w:rFonts w:hint="default"/>
      </w:rPr>
    </w:lvl>
    <w:lvl w:ilvl="3">
      <w:start w:val="1"/>
      <w:numFmt w:val="decimal"/>
      <w:lvlText w:val="%1.%2.%3.%4."/>
      <w:lvlJc w:val="left"/>
      <w:pPr>
        <w:ind w:left="2862" w:hanging="648"/>
      </w:pPr>
      <w:rPr>
        <w:rFonts w:hint="default"/>
      </w:rPr>
    </w:lvl>
    <w:lvl w:ilvl="4">
      <w:start w:val="1"/>
      <w:numFmt w:val="decimal"/>
      <w:lvlText w:val="%1.%2.%3.%4.%5."/>
      <w:lvlJc w:val="left"/>
      <w:pPr>
        <w:ind w:left="3366" w:hanging="792"/>
      </w:pPr>
      <w:rPr>
        <w:rFonts w:hint="default"/>
      </w:rPr>
    </w:lvl>
    <w:lvl w:ilvl="5">
      <w:start w:val="1"/>
      <w:numFmt w:val="decimal"/>
      <w:lvlText w:val="%1.%2.%3.%4.%5.%6."/>
      <w:lvlJc w:val="left"/>
      <w:pPr>
        <w:ind w:left="3870" w:hanging="936"/>
      </w:pPr>
      <w:rPr>
        <w:rFonts w:hint="default"/>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101" w15:restartNumberingAfterBreak="0">
    <w:nsid w:val="56A360C3"/>
    <w:multiLevelType w:val="hybridMultilevel"/>
    <w:tmpl w:val="E648FEB6"/>
    <w:lvl w:ilvl="0" w:tplc="103C3DEA">
      <w:start w:val="1"/>
      <w:numFmt w:val="bullet"/>
      <w:lvlText w:val=""/>
      <w:lvlJc w:val="left"/>
      <w:pPr>
        <w:ind w:left="720" w:hanging="360"/>
      </w:pPr>
      <w:rPr>
        <w:rFonts w:ascii="Symbol" w:hAnsi="Symbol"/>
      </w:rPr>
    </w:lvl>
    <w:lvl w:ilvl="1" w:tplc="97E82048">
      <w:start w:val="1"/>
      <w:numFmt w:val="bullet"/>
      <w:lvlText w:val=""/>
      <w:lvlJc w:val="left"/>
      <w:pPr>
        <w:ind w:left="720" w:hanging="360"/>
      </w:pPr>
      <w:rPr>
        <w:rFonts w:ascii="Symbol" w:hAnsi="Symbol"/>
      </w:rPr>
    </w:lvl>
    <w:lvl w:ilvl="2" w:tplc="E0245F92">
      <w:start w:val="1"/>
      <w:numFmt w:val="bullet"/>
      <w:lvlText w:val=""/>
      <w:lvlJc w:val="left"/>
      <w:pPr>
        <w:ind w:left="720" w:hanging="360"/>
      </w:pPr>
      <w:rPr>
        <w:rFonts w:ascii="Symbol" w:hAnsi="Symbol"/>
      </w:rPr>
    </w:lvl>
    <w:lvl w:ilvl="3" w:tplc="D4E2783C">
      <w:start w:val="1"/>
      <w:numFmt w:val="bullet"/>
      <w:lvlText w:val=""/>
      <w:lvlJc w:val="left"/>
      <w:pPr>
        <w:ind w:left="720" w:hanging="360"/>
      </w:pPr>
      <w:rPr>
        <w:rFonts w:ascii="Symbol" w:hAnsi="Symbol"/>
      </w:rPr>
    </w:lvl>
    <w:lvl w:ilvl="4" w:tplc="277AE270">
      <w:start w:val="1"/>
      <w:numFmt w:val="bullet"/>
      <w:lvlText w:val=""/>
      <w:lvlJc w:val="left"/>
      <w:pPr>
        <w:ind w:left="720" w:hanging="360"/>
      </w:pPr>
      <w:rPr>
        <w:rFonts w:ascii="Symbol" w:hAnsi="Symbol"/>
      </w:rPr>
    </w:lvl>
    <w:lvl w:ilvl="5" w:tplc="89085FCC">
      <w:start w:val="1"/>
      <w:numFmt w:val="bullet"/>
      <w:lvlText w:val=""/>
      <w:lvlJc w:val="left"/>
      <w:pPr>
        <w:ind w:left="720" w:hanging="360"/>
      </w:pPr>
      <w:rPr>
        <w:rFonts w:ascii="Symbol" w:hAnsi="Symbol"/>
      </w:rPr>
    </w:lvl>
    <w:lvl w:ilvl="6" w:tplc="A1001FA4">
      <w:start w:val="1"/>
      <w:numFmt w:val="bullet"/>
      <w:lvlText w:val=""/>
      <w:lvlJc w:val="left"/>
      <w:pPr>
        <w:ind w:left="720" w:hanging="360"/>
      </w:pPr>
      <w:rPr>
        <w:rFonts w:ascii="Symbol" w:hAnsi="Symbol"/>
      </w:rPr>
    </w:lvl>
    <w:lvl w:ilvl="7" w:tplc="178CA7FE">
      <w:start w:val="1"/>
      <w:numFmt w:val="bullet"/>
      <w:lvlText w:val=""/>
      <w:lvlJc w:val="left"/>
      <w:pPr>
        <w:ind w:left="720" w:hanging="360"/>
      </w:pPr>
      <w:rPr>
        <w:rFonts w:ascii="Symbol" w:hAnsi="Symbol"/>
      </w:rPr>
    </w:lvl>
    <w:lvl w:ilvl="8" w:tplc="3DEABE58">
      <w:start w:val="1"/>
      <w:numFmt w:val="bullet"/>
      <w:lvlText w:val=""/>
      <w:lvlJc w:val="left"/>
      <w:pPr>
        <w:ind w:left="720" w:hanging="360"/>
      </w:pPr>
      <w:rPr>
        <w:rFonts w:ascii="Symbol" w:hAnsi="Symbol"/>
      </w:rPr>
    </w:lvl>
  </w:abstractNum>
  <w:abstractNum w:abstractNumId="102" w15:restartNumberingAfterBreak="0">
    <w:nsid w:val="58726695"/>
    <w:multiLevelType w:val="hybridMultilevel"/>
    <w:tmpl w:val="5E60FF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3" w15:restartNumberingAfterBreak="0">
    <w:nsid w:val="589B0A31"/>
    <w:multiLevelType w:val="multilevel"/>
    <w:tmpl w:val="0D1EAD3C"/>
    <w:styleLink w:val="CurrentList37"/>
    <w:lvl w:ilvl="0">
      <w:start w:val="1"/>
      <w:numFmt w:val="decimal"/>
      <w:lvlText w:val="%1"/>
      <w:lvlJc w:val="left"/>
      <w:pPr>
        <w:ind w:left="432" w:hanging="432"/>
      </w:pPr>
      <w:rPr>
        <w:rFonts w:asciiTheme="minorHAnsi" w:hAnsiTheme="minorHAnsi"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4" w15:restartNumberingAfterBreak="0">
    <w:nsid w:val="58D41808"/>
    <w:multiLevelType w:val="multilevel"/>
    <w:tmpl w:val="0F76784E"/>
    <w:styleLink w:val="CurrentList41"/>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none"/>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5992077B"/>
    <w:multiLevelType w:val="multilevel"/>
    <w:tmpl w:val="68201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C2071E6"/>
    <w:multiLevelType w:val="multilevel"/>
    <w:tmpl w:val="D756AE70"/>
    <w:styleLink w:val="CurrentList1"/>
    <w:lvl w:ilvl="0">
      <w:start w:val="1"/>
      <w:numFmt w:val="bullet"/>
      <w:lvlText w:val="►"/>
      <w:lvlJc w:val="left"/>
      <w:pPr>
        <w:ind w:left="360" w:hanging="360"/>
      </w:pPr>
      <w:rPr>
        <w:rFonts w:ascii="Arial" w:hAnsi="Arial" w:hint="default"/>
        <w:color w:val="DEE0E2"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5D055265"/>
    <w:multiLevelType w:val="multilevel"/>
    <w:tmpl w:val="6D3C1E96"/>
    <w:styleLink w:val="CurrentList52"/>
    <w:lvl w:ilvl="0">
      <w:start w:val="1"/>
      <w:numFmt w:val="decimal"/>
      <w:lvlText w:val="%1"/>
      <w:lvlJc w:val="left"/>
      <w:pPr>
        <w:ind w:left="360" w:hanging="360"/>
      </w:pPr>
      <w:rPr>
        <w:rFonts w:hint="default"/>
      </w:rPr>
    </w:lvl>
    <w:lvl w:ilvl="1">
      <w:start w:val="1"/>
      <w:numFmt w:val="decimal"/>
      <w:lvlText w:val="%1.%2"/>
      <w:lvlJc w:val="left"/>
      <w:pPr>
        <w:ind w:left="0" w:firstLine="360"/>
      </w:pPr>
      <w:rPr>
        <w:rFonts w:hint="default"/>
      </w:rPr>
    </w:lvl>
    <w:lvl w:ilvl="2">
      <w:start w:val="1"/>
      <w:numFmt w:val="decimal"/>
      <w:lvlText w:val="%3.%1.%2"/>
      <w:lvlJc w:val="left"/>
      <w:pPr>
        <w:ind w:left="0" w:firstLine="720"/>
      </w:pPr>
      <w:rPr>
        <w:rFonts w:hint="default"/>
      </w:rPr>
    </w:lvl>
    <w:lvl w:ilvl="3">
      <w:start w:val="1"/>
      <w:numFmt w:val="none"/>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5EA1098F"/>
    <w:multiLevelType w:val="multilevel"/>
    <w:tmpl w:val="5FB06604"/>
    <w:name w:val="numbered titles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b/>
        <w:bCs w: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9" w15:restartNumberingAfterBreak="0">
    <w:nsid w:val="5FF33788"/>
    <w:multiLevelType w:val="multilevel"/>
    <w:tmpl w:val="F8A6A3D4"/>
    <w:styleLink w:val="CurrentList44"/>
    <w:lvl w:ilvl="0">
      <w:start w:val="1"/>
      <w:numFmt w:val="decimal"/>
      <w:lvlText w:val="%1."/>
      <w:lvlJc w:val="left"/>
      <w:pPr>
        <w:ind w:left="340" w:hanging="34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0" w15:restartNumberingAfterBreak="0">
    <w:nsid w:val="60207950"/>
    <w:multiLevelType w:val="multilevel"/>
    <w:tmpl w:val="9C54AF9E"/>
    <w:styleLink w:val="CurrentList11"/>
    <w:lvl w:ilvl="0">
      <w:start w:val="1"/>
      <w:numFmt w:val="decimal"/>
      <w:lvlText w:val="%1."/>
      <w:lvlJc w:val="left"/>
      <w:pPr>
        <w:ind w:left="-143" w:hanging="567"/>
      </w:pPr>
      <w:rPr>
        <w:rFonts w:hint="default"/>
        <w:color w:val="003399"/>
      </w:rPr>
    </w:lvl>
    <w:lvl w:ilvl="1">
      <w:start w:val="1"/>
      <w:numFmt w:val="decimal"/>
      <w:lvlText w:val="%1.%2."/>
      <w:lvlJc w:val="left"/>
      <w:pPr>
        <w:ind w:left="0" w:hanging="710"/>
      </w:pPr>
      <w:rPr>
        <w:rFonts w:hint="default"/>
        <w:color w:val="003399"/>
      </w:rPr>
    </w:lvl>
    <w:lvl w:ilvl="2">
      <w:start w:val="1"/>
      <w:numFmt w:val="decimal"/>
      <w:lvlText w:val="%1.%2.%3."/>
      <w:lvlJc w:val="left"/>
      <w:pPr>
        <w:ind w:left="140" w:hanging="850"/>
      </w:pPr>
      <w:rPr>
        <w:rFonts w:hint="default"/>
        <w:color w:val="003399"/>
      </w:rPr>
    </w:lvl>
    <w:lvl w:ilvl="3">
      <w:start w:val="1"/>
      <w:numFmt w:val="decimal"/>
      <w:lvlText w:val="%1.%2.%3.%4."/>
      <w:lvlJc w:val="left"/>
      <w:pPr>
        <w:ind w:left="254" w:hanging="964"/>
      </w:pPr>
      <w:rPr>
        <w:rFonts w:ascii="Aptos Light" w:hAnsi="Aptos Light" w:hint="default"/>
        <w:b w:val="0"/>
        <w:bCs w:val="0"/>
        <w:i w:val="0"/>
        <w:iCs w:val="0"/>
        <w:color w:val="003399"/>
      </w:rPr>
    </w:lvl>
    <w:lvl w:ilvl="4">
      <w:start w:val="1"/>
      <w:numFmt w:val="decimal"/>
      <w:lvlText w:val="%1.%2.%3.%4.%5."/>
      <w:lvlJc w:val="left"/>
      <w:pPr>
        <w:ind w:left="1134" w:hanging="1134"/>
      </w:pPr>
      <w:rPr>
        <w:rFonts w:ascii="Aptos Light" w:hAnsi="Aptos Light" w:hint="default"/>
        <w:color w:val="132D4E" w:themeColor="text2"/>
      </w:rPr>
    </w:lvl>
    <w:lvl w:ilvl="5">
      <w:start w:val="1"/>
      <w:numFmt w:val="decimal"/>
      <w:lvlText w:val="%1.%2.%3.%4.%5."/>
      <w:lvlJc w:val="left"/>
      <w:pPr>
        <w:ind w:left="424" w:hanging="1134"/>
      </w:pPr>
      <w:rPr>
        <w:rFonts w:ascii="Arial" w:hAnsi="Arial" w:hint="default"/>
        <w:color w:val="132D4E" w:themeColor="text2"/>
      </w:rPr>
    </w:lvl>
    <w:lvl w:ilvl="6">
      <w:start w:val="1"/>
      <w:numFmt w:val="decimal"/>
      <w:lvlText w:val="%1.%2.%3.%4.%5."/>
      <w:lvlJc w:val="left"/>
      <w:pPr>
        <w:ind w:left="424" w:hanging="1134"/>
      </w:pPr>
      <w:rPr>
        <w:rFonts w:ascii="Arial" w:hAnsi="Arial" w:hint="default"/>
        <w:color w:val="132D4E" w:themeColor="text2"/>
      </w:rPr>
    </w:lvl>
    <w:lvl w:ilvl="7">
      <w:start w:val="1"/>
      <w:numFmt w:val="decimal"/>
      <w:lvlText w:val="%1.%2.%3.%4.%5."/>
      <w:lvlJc w:val="left"/>
      <w:pPr>
        <w:ind w:left="424" w:hanging="1134"/>
      </w:pPr>
      <w:rPr>
        <w:rFonts w:ascii="Arial" w:hAnsi="Arial" w:hint="default"/>
        <w:color w:val="132D4E" w:themeColor="text2"/>
      </w:rPr>
    </w:lvl>
    <w:lvl w:ilvl="8">
      <w:start w:val="1"/>
      <w:numFmt w:val="decimal"/>
      <w:lvlText w:val="%1.%2.%3.%4.%5."/>
      <w:lvlJc w:val="left"/>
      <w:pPr>
        <w:ind w:left="424" w:hanging="1134"/>
      </w:pPr>
      <w:rPr>
        <w:rFonts w:ascii="Arial" w:hAnsi="Arial" w:hint="default"/>
        <w:color w:val="132D4E" w:themeColor="text2"/>
      </w:rPr>
    </w:lvl>
  </w:abstractNum>
  <w:abstractNum w:abstractNumId="111" w15:restartNumberingAfterBreak="0">
    <w:nsid w:val="60AF58FF"/>
    <w:multiLevelType w:val="hybridMultilevel"/>
    <w:tmpl w:val="7032AC1A"/>
    <w:lvl w:ilvl="0" w:tplc="CC2EA4F2">
      <w:start w:val="1"/>
      <w:numFmt w:val="bullet"/>
      <w:pStyle w:val="ListBullet"/>
      <w:lvlText w:val=""/>
      <w:lvlJc w:val="left"/>
      <w:pPr>
        <w:ind w:left="360" w:hanging="360"/>
      </w:pPr>
      <w:rPr>
        <w:rFonts w:ascii="Wingdings" w:hAnsi="Wingdings" w:hint="default"/>
        <w:color w:val="039D89"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60E15BD2"/>
    <w:multiLevelType w:val="multilevel"/>
    <w:tmpl w:val="0F76784E"/>
    <w:styleLink w:val="CurrentList4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none"/>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15:restartNumberingAfterBreak="0">
    <w:nsid w:val="62F643B7"/>
    <w:multiLevelType w:val="multilevel"/>
    <w:tmpl w:val="194A9E60"/>
    <w:styleLink w:val="CurrentList50"/>
    <w:lvl w:ilvl="0">
      <w:start w:val="1"/>
      <w:numFmt w:val="decimal"/>
      <w:lvlText w:val="Table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636A1C73"/>
    <w:multiLevelType w:val="multilevel"/>
    <w:tmpl w:val="0D1EAD3C"/>
    <w:name w:val="list1"/>
    <w:lvl w:ilvl="0">
      <w:start w:val="1"/>
      <w:numFmt w:val="decimal"/>
      <w:lvlText w:val="%1"/>
      <w:lvlJc w:val="left"/>
      <w:pPr>
        <w:ind w:left="432" w:hanging="432"/>
      </w:pPr>
      <w:rPr>
        <w:rFonts w:asciiTheme="minorHAnsi" w:hAnsiTheme="minorHAnsi"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5" w15:restartNumberingAfterBreak="0">
    <w:nsid w:val="65B35034"/>
    <w:multiLevelType w:val="multilevel"/>
    <w:tmpl w:val="140A326A"/>
    <w:styleLink w:val="CurrentList25"/>
    <w:lvl w:ilvl="0">
      <w:start w:val="1"/>
      <w:numFmt w:val="decimal"/>
      <w:lvlText w:val="%1"/>
      <w:lvlJc w:val="left"/>
      <w:pPr>
        <w:ind w:left="715" w:hanging="432"/>
      </w:pPr>
      <w:rPr>
        <w:rFonts w:asciiTheme="minorHAnsi" w:hAnsiTheme="minorHAnsi" w:hint="default"/>
        <w:b w:val="0"/>
        <w:i w:val="0"/>
        <w:color w:val="auto"/>
        <w:sz w:val="20"/>
      </w:rPr>
    </w:lvl>
    <w:lvl w:ilvl="1">
      <w:start w:val="1"/>
      <w:numFmt w:val="decimal"/>
      <w:lvlText w:val="%1.%2"/>
      <w:lvlJc w:val="left"/>
      <w:pPr>
        <w:ind w:left="859" w:hanging="576"/>
      </w:pPr>
      <w:rPr>
        <w:rFonts w:hint="default"/>
      </w:rPr>
    </w:lvl>
    <w:lvl w:ilvl="2">
      <w:start w:val="1"/>
      <w:numFmt w:val="decimal"/>
      <w:lvlText w:val="%1.%2.%3"/>
      <w:lvlJc w:val="left"/>
      <w:pPr>
        <w:ind w:left="1003" w:hanging="720"/>
      </w:pPr>
      <w:rPr>
        <w:rFonts w:hint="default"/>
      </w:rPr>
    </w:lvl>
    <w:lvl w:ilvl="3">
      <w:start w:val="1"/>
      <w:numFmt w:val="decimal"/>
      <w:lvlText w:val="%1.%2.%3.%4"/>
      <w:lvlJc w:val="left"/>
      <w:pPr>
        <w:ind w:left="1147" w:hanging="864"/>
      </w:pPr>
      <w:rPr>
        <w:rFonts w:hint="default"/>
      </w:rPr>
    </w:lvl>
    <w:lvl w:ilvl="4">
      <w:start w:val="1"/>
      <w:numFmt w:val="decimal"/>
      <w:lvlText w:val="%1.%2.%3.%4.%5"/>
      <w:lvlJc w:val="left"/>
      <w:pPr>
        <w:ind w:left="1291" w:hanging="1008"/>
      </w:pPr>
      <w:rPr>
        <w:rFonts w:hint="default"/>
      </w:rPr>
    </w:lvl>
    <w:lvl w:ilvl="5">
      <w:start w:val="1"/>
      <w:numFmt w:val="decimal"/>
      <w:lvlText w:val="%1.%2.%3.%4.%5.%6"/>
      <w:lvlJc w:val="left"/>
      <w:pPr>
        <w:ind w:left="1435" w:hanging="1152"/>
      </w:pPr>
      <w:rPr>
        <w:rFonts w:hint="default"/>
      </w:rPr>
    </w:lvl>
    <w:lvl w:ilvl="6">
      <w:start w:val="1"/>
      <w:numFmt w:val="decimal"/>
      <w:lvlText w:val="%1.%2.%3.%4.%5.%6.%7"/>
      <w:lvlJc w:val="left"/>
      <w:pPr>
        <w:ind w:left="1579" w:hanging="1296"/>
      </w:pPr>
      <w:rPr>
        <w:rFonts w:hint="default"/>
      </w:rPr>
    </w:lvl>
    <w:lvl w:ilvl="7">
      <w:start w:val="1"/>
      <w:numFmt w:val="decimal"/>
      <w:lvlText w:val="%1.%2.%3.%4.%5.%6.%7.%8"/>
      <w:lvlJc w:val="left"/>
      <w:pPr>
        <w:ind w:left="1723" w:hanging="1440"/>
      </w:pPr>
      <w:rPr>
        <w:rFonts w:hint="default"/>
      </w:rPr>
    </w:lvl>
    <w:lvl w:ilvl="8">
      <w:start w:val="1"/>
      <w:numFmt w:val="decimal"/>
      <w:lvlText w:val="%1.%2.%3.%4.%5.%6.%7.%8.%9"/>
      <w:lvlJc w:val="left"/>
      <w:pPr>
        <w:ind w:left="1867" w:hanging="1584"/>
      </w:pPr>
      <w:rPr>
        <w:rFonts w:hint="default"/>
      </w:rPr>
    </w:lvl>
  </w:abstractNum>
  <w:abstractNum w:abstractNumId="116"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rPr>
    </w:lvl>
    <w:lvl w:ilvl="1" w:tplc="E7565B6A">
      <w:start w:val="1"/>
      <w:numFmt w:val="lowerLetter"/>
      <w:lvlText w:val="%2."/>
      <w:lvlJc w:val="left"/>
      <w:pPr>
        <w:ind w:left="1440" w:hanging="360"/>
      </w:pPr>
      <w:rPr>
        <w:rFonts w:cs="Times New Roman"/>
      </w:rPr>
    </w:lvl>
    <w:lvl w:ilvl="2" w:tplc="67A6A44A">
      <w:start w:val="1"/>
      <w:numFmt w:val="lowerRoman"/>
      <w:lvlText w:val="%3."/>
      <w:lvlJc w:val="right"/>
      <w:pPr>
        <w:ind w:left="2160" w:hanging="180"/>
      </w:pPr>
      <w:rPr>
        <w:rFonts w:cs="Times New Roman"/>
      </w:rPr>
    </w:lvl>
    <w:lvl w:ilvl="3" w:tplc="21C6EF3C">
      <w:start w:val="1"/>
      <w:numFmt w:val="decimal"/>
      <w:lvlText w:val="%4."/>
      <w:lvlJc w:val="left"/>
      <w:pPr>
        <w:ind w:left="2880" w:hanging="360"/>
      </w:pPr>
      <w:rPr>
        <w:rFonts w:cs="Times New Roman"/>
      </w:rPr>
    </w:lvl>
    <w:lvl w:ilvl="4" w:tplc="6C185750">
      <w:start w:val="1"/>
      <w:numFmt w:val="lowerLetter"/>
      <w:lvlText w:val="%5."/>
      <w:lvlJc w:val="left"/>
      <w:pPr>
        <w:ind w:left="3600" w:hanging="360"/>
      </w:pPr>
      <w:rPr>
        <w:rFonts w:cs="Times New Roman"/>
      </w:rPr>
    </w:lvl>
    <w:lvl w:ilvl="5" w:tplc="FA46F0F4">
      <w:start w:val="1"/>
      <w:numFmt w:val="lowerRoman"/>
      <w:lvlText w:val="%6."/>
      <w:lvlJc w:val="right"/>
      <w:pPr>
        <w:ind w:left="4320" w:hanging="180"/>
      </w:pPr>
      <w:rPr>
        <w:rFonts w:cs="Times New Roman"/>
      </w:rPr>
    </w:lvl>
    <w:lvl w:ilvl="6" w:tplc="84CCF45A">
      <w:start w:val="1"/>
      <w:numFmt w:val="decimal"/>
      <w:lvlText w:val="%7."/>
      <w:lvlJc w:val="left"/>
      <w:pPr>
        <w:ind w:left="5040" w:hanging="360"/>
      </w:pPr>
      <w:rPr>
        <w:rFonts w:cs="Times New Roman"/>
      </w:rPr>
    </w:lvl>
    <w:lvl w:ilvl="7" w:tplc="E2FA2386">
      <w:start w:val="1"/>
      <w:numFmt w:val="lowerLetter"/>
      <w:lvlText w:val="%8."/>
      <w:lvlJc w:val="left"/>
      <w:pPr>
        <w:ind w:left="5760" w:hanging="360"/>
      </w:pPr>
      <w:rPr>
        <w:rFonts w:cs="Times New Roman"/>
      </w:rPr>
    </w:lvl>
    <w:lvl w:ilvl="8" w:tplc="1E3AE066">
      <w:start w:val="1"/>
      <w:numFmt w:val="lowerRoman"/>
      <w:lvlText w:val="%9."/>
      <w:lvlJc w:val="right"/>
      <w:pPr>
        <w:ind w:left="6480" w:hanging="180"/>
      </w:pPr>
      <w:rPr>
        <w:rFonts w:cs="Times New Roman"/>
      </w:rPr>
    </w:lvl>
  </w:abstractNum>
  <w:abstractNum w:abstractNumId="117" w15:restartNumberingAfterBreak="0">
    <w:nsid w:val="66F21B90"/>
    <w:multiLevelType w:val="hybridMultilevel"/>
    <w:tmpl w:val="24AC62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8" w15:restartNumberingAfterBreak="0">
    <w:nsid w:val="680F63C7"/>
    <w:multiLevelType w:val="hybridMultilevel"/>
    <w:tmpl w:val="3C249010"/>
    <w:lvl w:ilvl="0" w:tplc="14F66A36">
      <w:numFmt w:val="bullet"/>
      <w:lvlText w:val="-"/>
      <w:lvlJc w:val="left"/>
      <w:pPr>
        <w:ind w:left="360" w:hanging="360"/>
      </w:pPr>
      <w:rPr>
        <w:rFonts w:ascii="Verdana" w:eastAsia="Times New Roman" w:hAnsi="Verdana"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9" w15:restartNumberingAfterBreak="0">
    <w:nsid w:val="681C4414"/>
    <w:multiLevelType w:val="hybridMultilevel"/>
    <w:tmpl w:val="194A9E60"/>
    <w:lvl w:ilvl="0" w:tplc="72CEAA28">
      <w:start w:val="1"/>
      <w:numFmt w:val="decimal"/>
      <w:pStyle w:val="Tabletitlenumbered"/>
      <w:lvlText w:val="Tabl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6A1566B0"/>
    <w:multiLevelType w:val="hybridMultilevel"/>
    <w:tmpl w:val="82C8D9F0"/>
    <w:lvl w:ilvl="0" w:tplc="76A62530">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21" w15:restartNumberingAfterBreak="0">
    <w:nsid w:val="6BD92A4D"/>
    <w:multiLevelType w:val="multilevel"/>
    <w:tmpl w:val="51F80694"/>
    <w:styleLink w:val="CurrentList16"/>
    <w:lvl w:ilvl="0">
      <w:start w:val="1"/>
      <w:numFmt w:val="decimal"/>
      <w:lvlText w:val="%1"/>
      <w:lvlJc w:val="left"/>
      <w:pPr>
        <w:ind w:left="432" w:hanging="432"/>
      </w:pPr>
      <w:rPr>
        <w:rFonts w:asciiTheme="minorHAnsi" w:hAnsiTheme="minorHAnsi"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2" w15:restartNumberingAfterBreak="0">
    <w:nsid w:val="6C8C78F0"/>
    <w:multiLevelType w:val="multilevel"/>
    <w:tmpl w:val="361E8488"/>
    <w:styleLink w:val="CurrentList17"/>
    <w:lvl w:ilvl="0">
      <w:start w:val="1"/>
      <w:numFmt w:val="decimal"/>
      <w:lvlText w:val="%1"/>
      <w:lvlJc w:val="left"/>
      <w:pPr>
        <w:ind w:left="432" w:hanging="432"/>
      </w:pPr>
      <w:rPr>
        <w:rFonts w:asciiTheme="minorHAnsi" w:hAnsiTheme="minorHAnsi"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3" w15:restartNumberingAfterBreak="0">
    <w:nsid w:val="6CB93FA7"/>
    <w:multiLevelType w:val="multilevel"/>
    <w:tmpl w:val="0809001F"/>
    <w:styleLink w:val="CurrentList3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4" w15:restartNumberingAfterBreak="0">
    <w:nsid w:val="6E8C4B98"/>
    <w:multiLevelType w:val="multilevel"/>
    <w:tmpl w:val="A95E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F5C6643"/>
    <w:multiLevelType w:val="multilevel"/>
    <w:tmpl w:val="D7B02200"/>
    <w:styleLink w:val="CurrentList31"/>
    <w:lvl w:ilvl="0">
      <w:start w:val="1"/>
      <w:numFmt w:val="decimal"/>
      <w:lvlText w:val="%1"/>
      <w:lvlJc w:val="left"/>
      <w:pPr>
        <w:ind w:left="716" w:hanging="432"/>
      </w:pPr>
      <w:rPr>
        <w:rFonts w:asciiTheme="minorHAnsi" w:hAnsiTheme="minorHAnsi" w:hint="default"/>
        <w:b w:val="0"/>
        <w:i w:val="0"/>
        <w:color w:val="auto"/>
        <w:sz w:val="20"/>
      </w:rPr>
    </w:lvl>
    <w:lvl w:ilvl="1">
      <w:start w:val="1"/>
      <w:numFmt w:val="decimal"/>
      <w:lvlRestart w:val="0"/>
      <w:lvlText w:val="%1.%2"/>
      <w:lvlJc w:val="left"/>
      <w:pPr>
        <w:ind w:left="860" w:hanging="576"/>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8" w:hanging="864"/>
      </w:pPr>
      <w:rPr>
        <w:rFonts w:hint="default"/>
      </w:rPr>
    </w:lvl>
    <w:lvl w:ilvl="4">
      <w:start w:val="1"/>
      <w:numFmt w:val="decimal"/>
      <w:lvlText w:val="%1.%2.%3.%4.%5"/>
      <w:lvlJc w:val="left"/>
      <w:pPr>
        <w:ind w:left="1292" w:hanging="1008"/>
      </w:pPr>
      <w:rPr>
        <w:rFonts w:hint="default"/>
      </w:rPr>
    </w:lvl>
    <w:lvl w:ilvl="5">
      <w:start w:val="1"/>
      <w:numFmt w:val="decimal"/>
      <w:lvlText w:val="%1.%2.%3.%4.%5.%6"/>
      <w:lvlJc w:val="left"/>
      <w:pPr>
        <w:ind w:left="1436" w:hanging="1152"/>
      </w:pPr>
      <w:rPr>
        <w:rFonts w:hint="default"/>
      </w:rPr>
    </w:lvl>
    <w:lvl w:ilvl="6">
      <w:start w:val="1"/>
      <w:numFmt w:val="decimal"/>
      <w:lvlText w:val="%1.%2.%3.%4.%5.%6.%7"/>
      <w:lvlJc w:val="left"/>
      <w:pPr>
        <w:ind w:left="1580" w:hanging="1296"/>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1868" w:hanging="1584"/>
      </w:pPr>
      <w:rPr>
        <w:rFonts w:hint="default"/>
      </w:rPr>
    </w:lvl>
  </w:abstractNum>
  <w:abstractNum w:abstractNumId="126" w15:restartNumberingAfterBreak="0">
    <w:nsid w:val="6FB71CA8"/>
    <w:multiLevelType w:val="hybridMultilevel"/>
    <w:tmpl w:val="3000CA70"/>
    <w:lvl w:ilvl="0" w:tplc="14F66A36">
      <w:numFmt w:val="bullet"/>
      <w:lvlText w:val="-"/>
      <w:lvlJc w:val="left"/>
      <w:pPr>
        <w:ind w:left="360" w:hanging="360"/>
      </w:pPr>
      <w:rPr>
        <w:rFonts w:ascii="Verdana" w:eastAsia="Times New Roman" w:hAnsi="Verdana"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7" w15:restartNumberingAfterBreak="0">
    <w:nsid w:val="707176B8"/>
    <w:multiLevelType w:val="multilevel"/>
    <w:tmpl w:val="5F7A3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70C755AE"/>
    <w:multiLevelType w:val="multilevel"/>
    <w:tmpl w:val="579EA04C"/>
    <w:styleLink w:val="CurrentList26"/>
    <w:lvl w:ilvl="0">
      <w:start w:val="1"/>
      <w:numFmt w:val="decimal"/>
      <w:lvlText w:val="%1"/>
      <w:lvlJc w:val="left"/>
      <w:pPr>
        <w:ind w:left="715" w:hanging="432"/>
      </w:pPr>
      <w:rPr>
        <w:rFonts w:asciiTheme="minorHAnsi" w:hAnsiTheme="minorHAnsi" w:hint="default"/>
        <w:b w:val="0"/>
        <w:i w:val="0"/>
        <w:color w:val="auto"/>
        <w:sz w:val="20"/>
      </w:rPr>
    </w:lvl>
    <w:lvl w:ilvl="1">
      <w:start w:val="1"/>
      <w:numFmt w:val="decimal"/>
      <w:lvlRestart w:val="0"/>
      <w:lvlText w:val="%1.%2"/>
      <w:lvlJc w:val="left"/>
      <w:pPr>
        <w:ind w:left="859" w:hanging="576"/>
      </w:pPr>
      <w:rPr>
        <w:rFonts w:hint="default"/>
      </w:rPr>
    </w:lvl>
    <w:lvl w:ilvl="2">
      <w:start w:val="1"/>
      <w:numFmt w:val="decimal"/>
      <w:lvlText w:val="%1.%2.%3"/>
      <w:lvlJc w:val="left"/>
      <w:pPr>
        <w:ind w:left="1003" w:hanging="720"/>
      </w:pPr>
      <w:rPr>
        <w:rFonts w:hint="default"/>
      </w:rPr>
    </w:lvl>
    <w:lvl w:ilvl="3">
      <w:start w:val="1"/>
      <w:numFmt w:val="decimal"/>
      <w:lvlText w:val="%1.%2.%3.%4"/>
      <w:lvlJc w:val="left"/>
      <w:pPr>
        <w:ind w:left="1147" w:hanging="864"/>
      </w:pPr>
      <w:rPr>
        <w:rFonts w:hint="default"/>
      </w:rPr>
    </w:lvl>
    <w:lvl w:ilvl="4">
      <w:start w:val="1"/>
      <w:numFmt w:val="decimal"/>
      <w:lvlText w:val="%1.%2.%3.%4.%5"/>
      <w:lvlJc w:val="left"/>
      <w:pPr>
        <w:ind w:left="1291" w:hanging="1008"/>
      </w:pPr>
      <w:rPr>
        <w:rFonts w:hint="default"/>
      </w:rPr>
    </w:lvl>
    <w:lvl w:ilvl="5">
      <w:start w:val="1"/>
      <w:numFmt w:val="decimal"/>
      <w:lvlText w:val="%1.%2.%3.%4.%5.%6"/>
      <w:lvlJc w:val="left"/>
      <w:pPr>
        <w:ind w:left="1435" w:hanging="1152"/>
      </w:pPr>
      <w:rPr>
        <w:rFonts w:hint="default"/>
      </w:rPr>
    </w:lvl>
    <w:lvl w:ilvl="6">
      <w:start w:val="1"/>
      <w:numFmt w:val="decimal"/>
      <w:lvlText w:val="%1.%2.%3.%4.%5.%6.%7"/>
      <w:lvlJc w:val="left"/>
      <w:pPr>
        <w:ind w:left="1579" w:hanging="1296"/>
      </w:pPr>
      <w:rPr>
        <w:rFonts w:hint="default"/>
      </w:rPr>
    </w:lvl>
    <w:lvl w:ilvl="7">
      <w:start w:val="1"/>
      <w:numFmt w:val="decimal"/>
      <w:lvlText w:val="%1.%2.%3.%4.%5.%6.%7.%8"/>
      <w:lvlJc w:val="left"/>
      <w:pPr>
        <w:ind w:left="1723" w:hanging="1440"/>
      </w:pPr>
      <w:rPr>
        <w:rFonts w:hint="default"/>
      </w:rPr>
    </w:lvl>
    <w:lvl w:ilvl="8">
      <w:start w:val="1"/>
      <w:numFmt w:val="decimal"/>
      <w:lvlText w:val="%1.%2.%3.%4.%5.%6.%7.%8.%9"/>
      <w:lvlJc w:val="left"/>
      <w:pPr>
        <w:ind w:left="1867" w:hanging="1584"/>
      </w:pPr>
      <w:rPr>
        <w:rFonts w:hint="default"/>
      </w:rPr>
    </w:lvl>
  </w:abstractNum>
  <w:abstractNum w:abstractNumId="129" w15:restartNumberingAfterBreak="0">
    <w:nsid w:val="70DA2502"/>
    <w:multiLevelType w:val="multilevel"/>
    <w:tmpl w:val="75DE30A8"/>
    <w:styleLink w:val="CurrentList13"/>
    <w:lvl w:ilvl="0">
      <w:start w:val="1"/>
      <w:numFmt w:val="decimal"/>
      <w:lvlText w:val="%1"/>
      <w:lvlJc w:val="left"/>
      <w:pPr>
        <w:ind w:left="432" w:hanging="432"/>
      </w:pPr>
      <w:rPr>
        <w:rFonts w:asciiTheme="minorHAnsi" w:hAnsiTheme="minorHAnsi"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0" w15:restartNumberingAfterBreak="0">
    <w:nsid w:val="715B729E"/>
    <w:multiLevelType w:val="multilevel"/>
    <w:tmpl w:val="81808BCC"/>
    <w:styleLink w:val="CurrentList55"/>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2.%3.%1."/>
      <w:lvlJc w:val="left"/>
      <w:pPr>
        <w:ind w:left="0" w:firstLine="720"/>
      </w:pPr>
      <w:rPr>
        <w:rFonts w:hint="default"/>
      </w:rPr>
    </w:lvl>
    <w:lvl w:ilvl="3">
      <w:start w:val="1"/>
      <w:numFmt w:val="none"/>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1" w15:restartNumberingAfterBreak="0">
    <w:nsid w:val="71C56453"/>
    <w:multiLevelType w:val="multilevel"/>
    <w:tmpl w:val="11809A1A"/>
    <w:styleLink w:val="CurrentList51"/>
    <w:lvl w:ilvl="0">
      <w:start w:val="1"/>
      <w:numFmt w:val="decimal"/>
      <w:suff w:val="space"/>
      <w:lvlText w:val="%1"/>
      <w:lvlJc w:val="left"/>
      <w:pPr>
        <w:ind w:left="360" w:hanging="360"/>
      </w:pPr>
      <w:rPr>
        <w:rFonts w:hint="default"/>
      </w:rPr>
    </w:lvl>
    <w:lvl w:ilvl="1">
      <w:start w:val="1"/>
      <w:numFmt w:val="decimal"/>
      <w:suff w:val="space"/>
      <w:lvlText w:val="%1.%2"/>
      <w:lvlJc w:val="left"/>
      <w:pPr>
        <w:ind w:left="0" w:firstLine="360"/>
      </w:pPr>
      <w:rPr>
        <w:rFonts w:hint="default"/>
      </w:rPr>
    </w:lvl>
    <w:lvl w:ilvl="2">
      <w:start w:val="1"/>
      <w:numFmt w:val="decimal"/>
      <w:suff w:val="space"/>
      <w:lvlText w:val="%3.%1.%2"/>
      <w:lvlJc w:val="left"/>
      <w:pPr>
        <w:ind w:left="0" w:firstLine="720"/>
      </w:pPr>
      <w:rPr>
        <w:rFonts w:hint="default"/>
      </w:rPr>
    </w:lvl>
    <w:lvl w:ilvl="3">
      <w:start w:val="1"/>
      <w:numFmt w:val="none"/>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2" w15:restartNumberingAfterBreak="0">
    <w:nsid w:val="7231147A"/>
    <w:multiLevelType w:val="multilevel"/>
    <w:tmpl w:val="5F06D1FE"/>
    <w:styleLink w:val="CurrentList59"/>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3" w15:restartNumberingAfterBreak="0">
    <w:nsid w:val="7335141C"/>
    <w:multiLevelType w:val="multilevel"/>
    <w:tmpl w:val="D2A20BF0"/>
    <w:styleLink w:val="CurrentList36"/>
    <w:lvl w:ilvl="0">
      <w:start w:val="1"/>
      <w:numFmt w:val="decimal"/>
      <w:lvlText w:val="%1"/>
      <w:lvlJc w:val="left"/>
      <w:pPr>
        <w:ind w:left="716" w:hanging="432"/>
      </w:pPr>
      <w:rPr>
        <w:rFonts w:asciiTheme="minorHAnsi" w:hAnsiTheme="minorHAnsi" w:hint="default"/>
        <w:b w:val="0"/>
        <w:i w:val="0"/>
        <w:color w:val="auto"/>
        <w:sz w:val="20"/>
      </w:rPr>
    </w:lvl>
    <w:lvl w:ilvl="1">
      <w:start w:val="1"/>
      <w:numFmt w:val="decimal"/>
      <w:lvlText w:val="%1.%2"/>
      <w:lvlJc w:val="left"/>
      <w:pPr>
        <w:ind w:left="860" w:hanging="576"/>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8" w:hanging="864"/>
      </w:pPr>
      <w:rPr>
        <w:rFonts w:hint="default"/>
      </w:rPr>
    </w:lvl>
    <w:lvl w:ilvl="4">
      <w:start w:val="1"/>
      <w:numFmt w:val="decimal"/>
      <w:lvlText w:val="%1.%2.%3.%4.%5"/>
      <w:lvlJc w:val="left"/>
      <w:pPr>
        <w:ind w:left="1292" w:hanging="1008"/>
      </w:pPr>
      <w:rPr>
        <w:rFonts w:hint="default"/>
      </w:rPr>
    </w:lvl>
    <w:lvl w:ilvl="5">
      <w:start w:val="1"/>
      <w:numFmt w:val="decimal"/>
      <w:lvlText w:val="%1.%2.%3.%4.%5.%6"/>
      <w:lvlJc w:val="left"/>
      <w:pPr>
        <w:ind w:left="1436" w:hanging="1152"/>
      </w:pPr>
      <w:rPr>
        <w:rFonts w:hint="default"/>
      </w:rPr>
    </w:lvl>
    <w:lvl w:ilvl="6">
      <w:start w:val="1"/>
      <w:numFmt w:val="decimal"/>
      <w:lvlText w:val="%1.%2.%3.%4.%5.%6.%7"/>
      <w:lvlJc w:val="left"/>
      <w:pPr>
        <w:ind w:left="1580" w:hanging="1296"/>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1868" w:hanging="1584"/>
      </w:pPr>
      <w:rPr>
        <w:rFonts w:hint="default"/>
      </w:rPr>
    </w:lvl>
  </w:abstractNum>
  <w:abstractNum w:abstractNumId="134" w15:restartNumberingAfterBreak="0">
    <w:nsid w:val="73FE1545"/>
    <w:multiLevelType w:val="multilevel"/>
    <w:tmpl w:val="6366C19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35" w15:restartNumberingAfterBreak="0">
    <w:nsid w:val="74D85CDC"/>
    <w:multiLevelType w:val="multilevel"/>
    <w:tmpl w:val="A5EE04C2"/>
    <w:styleLink w:val="CurrentList48"/>
    <w:lvl w:ilvl="0">
      <w:start w:val="1"/>
      <w:numFmt w:val="decimal"/>
      <w:lvlText w:val="Figure %1."/>
      <w:lvlJc w:val="left"/>
      <w:pPr>
        <w:ind w:left="0" w:firstLine="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754A5997"/>
    <w:multiLevelType w:val="hybridMultilevel"/>
    <w:tmpl w:val="FAA06ACA"/>
    <w:lvl w:ilvl="0" w:tplc="33E8B496">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7" w15:restartNumberingAfterBreak="0">
    <w:nsid w:val="77012EE3"/>
    <w:multiLevelType w:val="multilevel"/>
    <w:tmpl w:val="AB42A784"/>
    <w:lvl w:ilvl="0">
      <w:start w:val="1"/>
      <w:numFmt w:val="bullet"/>
      <w:lvlText w:val="o"/>
      <w:lvlJc w:val="left"/>
      <w:pPr>
        <w:tabs>
          <w:tab w:val="num" w:pos="360"/>
        </w:tabs>
        <w:ind w:left="360" w:hanging="360"/>
      </w:pPr>
      <w:rPr>
        <w:rFonts w:ascii="Courier New" w:hAnsi="Courier New" w:hint="default"/>
        <w:sz w:val="20"/>
      </w:rPr>
    </w:lvl>
    <w:lvl w:ilvl="1">
      <w:start w:val="1"/>
      <w:numFmt w:val="lowerLetter"/>
      <w:lvlText w:val="(%2)"/>
      <w:lvlJc w:val="left"/>
      <w:pPr>
        <w:ind w:left="1080" w:hanging="360"/>
      </w:pPr>
      <w:rPr>
        <w:rFonts w:hint="default"/>
      </w:rPr>
    </w:lvl>
    <w:lvl w:ilvl="2">
      <w:start w:val="1"/>
      <w:numFmt w:val="lowerRoman"/>
      <w:lvlText w:val="(%3)"/>
      <w:lvlJc w:val="left"/>
      <w:pPr>
        <w:ind w:left="2160" w:hanging="720"/>
      </w:pPr>
      <w:rPr>
        <w:rFonts w:hint="default"/>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38" w15:restartNumberingAfterBreak="0">
    <w:nsid w:val="77430C39"/>
    <w:multiLevelType w:val="hybridMultilevel"/>
    <w:tmpl w:val="414669E0"/>
    <w:lvl w:ilvl="0" w:tplc="3D02C2A4">
      <w:start w:val="1"/>
      <w:numFmt w:val="bullet"/>
      <w:lvlText w:val=""/>
      <w:lvlJc w:val="left"/>
      <w:pPr>
        <w:ind w:left="1440" w:hanging="360"/>
      </w:pPr>
      <w:rPr>
        <w:rFonts w:ascii="Symbol" w:hAnsi="Symbol"/>
      </w:rPr>
    </w:lvl>
    <w:lvl w:ilvl="1" w:tplc="A6A20C96">
      <w:start w:val="1"/>
      <w:numFmt w:val="bullet"/>
      <w:lvlText w:val=""/>
      <w:lvlJc w:val="left"/>
      <w:pPr>
        <w:ind w:left="1440" w:hanging="360"/>
      </w:pPr>
      <w:rPr>
        <w:rFonts w:ascii="Symbol" w:hAnsi="Symbol"/>
      </w:rPr>
    </w:lvl>
    <w:lvl w:ilvl="2" w:tplc="1A6271DC">
      <w:start w:val="1"/>
      <w:numFmt w:val="bullet"/>
      <w:lvlText w:val=""/>
      <w:lvlJc w:val="left"/>
      <w:pPr>
        <w:ind w:left="1440" w:hanging="360"/>
      </w:pPr>
      <w:rPr>
        <w:rFonts w:ascii="Symbol" w:hAnsi="Symbol"/>
      </w:rPr>
    </w:lvl>
    <w:lvl w:ilvl="3" w:tplc="7F80EC7C">
      <w:start w:val="1"/>
      <w:numFmt w:val="bullet"/>
      <w:lvlText w:val=""/>
      <w:lvlJc w:val="left"/>
      <w:pPr>
        <w:ind w:left="1440" w:hanging="360"/>
      </w:pPr>
      <w:rPr>
        <w:rFonts w:ascii="Symbol" w:hAnsi="Symbol"/>
      </w:rPr>
    </w:lvl>
    <w:lvl w:ilvl="4" w:tplc="D36EDEDE">
      <w:start w:val="1"/>
      <w:numFmt w:val="bullet"/>
      <w:lvlText w:val=""/>
      <w:lvlJc w:val="left"/>
      <w:pPr>
        <w:ind w:left="1440" w:hanging="360"/>
      </w:pPr>
      <w:rPr>
        <w:rFonts w:ascii="Symbol" w:hAnsi="Symbol"/>
      </w:rPr>
    </w:lvl>
    <w:lvl w:ilvl="5" w:tplc="A5D6722A">
      <w:start w:val="1"/>
      <w:numFmt w:val="bullet"/>
      <w:lvlText w:val=""/>
      <w:lvlJc w:val="left"/>
      <w:pPr>
        <w:ind w:left="1440" w:hanging="360"/>
      </w:pPr>
      <w:rPr>
        <w:rFonts w:ascii="Symbol" w:hAnsi="Symbol"/>
      </w:rPr>
    </w:lvl>
    <w:lvl w:ilvl="6" w:tplc="2DF691D2">
      <w:start w:val="1"/>
      <w:numFmt w:val="bullet"/>
      <w:lvlText w:val=""/>
      <w:lvlJc w:val="left"/>
      <w:pPr>
        <w:ind w:left="1440" w:hanging="360"/>
      </w:pPr>
      <w:rPr>
        <w:rFonts w:ascii="Symbol" w:hAnsi="Symbol"/>
      </w:rPr>
    </w:lvl>
    <w:lvl w:ilvl="7" w:tplc="BE28936C">
      <w:start w:val="1"/>
      <w:numFmt w:val="bullet"/>
      <w:lvlText w:val=""/>
      <w:lvlJc w:val="left"/>
      <w:pPr>
        <w:ind w:left="1440" w:hanging="360"/>
      </w:pPr>
      <w:rPr>
        <w:rFonts w:ascii="Symbol" w:hAnsi="Symbol"/>
      </w:rPr>
    </w:lvl>
    <w:lvl w:ilvl="8" w:tplc="15CEDE14">
      <w:start w:val="1"/>
      <w:numFmt w:val="bullet"/>
      <w:lvlText w:val=""/>
      <w:lvlJc w:val="left"/>
      <w:pPr>
        <w:ind w:left="1440" w:hanging="360"/>
      </w:pPr>
      <w:rPr>
        <w:rFonts w:ascii="Symbol" w:hAnsi="Symbol"/>
      </w:rPr>
    </w:lvl>
  </w:abstractNum>
  <w:abstractNum w:abstractNumId="139" w15:restartNumberingAfterBreak="0">
    <w:nsid w:val="785E02C7"/>
    <w:multiLevelType w:val="hybridMultilevel"/>
    <w:tmpl w:val="854E9E24"/>
    <w:lvl w:ilvl="0" w:tplc="43DCC98C">
      <w:start w:val="1"/>
      <w:numFmt w:val="decimal"/>
      <w:lvlText w:val="%1."/>
      <w:lvlJc w:val="left"/>
      <w:pPr>
        <w:ind w:left="1440" w:hanging="360"/>
      </w:pPr>
    </w:lvl>
    <w:lvl w:ilvl="1" w:tplc="888829BC">
      <w:start w:val="1"/>
      <w:numFmt w:val="decimal"/>
      <w:lvlText w:val="%2."/>
      <w:lvlJc w:val="left"/>
      <w:pPr>
        <w:ind w:left="1440" w:hanging="360"/>
      </w:pPr>
    </w:lvl>
    <w:lvl w:ilvl="2" w:tplc="806E5E30">
      <w:start w:val="1"/>
      <w:numFmt w:val="decimal"/>
      <w:lvlText w:val="%3."/>
      <w:lvlJc w:val="left"/>
      <w:pPr>
        <w:ind w:left="1440" w:hanging="360"/>
      </w:pPr>
    </w:lvl>
    <w:lvl w:ilvl="3" w:tplc="C57EF06A">
      <w:start w:val="1"/>
      <w:numFmt w:val="decimal"/>
      <w:lvlText w:val="%4."/>
      <w:lvlJc w:val="left"/>
      <w:pPr>
        <w:ind w:left="1440" w:hanging="360"/>
      </w:pPr>
    </w:lvl>
    <w:lvl w:ilvl="4" w:tplc="992A4546">
      <w:start w:val="1"/>
      <w:numFmt w:val="decimal"/>
      <w:lvlText w:val="%5."/>
      <w:lvlJc w:val="left"/>
      <w:pPr>
        <w:ind w:left="1440" w:hanging="360"/>
      </w:pPr>
    </w:lvl>
    <w:lvl w:ilvl="5" w:tplc="203029FE">
      <w:start w:val="1"/>
      <w:numFmt w:val="decimal"/>
      <w:lvlText w:val="%6."/>
      <w:lvlJc w:val="left"/>
      <w:pPr>
        <w:ind w:left="1440" w:hanging="360"/>
      </w:pPr>
    </w:lvl>
    <w:lvl w:ilvl="6" w:tplc="584E3B78">
      <w:start w:val="1"/>
      <w:numFmt w:val="decimal"/>
      <w:lvlText w:val="%7."/>
      <w:lvlJc w:val="left"/>
      <w:pPr>
        <w:ind w:left="1440" w:hanging="360"/>
      </w:pPr>
    </w:lvl>
    <w:lvl w:ilvl="7" w:tplc="FC70F5F0">
      <w:start w:val="1"/>
      <w:numFmt w:val="decimal"/>
      <w:lvlText w:val="%8."/>
      <w:lvlJc w:val="left"/>
      <w:pPr>
        <w:ind w:left="1440" w:hanging="360"/>
      </w:pPr>
    </w:lvl>
    <w:lvl w:ilvl="8" w:tplc="9EA2211A">
      <w:start w:val="1"/>
      <w:numFmt w:val="decimal"/>
      <w:lvlText w:val="%9."/>
      <w:lvlJc w:val="left"/>
      <w:pPr>
        <w:ind w:left="1440" w:hanging="360"/>
      </w:pPr>
    </w:lvl>
  </w:abstractNum>
  <w:abstractNum w:abstractNumId="140" w15:restartNumberingAfterBreak="0">
    <w:nsid w:val="78F11510"/>
    <w:multiLevelType w:val="hybridMultilevel"/>
    <w:tmpl w:val="80FCA51A"/>
    <w:lvl w:ilvl="0" w:tplc="6164D678">
      <w:start w:val="1"/>
      <w:numFmt w:val="bullet"/>
      <w:lvlText w:val=""/>
      <w:lvlJc w:val="left"/>
      <w:pPr>
        <w:ind w:left="1080" w:hanging="360"/>
      </w:pPr>
      <w:rPr>
        <w:rFonts w:ascii="Symbol" w:hAnsi="Symbol"/>
      </w:rPr>
    </w:lvl>
    <w:lvl w:ilvl="1" w:tplc="74DA45C0">
      <w:start w:val="1"/>
      <w:numFmt w:val="bullet"/>
      <w:lvlText w:val=""/>
      <w:lvlJc w:val="left"/>
      <w:pPr>
        <w:ind w:left="1080" w:hanging="360"/>
      </w:pPr>
      <w:rPr>
        <w:rFonts w:ascii="Symbol" w:hAnsi="Symbol"/>
      </w:rPr>
    </w:lvl>
    <w:lvl w:ilvl="2" w:tplc="4A26052C">
      <w:start w:val="1"/>
      <w:numFmt w:val="bullet"/>
      <w:lvlText w:val=""/>
      <w:lvlJc w:val="left"/>
      <w:pPr>
        <w:ind w:left="1080" w:hanging="360"/>
      </w:pPr>
      <w:rPr>
        <w:rFonts w:ascii="Symbol" w:hAnsi="Symbol"/>
      </w:rPr>
    </w:lvl>
    <w:lvl w:ilvl="3" w:tplc="D84212AC">
      <w:start w:val="1"/>
      <w:numFmt w:val="bullet"/>
      <w:lvlText w:val=""/>
      <w:lvlJc w:val="left"/>
      <w:pPr>
        <w:ind w:left="1080" w:hanging="360"/>
      </w:pPr>
      <w:rPr>
        <w:rFonts w:ascii="Symbol" w:hAnsi="Symbol"/>
      </w:rPr>
    </w:lvl>
    <w:lvl w:ilvl="4" w:tplc="9AA2B19A">
      <w:start w:val="1"/>
      <w:numFmt w:val="bullet"/>
      <w:lvlText w:val=""/>
      <w:lvlJc w:val="left"/>
      <w:pPr>
        <w:ind w:left="1080" w:hanging="360"/>
      </w:pPr>
      <w:rPr>
        <w:rFonts w:ascii="Symbol" w:hAnsi="Symbol"/>
      </w:rPr>
    </w:lvl>
    <w:lvl w:ilvl="5" w:tplc="E0A60590">
      <w:start w:val="1"/>
      <w:numFmt w:val="bullet"/>
      <w:lvlText w:val=""/>
      <w:lvlJc w:val="left"/>
      <w:pPr>
        <w:ind w:left="1080" w:hanging="360"/>
      </w:pPr>
      <w:rPr>
        <w:rFonts w:ascii="Symbol" w:hAnsi="Symbol"/>
      </w:rPr>
    </w:lvl>
    <w:lvl w:ilvl="6" w:tplc="B1B4D0C8">
      <w:start w:val="1"/>
      <w:numFmt w:val="bullet"/>
      <w:lvlText w:val=""/>
      <w:lvlJc w:val="left"/>
      <w:pPr>
        <w:ind w:left="1080" w:hanging="360"/>
      </w:pPr>
      <w:rPr>
        <w:rFonts w:ascii="Symbol" w:hAnsi="Symbol"/>
      </w:rPr>
    </w:lvl>
    <w:lvl w:ilvl="7" w:tplc="2E26EF18">
      <w:start w:val="1"/>
      <w:numFmt w:val="bullet"/>
      <w:lvlText w:val=""/>
      <w:lvlJc w:val="left"/>
      <w:pPr>
        <w:ind w:left="1080" w:hanging="360"/>
      </w:pPr>
      <w:rPr>
        <w:rFonts w:ascii="Symbol" w:hAnsi="Symbol"/>
      </w:rPr>
    </w:lvl>
    <w:lvl w:ilvl="8" w:tplc="3522A310">
      <w:start w:val="1"/>
      <w:numFmt w:val="bullet"/>
      <w:lvlText w:val=""/>
      <w:lvlJc w:val="left"/>
      <w:pPr>
        <w:ind w:left="1080" w:hanging="360"/>
      </w:pPr>
      <w:rPr>
        <w:rFonts w:ascii="Symbol" w:hAnsi="Symbol"/>
      </w:rPr>
    </w:lvl>
  </w:abstractNum>
  <w:abstractNum w:abstractNumId="141" w15:restartNumberingAfterBreak="0">
    <w:nsid w:val="78F65811"/>
    <w:multiLevelType w:val="multilevel"/>
    <w:tmpl w:val="3FFAE4D8"/>
    <w:styleLink w:val="CurrentList45"/>
    <w:lvl w:ilvl="0">
      <w:start w:val="1"/>
      <w:numFmt w:val="decimal"/>
      <w:lvlText w:val="%1."/>
      <w:lvlJc w:val="left"/>
      <w:pPr>
        <w:ind w:left="340" w:hanging="34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2" w15:restartNumberingAfterBreak="0">
    <w:nsid w:val="7A8C0DE9"/>
    <w:multiLevelType w:val="hybridMultilevel"/>
    <w:tmpl w:val="E392DFF0"/>
    <w:lvl w:ilvl="0" w:tplc="7CC03F40">
      <w:start w:val="1"/>
      <w:numFmt w:val="lowerLetter"/>
      <w:lvlText w:val="(%1)"/>
      <w:lvlJc w:val="left"/>
      <w:pPr>
        <w:ind w:left="360" w:hanging="360"/>
      </w:pPr>
      <w:rPr>
        <w:rFonts w:asciiTheme="minorHAnsi" w:eastAsia="Times New Roman" w:hAnsiTheme="minorHAnsi" w:cs="Calibri"/>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3" w15:restartNumberingAfterBreak="0">
    <w:nsid w:val="7B3150F7"/>
    <w:multiLevelType w:val="hybridMultilevel"/>
    <w:tmpl w:val="35901BB2"/>
    <w:lvl w:ilvl="0" w:tplc="18090001">
      <w:start w:val="1"/>
      <w:numFmt w:val="bullet"/>
      <w:lvlText w:val=""/>
      <w:lvlJc w:val="left"/>
      <w:pPr>
        <w:ind w:left="1080" w:hanging="360"/>
      </w:pPr>
      <w:rPr>
        <w:rFonts w:ascii="Symbol" w:hAnsi="Symbol" w:hint="default"/>
      </w:rPr>
    </w:lvl>
    <w:lvl w:ilvl="1" w:tplc="14F66A36">
      <w:numFmt w:val="bullet"/>
      <w:lvlText w:val="-"/>
      <w:lvlJc w:val="left"/>
      <w:pPr>
        <w:ind w:left="1800" w:hanging="360"/>
      </w:pPr>
      <w:rPr>
        <w:rFonts w:ascii="Verdana" w:eastAsia="Times New Roman" w:hAnsi="Verdana" w:cs="Times New Roman" w:hint="default"/>
      </w:r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44" w15:restartNumberingAfterBreak="0">
    <w:nsid w:val="7B69476D"/>
    <w:multiLevelType w:val="multilevel"/>
    <w:tmpl w:val="9266B764"/>
    <w:styleLink w:val="CurrentList14"/>
    <w:lvl w:ilvl="0">
      <w:start w:val="1"/>
      <w:numFmt w:val="decimal"/>
      <w:lvlText w:val="%1."/>
      <w:lvlJc w:val="left"/>
      <w:pPr>
        <w:ind w:left="425" w:hanging="567"/>
      </w:pPr>
      <w:rPr>
        <w:rFonts w:hint="default"/>
        <w:color w:val="003399"/>
      </w:rPr>
    </w:lvl>
    <w:lvl w:ilvl="1">
      <w:start w:val="1"/>
      <w:numFmt w:val="decimal"/>
      <w:lvlText w:val="%1.%2."/>
      <w:lvlJc w:val="left"/>
      <w:pPr>
        <w:ind w:left="567" w:hanging="567"/>
      </w:pPr>
      <w:rPr>
        <w:rFonts w:hint="default"/>
        <w:color w:val="003399"/>
      </w:rPr>
    </w:lvl>
    <w:lvl w:ilvl="2">
      <w:start w:val="1"/>
      <w:numFmt w:val="decimal"/>
      <w:lvlText w:val="%1.%2.%3."/>
      <w:lvlJc w:val="left"/>
      <w:pPr>
        <w:ind w:left="850" w:hanging="850"/>
      </w:pPr>
      <w:rPr>
        <w:rFonts w:hint="default"/>
        <w:color w:val="003399"/>
      </w:rPr>
    </w:lvl>
    <w:lvl w:ilvl="3">
      <w:start w:val="1"/>
      <w:numFmt w:val="decimal"/>
      <w:lvlText w:val="%1.%2.%3.%4."/>
      <w:lvlJc w:val="left"/>
      <w:pPr>
        <w:ind w:left="964" w:hanging="964"/>
      </w:pPr>
      <w:rPr>
        <w:rFonts w:ascii="Aptos Light" w:hAnsi="Aptos Light" w:hint="default"/>
        <w:b w:val="0"/>
        <w:bCs w:val="0"/>
        <w:i w:val="0"/>
        <w:iCs w:val="0"/>
        <w:color w:val="134291" w:themeColor="accent1"/>
      </w:rPr>
    </w:lvl>
    <w:lvl w:ilvl="4">
      <w:start w:val="1"/>
      <w:numFmt w:val="decimal"/>
      <w:lvlText w:val="%1.%2.%3.%4.%5."/>
      <w:lvlJc w:val="left"/>
      <w:pPr>
        <w:ind w:left="992" w:hanging="1134"/>
      </w:pPr>
      <w:rPr>
        <w:rFonts w:ascii="Arial" w:hAnsi="Arial" w:hint="default"/>
        <w:color w:val="132D4E" w:themeColor="text2"/>
      </w:rPr>
    </w:lvl>
    <w:lvl w:ilvl="5">
      <w:start w:val="1"/>
      <w:numFmt w:val="decimal"/>
      <w:lvlText w:val="%1.%2.%3.%4.%5."/>
      <w:lvlJc w:val="left"/>
      <w:pPr>
        <w:ind w:left="992" w:hanging="1134"/>
      </w:pPr>
      <w:rPr>
        <w:rFonts w:ascii="Arial" w:hAnsi="Arial" w:hint="default"/>
        <w:color w:val="132D4E" w:themeColor="text2"/>
      </w:rPr>
    </w:lvl>
    <w:lvl w:ilvl="6">
      <w:start w:val="1"/>
      <w:numFmt w:val="decimal"/>
      <w:lvlText w:val="%1.%2.%3.%4.%5."/>
      <w:lvlJc w:val="left"/>
      <w:pPr>
        <w:ind w:left="992" w:hanging="1134"/>
      </w:pPr>
      <w:rPr>
        <w:rFonts w:ascii="Arial" w:hAnsi="Arial" w:hint="default"/>
        <w:color w:val="132D4E" w:themeColor="text2"/>
      </w:rPr>
    </w:lvl>
    <w:lvl w:ilvl="7">
      <w:start w:val="1"/>
      <w:numFmt w:val="decimal"/>
      <w:lvlText w:val="%1.%2.%3.%4.%5."/>
      <w:lvlJc w:val="left"/>
      <w:pPr>
        <w:ind w:left="992" w:hanging="1134"/>
      </w:pPr>
      <w:rPr>
        <w:rFonts w:ascii="Arial" w:hAnsi="Arial" w:hint="default"/>
        <w:color w:val="132D4E" w:themeColor="text2"/>
      </w:rPr>
    </w:lvl>
    <w:lvl w:ilvl="8">
      <w:start w:val="1"/>
      <w:numFmt w:val="decimal"/>
      <w:lvlText w:val="%1.%2.%3.%4.%5."/>
      <w:lvlJc w:val="left"/>
      <w:pPr>
        <w:ind w:left="992" w:hanging="1134"/>
      </w:pPr>
      <w:rPr>
        <w:rFonts w:ascii="Arial" w:hAnsi="Arial" w:hint="default"/>
        <w:color w:val="132D4E" w:themeColor="text2"/>
      </w:rPr>
    </w:lvl>
  </w:abstractNum>
  <w:abstractNum w:abstractNumId="145" w15:restartNumberingAfterBreak="0">
    <w:nsid w:val="7CB20EF3"/>
    <w:multiLevelType w:val="multilevel"/>
    <w:tmpl w:val="182A5090"/>
    <w:styleLink w:val="CurrentList53"/>
    <w:lvl w:ilvl="0">
      <w:start w:val="1"/>
      <w:numFmt w:val="decimal"/>
      <w:lvlText w:val="%1"/>
      <w:lvlJc w:val="left"/>
      <w:pPr>
        <w:ind w:left="360" w:hanging="360"/>
      </w:pPr>
      <w:rPr>
        <w:rFonts w:hint="default"/>
      </w:rPr>
    </w:lvl>
    <w:lvl w:ilvl="1">
      <w:start w:val="1"/>
      <w:numFmt w:val="decimal"/>
      <w:lvlText w:val="%1.%2"/>
      <w:lvlJc w:val="left"/>
      <w:pPr>
        <w:ind w:left="0" w:firstLine="360"/>
      </w:pPr>
      <w:rPr>
        <w:rFonts w:hint="default"/>
      </w:rPr>
    </w:lvl>
    <w:lvl w:ilvl="2">
      <w:start w:val="1"/>
      <w:numFmt w:val="decimal"/>
      <w:lvlText w:val="%3.%1.%2"/>
      <w:lvlJc w:val="left"/>
      <w:pPr>
        <w:ind w:left="0" w:firstLine="720"/>
      </w:pPr>
      <w:rPr>
        <w:rFonts w:hint="default"/>
      </w:rPr>
    </w:lvl>
    <w:lvl w:ilvl="3">
      <w:start w:val="1"/>
      <w:numFmt w:val="none"/>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0638612">
    <w:abstractNumId w:val="2"/>
  </w:num>
  <w:num w:numId="2" w16cid:durableId="1429079950">
    <w:abstractNumId w:val="1"/>
  </w:num>
  <w:num w:numId="3" w16cid:durableId="625238066">
    <w:abstractNumId w:val="0"/>
  </w:num>
  <w:num w:numId="4" w16cid:durableId="668757353">
    <w:abstractNumId w:val="32"/>
  </w:num>
  <w:num w:numId="5" w16cid:durableId="1048726603">
    <w:abstractNumId w:val="66"/>
  </w:num>
  <w:num w:numId="6" w16cid:durableId="626201149">
    <w:abstractNumId w:val="111"/>
  </w:num>
  <w:num w:numId="7" w16cid:durableId="54936816">
    <w:abstractNumId w:val="106"/>
  </w:num>
  <w:num w:numId="8" w16cid:durableId="2016683115">
    <w:abstractNumId w:val="68"/>
  </w:num>
  <w:num w:numId="9" w16cid:durableId="496456331">
    <w:abstractNumId w:val="77"/>
  </w:num>
  <w:num w:numId="10" w16cid:durableId="333798426">
    <w:abstractNumId w:val="100"/>
  </w:num>
  <w:num w:numId="11" w16cid:durableId="520511018">
    <w:abstractNumId w:val="72"/>
  </w:num>
  <w:num w:numId="12" w16cid:durableId="627976222">
    <w:abstractNumId w:val="17"/>
  </w:num>
  <w:num w:numId="13" w16cid:durableId="899629737">
    <w:abstractNumId w:val="25"/>
  </w:num>
  <w:num w:numId="14" w16cid:durableId="503322922">
    <w:abstractNumId w:val="64"/>
  </w:num>
  <w:num w:numId="15" w16cid:durableId="225726462">
    <w:abstractNumId w:val="9"/>
  </w:num>
  <w:num w:numId="16" w16cid:durableId="1682466463">
    <w:abstractNumId w:val="62"/>
  </w:num>
  <w:num w:numId="17" w16cid:durableId="1031809690">
    <w:abstractNumId w:val="110"/>
  </w:num>
  <w:num w:numId="18" w16cid:durableId="1426270478">
    <w:abstractNumId w:val="36"/>
  </w:num>
  <w:num w:numId="19" w16cid:durableId="1446730735">
    <w:abstractNumId w:val="129"/>
  </w:num>
  <w:num w:numId="20" w16cid:durableId="712729837">
    <w:abstractNumId w:val="144"/>
  </w:num>
  <w:num w:numId="21" w16cid:durableId="263421737">
    <w:abstractNumId w:val="99"/>
  </w:num>
  <w:num w:numId="22" w16cid:durableId="1040134678">
    <w:abstractNumId w:val="121"/>
  </w:num>
  <w:num w:numId="23" w16cid:durableId="17588841">
    <w:abstractNumId w:val="122"/>
  </w:num>
  <w:num w:numId="24" w16cid:durableId="1025138701">
    <w:abstractNumId w:val="27"/>
  </w:num>
  <w:num w:numId="25" w16cid:durableId="77869623">
    <w:abstractNumId w:val="93"/>
  </w:num>
  <w:num w:numId="26" w16cid:durableId="1273391534">
    <w:abstractNumId w:val="18"/>
  </w:num>
  <w:num w:numId="27" w16cid:durableId="460461951">
    <w:abstractNumId w:val="91"/>
  </w:num>
  <w:num w:numId="28" w16cid:durableId="885412515">
    <w:abstractNumId w:val="70"/>
  </w:num>
  <w:num w:numId="29" w16cid:durableId="1577518247">
    <w:abstractNumId w:val="69"/>
  </w:num>
  <w:num w:numId="30" w16cid:durableId="1809200056">
    <w:abstractNumId w:val="10"/>
  </w:num>
  <w:num w:numId="31" w16cid:durableId="2113698315">
    <w:abstractNumId w:val="115"/>
  </w:num>
  <w:num w:numId="32" w16cid:durableId="772820009">
    <w:abstractNumId w:val="128"/>
  </w:num>
  <w:num w:numId="33" w16cid:durableId="227300459">
    <w:abstractNumId w:val="21"/>
  </w:num>
  <w:num w:numId="34" w16cid:durableId="1908761174">
    <w:abstractNumId w:val="58"/>
  </w:num>
  <w:num w:numId="35" w16cid:durableId="1571691138">
    <w:abstractNumId w:val="48"/>
  </w:num>
  <w:num w:numId="36" w16cid:durableId="811405017">
    <w:abstractNumId w:val="34"/>
  </w:num>
  <w:num w:numId="37" w16cid:durableId="1196699259">
    <w:abstractNumId w:val="125"/>
  </w:num>
  <w:num w:numId="38" w16cid:durableId="943197553">
    <w:abstractNumId w:val="90"/>
  </w:num>
  <w:num w:numId="39" w16cid:durableId="910693560">
    <w:abstractNumId w:val="88"/>
  </w:num>
  <w:num w:numId="40" w16cid:durableId="968627117">
    <w:abstractNumId w:val="83"/>
  </w:num>
  <w:num w:numId="41" w16cid:durableId="942801778">
    <w:abstractNumId w:val="22"/>
  </w:num>
  <w:num w:numId="42" w16cid:durableId="1153713722">
    <w:abstractNumId w:val="133"/>
  </w:num>
  <w:num w:numId="43" w16cid:durableId="399405115">
    <w:abstractNumId w:val="103"/>
  </w:num>
  <w:num w:numId="44" w16cid:durableId="669990103">
    <w:abstractNumId w:val="123"/>
  </w:num>
  <w:num w:numId="45" w16cid:durableId="321081979">
    <w:abstractNumId w:val="29"/>
  </w:num>
  <w:num w:numId="46" w16cid:durableId="2136439895">
    <w:abstractNumId w:val="89"/>
  </w:num>
  <w:num w:numId="47" w16cid:durableId="247352791">
    <w:abstractNumId w:val="112"/>
  </w:num>
  <w:num w:numId="48" w16cid:durableId="1588684065">
    <w:abstractNumId w:val="104"/>
  </w:num>
  <w:num w:numId="49" w16cid:durableId="135682455">
    <w:abstractNumId w:val="44"/>
  </w:num>
  <w:num w:numId="50" w16cid:durableId="729768520">
    <w:abstractNumId w:val="26"/>
  </w:num>
  <w:num w:numId="51" w16cid:durableId="2024436976">
    <w:abstractNumId w:val="109"/>
  </w:num>
  <w:num w:numId="52" w16cid:durableId="1190099234">
    <w:abstractNumId w:val="60"/>
  </w:num>
  <w:num w:numId="53" w16cid:durableId="963196363">
    <w:abstractNumId w:val="141"/>
  </w:num>
  <w:num w:numId="54" w16cid:durableId="1182354669">
    <w:abstractNumId w:val="30"/>
  </w:num>
  <w:num w:numId="55" w16cid:durableId="1119372405">
    <w:abstractNumId w:val="119"/>
  </w:num>
  <w:num w:numId="56" w16cid:durableId="2130274340">
    <w:abstractNumId w:val="15"/>
  </w:num>
  <w:num w:numId="57" w16cid:durableId="661129709">
    <w:abstractNumId w:val="135"/>
  </w:num>
  <w:num w:numId="58" w16cid:durableId="407926037">
    <w:abstractNumId w:val="95"/>
  </w:num>
  <w:num w:numId="59" w16cid:durableId="88473792">
    <w:abstractNumId w:val="113"/>
  </w:num>
  <w:num w:numId="60" w16cid:durableId="315375299">
    <w:abstractNumId w:val="56"/>
  </w:num>
  <w:num w:numId="61" w16cid:durableId="344482101">
    <w:abstractNumId w:val="131"/>
  </w:num>
  <w:num w:numId="62" w16cid:durableId="178156591">
    <w:abstractNumId w:val="107"/>
  </w:num>
  <w:num w:numId="63" w16cid:durableId="1647052074">
    <w:abstractNumId w:val="145"/>
  </w:num>
  <w:num w:numId="64" w16cid:durableId="1426804007">
    <w:abstractNumId w:val="42"/>
  </w:num>
  <w:num w:numId="65" w16cid:durableId="539781799">
    <w:abstractNumId w:val="130"/>
  </w:num>
  <w:num w:numId="66" w16cid:durableId="1146047085">
    <w:abstractNumId w:val="86"/>
  </w:num>
  <w:num w:numId="67" w16cid:durableId="1671253483">
    <w:abstractNumId w:val="16"/>
  </w:num>
  <w:num w:numId="68" w16cid:durableId="621807495">
    <w:abstractNumId w:val="71"/>
  </w:num>
  <w:num w:numId="69" w16cid:durableId="1233811643">
    <w:abstractNumId w:val="108"/>
  </w:num>
  <w:num w:numId="70" w16cid:durableId="1773891392">
    <w:abstractNumId w:val="132"/>
  </w:num>
  <w:num w:numId="71" w16cid:durableId="1572617831">
    <w:abstractNumId w:val="79"/>
  </w:num>
  <w:num w:numId="72" w16cid:durableId="1520191733">
    <w:abstractNumId w:val="49"/>
  </w:num>
  <w:num w:numId="73" w16cid:durableId="1536036621">
    <w:abstractNumId w:val="51"/>
  </w:num>
  <w:num w:numId="74" w16cid:durableId="673799335">
    <w:abstractNumId w:val="97"/>
  </w:num>
  <w:num w:numId="75" w16cid:durableId="1830754411">
    <w:abstractNumId w:val="59"/>
  </w:num>
  <w:num w:numId="76" w16cid:durableId="1486968672">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360673163">
    <w:abstractNumId w:val="136"/>
  </w:num>
  <w:num w:numId="78" w16cid:durableId="1586957026">
    <w:abstractNumId w:val="78"/>
  </w:num>
  <w:num w:numId="79" w16cid:durableId="808867061">
    <w:abstractNumId w:val="143"/>
  </w:num>
  <w:num w:numId="80" w16cid:durableId="378170079">
    <w:abstractNumId w:val="84"/>
  </w:num>
  <w:num w:numId="81" w16cid:durableId="679820836">
    <w:abstractNumId w:val="24"/>
  </w:num>
  <w:num w:numId="82" w16cid:durableId="1445732075">
    <w:abstractNumId w:val="50"/>
  </w:num>
  <w:num w:numId="83" w16cid:durableId="309527858">
    <w:abstractNumId w:val="126"/>
  </w:num>
  <w:num w:numId="84" w16cid:durableId="1143814361">
    <w:abstractNumId w:val="75"/>
  </w:num>
  <w:num w:numId="85" w16cid:durableId="2043237381">
    <w:abstractNumId w:val="142"/>
  </w:num>
  <w:num w:numId="86" w16cid:durableId="160781018">
    <w:abstractNumId w:val="11"/>
  </w:num>
  <w:num w:numId="87" w16cid:durableId="310990305">
    <w:abstractNumId w:val="139"/>
  </w:num>
  <w:num w:numId="88" w16cid:durableId="1980379252">
    <w:abstractNumId w:val="108"/>
  </w:num>
  <w:num w:numId="89" w16cid:durableId="1408726925">
    <w:abstractNumId w:val="108"/>
  </w:num>
  <w:num w:numId="90" w16cid:durableId="55858677">
    <w:abstractNumId w:val="124"/>
  </w:num>
  <w:num w:numId="91" w16cid:durableId="930043364">
    <w:abstractNumId w:val="63"/>
  </w:num>
  <w:num w:numId="92" w16cid:durableId="3409051">
    <w:abstractNumId w:val="105"/>
  </w:num>
  <w:num w:numId="93" w16cid:durableId="1233661705">
    <w:abstractNumId w:val="57"/>
  </w:num>
  <w:num w:numId="94" w16cid:durableId="1113553799">
    <w:abstractNumId w:val="13"/>
  </w:num>
  <w:num w:numId="95" w16cid:durableId="1254171892">
    <w:abstractNumId w:val="81"/>
  </w:num>
  <w:num w:numId="96" w16cid:durableId="1141576240">
    <w:abstractNumId w:val="98"/>
  </w:num>
  <w:num w:numId="97" w16cid:durableId="2131967672">
    <w:abstractNumId w:val="76"/>
  </w:num>
  <w:num w:numId="98" w16cid:durableId="643897616">
    <w:abstractNumId w:val="55"/>
  </w:num>
  <w:num w:numId="99" w16cid:durableId="888415634">
    <w:abstractNumId w:val="12"/>
  </w:num>
  <w:num w:numId="100" w16cid:durableId="112795894">
    <w:abstractNumId w:val="73"/>
  </w:num>
  <w:num w:numId="101" w16cid:durableId="310335471">
    <w:abstractNumId w:val="108"/>
  </w:num>
  <w:num w:numId="102" w16cid:durableId="528954476">
    <w:abstractNumId w:val="108"/>
  </w:num>
  <w:num w:numId="103" w16cid:durableId="749039835">
    <w:abstractNumId w:val="108"/>
  </w:num>
  <w:num w:numId="104" w16cid:durableId="1565722828">
    <w:abstractNumId w:val="108"/>
  </w:num>
  <w:num w:numId="105" w16cid:durableId="634410758">
    <w:abstractNumId w:val="108"/>
  </w:num>
  <w:num w:numId="106" w16cid:durableId="1727878673">
    <w:abstractNumId w:val="108"/>
  </w:num>
  <w:num w:numId="107" w16cid:durableId="665399665">
    <w:abstractNumId w:val="108"/>
  </w:num>
  <w:num w:numId="108" w16cid:durableId="1476290999">
    <w:abstractNumId w:val="102"/>
  </w:num>
  <w:num w:numId="109" w16cid:durableId="1460608072">
    <w:abstractNumId w:val="14"/>
    <w:lvlOverride w:ilvl="0">
      <w:startOverride w:val="1"/>
    </w:lvlOverride>
  </w:num>
  <w:num w:numId="110" w16cid:durableId="830802557">
    <w:abstractNumId w:val="33"/>
  </w:num>
  <w:num w:numId="111" w16cid:durableId="303197176">
    <w:abstractNumId w:val="117"/>
  </w:num>
  <w:num w:numId="112" w16cid:durableId="1557739537">
    <w:abstractNumId w:val="23"/>
  </w:num>
  <w:num w:numId="113" w16cid:durableId="1144589299">
    <w:abstractNumId w:val="134"/>
  </w:num>
  <w:num w:numId="114" w16cid:durableId="1484194630">
    <w:abstractNumId w:val="6"/>
  </w:num>
  <w:num w:numId="115" w16cid:durableId="1311516615">
    <w:abstractNumId w:val="80"/>
  </w:num>
  <w:num w:numId="116" w16cid:durableId="538513652">
    <w:abstractNumId w:val="39"/>
  </w:num>
  <w:num w:numId="117" w16cid:durableId="874851560">
    <w:abstractNumId w:val="41"/>
  </w:num>
  <w:num w:numId="118" w16cid:durableId="24140801">
    <w:abstractNumId w:val="94"/>
  </w:num>
  <w:num w:numId="119" w16cid:durableId="1080443586">
    <w:abstractNumId w:val="31"/>
  </w:num>
  <w:num w:numId="120" w16cid:durableId="706180362">
    <w:abstractNumId w:val="138"/>
  </w:num>
  <w:num w:numId="121" w16cid:durableId="1486825375">
    <w:abstractNumId w:val="101"/>
  </w:num>
  <w:num w:numId="122" w16cid:durableId="2115856223">
    <w:abstractNumId w:val="137"/>
  </w:num>
  <w:num w:numId="123" w16cid:durableId="1574390116">
    <w:abstractNumId w:val="87"/>
  </w:num>
  <w:num w:numId="124" w16cid:durableId="220023232">
    <w:abstractNumId w:val="140"/>
  </w:num>
  <w:num w:numId="125" w16cid:durableId="1910915808">
    <w:abstractNumId w:val="96"/>
  </w:num>
  <w:num w:numId="126" w16cid:durableId="908878287">
    <w:abstractNumId w:val="5"/>
  </w:num>
  <w:num w:numId="127" w16cid:durableId="492767618">
    <w:abstractNumId w:val="120"/>
  </w:num>
  <w:num w:numId="128" w16cid:durableId="1389916794">
    <w:abstractNumId w:val="3"/>
  </w:num>
  <w:num w:numId="129" w16cid:durableId="76749099">
    <w:abstractNumId w:val="74"/>
  </w:num>
  <w:num w:numId="130" w16cid:durableId="561910118">
    <w:abstractNumId w:val="40"/>
  </w:num>
  <w:num w:numId="131" w16cid:durableId="878131818">
    <w:abstractNumId w:val="67"/>
  </w:num>
  <w:num w:numId="132" w16cid:durableId="509873440">
    <w:abstractNumId w:val="45"/>
  </w:num>
  <w:num w:numId="133" w16cid:durableId="308025365">
    <w:abstractNumId w:val="53"/>
  </w:num>
  <w:num w:numId="134" w16cid:durableId="815682189">
    <w:abstractNumId w:val="127"/>
  </w:num>
  <w:num w:numId="135" w16cid:durableId="1429500279">
    <w:abstractNumId w:val="43"/>
  </w:num>
  <w:num w:numId="136" w16cid:durableId="1826120129">
    <w:abstractNumId w:val="118"/>
  </w:num>
  <w:num w:numId="137" w16cid:durableId="1689142073">
    <w:abstractNumId w:val="35"/>
  </w:num>
  <w:num w:numId="138" w16cid:durableId="317156698">
    <w:abstractNumId w:val="65"/>
  </w:num>
  <w:num w:numId="139" w16cid:durableId="343945001">
    <w:abstractNumId w:val="82"/>
  </w:num>
  <w:num w:numId="140" w16cid:durableId="442382058">
    <w:abstractNumId w:val="37"/>
  </w:num>
  <w:num w:numId="141" w16cid:durableId="281234912">
    <w:abstractNumId w:val="85"/>
  </w:num>
  <w:num w:numId="142" w16cid:durableId="1738211763">
    <w:abstractNumId w:val="61"/>
  </w:num>
  <w:num w:numId="143" w16cid:durableId="1898127653">
    <w:abstractNumId w:val="92"/>
  </w:num>
  <w:num w:numId="144" w16cid:durableId="671882536">
    <w:abstractNumId w:val="8"/>
  </w:num>
  <w:num w:numId="145" w16cid:durableId="762992142">
    <w:abstractNumId w:val="4"/>
  </w:num>
  <w:num w:numId="146" w16cid:durableId="595334487">
    <w:abstractNumId w:val="47"/>
  </w:num>
  <w:num w:numId="147" w16cid:durableId="887377011">
    <w:abstractNumId w:val="46"/>
  </w:num>
  <w:numIdMacAtCleanup w:val="1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ederdorfer Beate">
    <w15:presenceInfo w15:providerId="AD" w15:userId="S::Beate.Niederdorfer@fma.gv.at::4bb59177-2fb1-48dc-8950-ff5fd2b554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AMLA GUIDELINES AND RECOMMENDATIONS TEMPLATE (1)"/>
  </w:docVars>
  <w:rsids>
    <w:rsidRoot w:val="00956920"/>
    <w:rsid w:val="000001CC"/>
    <w:rsid w:val="00000222"/>
    <w:rsid w:val="000004A4"/>
    <w:rsid w:val="00000673"/>
    <w:rsid w:val="00000807"/>
    <w:rsid w:val="0000085A"/>
    <w:rsid w:val="000009E0"/>
    <w:rsid w:val="00000BBF"/>
    <w:rsid w:val="00000C49"/>
    <w:rsid w:val="00000D6B"/>
    <w:rsid w:val="00000DB1"/>
    <w:rsid w:val="00000ED1"/>
    <w:rsid w:val="00000F7D"/>
    <w:rsid w:val="000010CA"/>
    <w:rsid w:val="00001295"/>
    <w:rsid w:val="000014F9"/>
    <w:rsid w:val="000015C6"/>
    <w:rsid w:val="000015F9"/>
    <w:rsid w:val="0000160D"/>
    <w:rsid w:val="000016C5"/>
    <w:rsid w:val="0000171A"/>
    <w:rsid w:val="000019D0"/>
    <w:rsid w:val="00001ADF"/>
    <w:rsid w:val="00001B85"/>
    <w:rsid w:val="00001C18"/>
    <w:rsid w:val="00001C43"/>
    <w:rsid w:val="00001D03"/>
    <w:rsid w:val="00001DCD"/>
    <w:rsid w:val="000021F2"/>
    <w:rsid w:val="000027E7"/>
    <w:rsid w:val="00002AE3"/>
    <w:rsid w:val="00002B81"/>
    <w:rsid w:val="00002CFB"/>
    <w:rsid w:val="00002F02"/>
    <w:rsid w:val="00003055"/>
    <w:rsid w:val="000031FC"/>
    <w:rsid w:val="00003438"/>
    <w:rsid w:val="00003663"/>
    <w:rsid w:val="000036F6"/>
    <w:rsid w:val="000037C4"/>
    <w:rsid w:val="00003CAD"/>
    <w:rsid w:val="00003CD5"/>
    <w:rsid w:val="00003E60"/>
    <w:rsid w:val="00004044"/>
    <w:rsid w:val="0000408E"/>
    <w:rsid w:val="000040B5"/>
    <w:rsid w:val="00004102"/>
    <w:rsid w:val="000047E0"/>
    <w:rsid w:val="00004B87"/>
    <w:rsid w:val="00004EC1"/>
    <w:rsid w:val="00004EEF"/>
    <w:rsid w:val="00004FFF"/>
    <w:rsid w:val="000052CD"/>
    <w:rsid w:val="00005673"/>
    <w:rsid w:val="000056A1"/>
    <w:rsid w:val="000057CD"/>
    <w:rsid w:val="00005845"/>
    <w:rsid w:val="00005D01"/>
    <w:rsid w:val="00005ED4"/>
    <w:rsid w:val="00005F3E"/>
    <w:rsid w:val="000061D9"/>
    <w:rsid w:val="00006485"/>
    <w:rsid w:val="0000655E"/>
    <w:rsid w:val="000066B3"/>
    <w:rsid w:val="00006771"/>
    <w:rsid w:val="00006A61"/>
    <w:rsid w:val="00006C23"/>
    <w:rsid w:val="00006DA0"/>
    <w:rsid w:val="00006EBC"/>
    <w:rsid w:val="00007019"/>
    <w:rsid w:val="000070FD"/>
    <w:rsid w:val="00007123"/>
    <w:rsid w:val="0000743E"/>
    <w:rsid w:val="00007549"/>
    <w:rsid w:val="0000755D"/>
    <w:rsid w:val="0000777A"/>
    <w:rsid w:val="0000781D"/>
    <w:rsid w:val="00007A7B"/>
    <w:rsid w:val="000101EF"/>
    <w:rsid w:val="000103BA"/>
    <w:rsid w:val="000103BE"/>
    <w:rsid w:val="0001045F"/>
    <w:rsid w:val="000104D9"/>
    <w:rsid w:val="00010604"/>
    <w:rsid w:val="00010614"/>
    <w:rsid w:val="00010726"/>
    <w:rsid w:val="000108AA"/>
    <w:rsid w:val="000108DE"/>
    <w:rsid w:val="00010992"/>
    <w:rsid w:val="000109B1"/>
    <w:rsid w:val="00010BCD"/>
    <w:rsid w:val="00010D6C"/>
    <w:rsid w:val="0001125E"/>
    <w:rsid w:val="00011499"/>
    <w:rsid w:val="0001152A"/>
    <w:rsid w:val="000115CC"/>
    <w:rsid w:val="0001168E"/>
    <w:rsid w:val="00011855"/>
    <w:rsid w:val="00011B95"/>
    <w:rsid w:val="00011DE0"/>
    <w:rsid w:val="00011E53"/>
    <w:rsid w:val="000120C9"/>
    <w:rsid w:val="00012143"/>
    <w:rsid w:val="00012213"/>
    <w:rsid w:val="00012236"/>
    <w:rsid w:val="0001225B"/>
    <w:rsid w:val="00012280"/>
    <w:rsid w:val="00012305"/>
    <w:rsid w:val="000125A4"/>
    <w:rsid w:val="00012760"/>
    <w:rsid w:val="0001287B"/>
    <w:rsid w:val="0001294C"/>
    <w:rsid w:val="000129D5"/>
    <w:rsid w:val="000129DA"/>
    <w:rsid w:val="000129F0"/>
    <w:rsid w:val="00012D89"/>
    <w:rsid w:val="00012E97"/>
    <w:rsid w:val="00012FE1"/>
    <w:rsid w:val="0001303B"/>
    <w:rsid w:val="000131CF"/>
    <w:rsid w:val="0001327D"/>
    <w:rsid w:val="0001337C"/>
    <w:rsid w:val="000133AD"/>
    <w:rsid w:val="00013416"/>
    <w:rsid w:val="000136AE"/>
    <w:rsid w:val="00013B1C"/>
    <w:rsid w:val="00013C9C"/>
    <w:rsid w:val="00013D0F"/>
    <w:rsid w:val="00013D3D"/>
    <w:rsid w:val="00013E0F"/>
    <w:rsid w:val="0001409A"/>
    <w:rsid w:val="000140B9"/>
    <w:rsid w:val="00014196"/>
    <w:rsid w:val="00014199"/>
    <w:rsid w:val="000145DB"/>
    <w:rsid w:val="0001469F"/>
    <w:rsid w:val="00014B6B"/>
    <w:rsid w:val="00014B70"/>
    <w:rsid w:val="00014B9B"/>
    <w:rsid w:val="00014BD6"/>
    <w:rsid w:val="00014C99"/>
    <w:rsid w:val="00014F26"/>
    <w:rsid w:val="000150D2"/>
    <w:rsid w:val="00015737"/>
    <w:rsid w:val="000157F0"/>
    <w:rsid w:val="000157F5"/>
    <w:rsid w:val="00015883"/>
    <w:rsid w:val="00015B6E"/>
    <w:rsid w:val="00015BAD"/>
    <w:rsid w:val="00015EC1"/>
    <w:rsid w:val="000162C5"/>
    <w:rsid w:val="00016335"/>
    <w:rsid w:val="000163BB"/>
    <w:rsid w:val="0001648D"/>
    <w:rsid w:val="000164F0"/>
    <w:rsid w:val="0001656F"/>
    <w:rsid w:val="0001681B"/>
    <w:rsid w:val="000169F9"/>
    <w:rsid w:val="00016B42"/>
    <w:rsid w:val="00016EA7"/>
    <w:rsid w:val="0001706A"/>
    <w:rsid w:val="0001708E"/>
    <w:rsid w:val="000170C2"/>
    <w:rsid w:val="000173A7"/>
    <w:rsid w:val="00017738"/>
    <w:rsid w:val="000177C9"/>
    <w:rsid w:val="00017A7A"/>
    <w:rsid w:val="00017AC1"/>
    <w:rsid w:val="00017B9D"/>
    <w:rsid w:val="00017EDD"/>
    <w:rsid w:val="000202F5"/>
    <w:rsid w:val="00020307"/>
    <w:rsid w:val="00020317"/>
    <w:rsid w:val="00020433"/>
    <w:rsid w:val="0002047D"/>
    <w:rsid w:val="000205BD"/>
    <w:rsid w:val="000207F4"/>
    <w:rsid w:val="00020A05"/>
    <w:rsid w:val="00020DE9"/>
    <w:rsid w:val="00020F70"/>
    <w:rsid w:val="000211CC"/>
    <w:rsid w:val="000211DD"/>
    <w:rsid w:val="00021216"/>
    <w:rsid w:val="000212C9"/>
    <w:rsid w:val="00021393"/>
    <w:rsid w:val="000213B2"/>
    <w:rsid w:val="000215D3"/>
    <w:rsid w:val="0002173B"/>
    <w:rsid w:val="0002181C"/>
    <w:rsid w:val="000219BE"/>
    <w:rsid w:val="00021AF3"/>
    <w:rsid w:val="00021CEC"/>
    <w:rsid w:val="00021E0D"/>
    <w:rsid w:val="00021E24"/>
    <w:rsid w:val="00021F34"/>
    <w:rsid w:val="0002206A"/>
    <w:rsid w:val="00022133"/>
    <w:rsid w:val="0002221F"/>
    <w:rsid w:val="00022220"/>
    <w:rsid w:val="00022250"/>
    <w:rsid w:val="00022272"/>
    <w:rsid w:val="000222A5"/>
    <w:rsid w:val="000224D3"/>
    <w:rsid w:val="000225A5"/>
    <w:rsid w:val="00022889"/>
    <w:rsid w:val="00022AD8"/>
    <w:rsid w:val="00022BB8"/>
    <w:rsid w:val="00022C8F"/>
    <w:rsid w:val="00022ECC"/>
    <w:rsid w:val="00022FF4"/>
    <w:rsid w:val="000231BF"/>
    <w:rsid w:val="00023362"/>
    <w:rsid w:val="00023635"/>
    <w:rsid w:val="000238E3"/>
    <w:rsid w:val="00023BA5"/>
    <w:rsid w:val="00023C9F"/>
    <w:rsid w:val="00023D85"/>
    <w:rsid w:val="00023EE7"/>
    <w:rsid w:val="0002406C"/>
    <w:rsid w:val="000242A6"/>
    <w:rsid w:val="0002437F"/>
    <w:rsid w:val="000244A8"/>
    <w:rsid w:val="000244F3"/>
    <w:rsid w:val="000247D5"/>
    <w:rsid w:val="00024890"/>
    <w:rsid w:val="000249A6"/>
    <w:rsid w:val="00024D9C"/>
    <w:rsid w:val="00024F88"/>
    <w:rsid w:val="00024FA5"/>
    <w:rsid w:val="0002505A"/>
    <w:rsid w:val="0002550A"/>
    <w:rsid w:val="000255EA"/>
    <w:rsid w:val="0002570D"/>
    <w:rsid w:val="00025720"/>
    <w:rsid w:val="0002578C"/>
    <w:rsid w:val="000257BE"/>
    <w:rsid w:val="000258AD"/>
    <w:rsid w:val="00025BCC"/>
    <w:rsid w:val="00025CC4"/>
    <w:rsid w:val="00025EA5"/>
    <w:rsid w:val="00025F43"/>
    <w:rsid w:val="00026013"/>
    <w:rsid w:val="0002624F"/>
    <w:rsid w:val="0002648C"/>
    <w:rsid w:val="0002653A"/>
    <w:rsid w:val="0002657B"/>
    <w:rsid w:val="000266B1"/>
    <w:rsid w:val="000268B1"/>
    <w:rsid w:val="00026D31"/>
    <w:rsid w:val="00026E02"/>
    <w:rsid w:val="00027069"/>
    <w:rsid w:val="00027104"/>
    <w:rsid w:val="0002716B"/>
    <w:rsid w:val="00027223"/>
    <w:rsid w:val="00027266"/>
    <w:rsid w:val="00027417"/>
    <w:rsid w:val="000274EC"/>
    <w:rsid w:val="00027618"/>
    <w:rsid w:val="00027626"/>
    <w:rsid w:val="0002770B"/>
    <w:rsid w:val="00027719"/>
    <w:rsid w:val="000278CA"/>
    <w:rsid w:val="00027BF1"/>
    <w:rsid w:val="00027FA2"/>
    <w:rsid w:val="00027FC6"/>
    <w:rsid w:val="00030165"/>
    <w:rsid w:val="000302E2"/>
    <w:rsid w:val="000302E5"/>
    <w:rsid w:val="0003037D"/>
    <w:rsid w:val="000303BA"/>
    <w:rsid w:val="0003057E"/>
    <w:rsid w:val="000307F6"/>
    <w:rsid w:val="00030A0B"/>
    <w:rsid w:val="00030AD9"/>
    <w:rsid w:val="00030AF9"/>
    <w:rsid w:val="00030CFB"/>
    <w:rsid w:val="00030E88"/>
    <w:rsid w:val="00030F5C"/>
    <w:rsid w:val="00031229"/>
    <w:rsid w:val="00031350"/>
    <w:rsid w:val="00031422"/>
    <w:rsid w:val="000315A2"/>
    <w:rsid w:val="000319DB"/>
    <w:rsid w:val="00031AE2"/>
    <w:rsid w:val="00031DA2"/>
    <w:rsid w:val="000321A8"/>
    <w:rsid w:val="00032262"/>
    <w:rsid w:val="0003239E"/>
    <w:rsid w:val="00032495"/>
    <w:rsid w:val="000324F9"/>
    <w:rsid w:val="0003258E"/>
    <w:rsid w:val="000326F7"/>
    <w:rsid w:val="00032711"/>
    <w:rsid w:val="0003278B"/>
    <w:rsid w:val="000327C6"/>
    <w:rsid w:val="000327E6"/>
    <w:rsid w:val="0003280C"/>
    <w:rsid w:val="0003295F"/>
    <w:rsid w:val="000329A9"/>
    <w:rsid w:val="000329F9"/>
    <w:rsid w:val="00032A99"/>
    <w:rsid w:val="00032A9A"/>
    <w:rsid w:val="00032CCA"/>
    <w:rsid w:val="00032E6A"/>
    <w:rsid w:val="00032E95"/>
    <w:rsid w:val="000330A3"/>
    <w:rsid w:val="00033409"/>
    <w:rsid w:val="00033620"/>
    <w:rsid w:val="000336A2"/>
    <w:rsid w:val="0003371D"/>
    <w:rsid w:val="0003384C"/>
    <w:rsid w:val="00033965"/>
    <w:rsid w:val="00033C8B"/>
    <w:rsid w:val="00034034"/>
    <w:rsid w:val="00034128"/>
    <w:rsid w:val="0003429F"/>
    <w:rsid w:val="000342A0"/>
    <w:rsid w:val="00034529"/>
    <w:rsid w:val="000346AF"/>
    <w:rsid w:val="00034799"/>
    <w:rsid w:val="00034CF6"/>
    <w:rsid w:val="00034D68"/>
    <w:rsid w:val="00034DF9"/>
    <w:rsid w:val="00034E62"/>
    <w:rsid w:val="00034E76"/>
    <w:rsid w:val="00034EBC"/>
    <w:rsid w:val="00034FB0"/>
    <w:rsid w:val="000350B9"/>
    <w:rsid w:val="0003518E"/>
    <w:rsid w:val="0003519A"/>
    <w:rsid w:val="000351E7"/>
    <w:rsid w:val="00035296"/>
    <w:rsid w:val="000353E7"/>
    <w:rsid w:val="00035517"/>
    <w:rsid w:val="00035538"/>
    <w:rsid w:val="0003568B"/>
    <w:rsid w:val="000359E1"/>
    <w:rsid w:val="00035B36"/>
    <w:rsid w:val="00035B5F"/>
    <w:rsid w:val="00035F2F"/>
    <w:rsid w:val="00036476"/>
    <w:rsid w:val="000364F0"/>
    <w:rsid w:val="0003654D"/>
    <w:rsid w:val="000367F7"/>
    <w:rsid w:val="00036C87"/>
    <w:rsid w:val="00036EB5"/>
    <w:rsid w:val="00036EDC"/>
    <w:rsid w:val="00036EE3"/>
    <w:rsid w:val="00036FA2"/>
    <w:rsid w:val="000370CA"/>
    <w:rsid w:val="00037104"/>
    <w:rsid w:val="000372C2"/>
    <w:rsid w:val="000373BE"/>
    <w:rsid w:val="00037402"/>
    <w:rsid w:val="00037807"/>
    <w:rsid w:val="000379AD"/>
    <w:rsid w:val="00037A53"/>
    <w:rsid w:val="00037AEC"/>
    <w:rsid w:val="00037E17"/>
    <w:rsid w:val="00040044"/>
    <w:rsid w:val="00040070"/>
    <w:rsid w:val="00040336"/>
    <w:rsid w:val="00040636"/>
    <w:rsid w:val="000406FD"/>
    <w:rsid w:val="000407D8"/>
    <w:rsid w:val="00040914"/>
    <w:rsid w:val="00040A0E"/>
    <w:rsid w:val="00040A55"/>
    <w:rsid w:val="00040BB2"/>
    <w:rsid w:val="00040DF4"/>
    <w:rsid w:val="00040F54"/>
    <w:rsid w:val="000410B8"/>
    <w:rsid w:val="000411DA"/>
    <w:rsid w:val="00041351"/>
    <w:rsid w:val="000413AE"/>
    <w:rsid w:val="00041576"/>
    <w:rsid w:val="000415FA"/>
    <w:rsid w:val="00041664"/>
    <w:rsid w:val="00041A95"/>
    <w:rsid w:val="00041CA2"/>
    <w:rsid w:val="00041D1A"/>
    <w:rsid w:val="00042028"/>
    <w:rsid w:val="00042073"/>
    <w:rsid w:val="0004216D"/>
    <w:rsid w:val="000421A2"/>
    <w:rsid w:val="000421E8"/>
    <w:rsid w:val="00042741"/>
    <w:rsid w:val="00042A53"/>
    <w:rsid w:val="00042B85"/>
    <w:rsid w:val="00042D56"/>
    <w:rsid w:val="00042DE5"/>
    <w:rsid w:val="00042F18"/>
    <w:rsid w:val="00042F61"/>
    <w:rsid w:val="00042FD6"/>
    <w:rsid w:val="00043008"/>
    <w:rsid w:val="0004322B"/>
    <w:rsid w:val="00043531"/>
    <w:rsid w:val="00043553"/>
    <w:rsid w:val="00043617"/>
    <w:rsid w:val="00043801"/>
    <w:rsid w:val="00043AE0"/>
    <w:rsid w:val="00043C22"/>
    <w:rsid w:val="00043D3D"/>
    <w:rsid w:val="00043DA1"/>
    <w:rsid w:val="00043DB5"/>
    <w:rsid w:val="00043DEB"/>
    <w:rsid w:val="00043E31"/>
    <w:rsid w:val="00043ED5"/>
    <w:rsid w:val="00043EF7"/>
    <w:rsid w:val="00043F0B"/>
    <w:rsid w:val="000440A1"/>
    <w:rsid w:val="000440E7"/>
    <w:rsid w:val="00044167"/>
    <w:rsid w:val="000442C9"/>
    <w:rsid w:val="00044479"/>
    <w:rsid w:val="000445D9"/>
    <w:rsid w:val="00044662"/>
    <w:rsid w:val="000447C3"/>
    <w:rsid w:val="00044A47"/>
    <w:rsid w:val="00044ABC"/>
    <w:rsid w:val="00044AC4"/>
    <w:rsid w:val="00044B34"/>
    <w:rsid w:val="00044EB5"/>
    <w:rsid w:val="00044F8D"/>
    <w:rsid w:val="00044FE5"/>
    <w:rsid w:val="00045092"/>
    <w:rsid w:val="000451D2"/>
    <w:rsid w:val="000452F0"/>
    <w:rsid w:val="00045304"/>
    <w:rsid w:val="00045453"/>
    <w:rsid w:val="0004545E"/>
    <w:rsid w:val="00045544"/>
    <w:rsid w:val="00045686"/>
    <w:rsid w:val="0004579C"/>
    <w:rsid w:val="00045A4F"/>
    <w:rsid w:val="00045ADE"/>
    <w:rsid w:val="00045B76"/>
    <w:rsid w:val="00045C89"/>
    <w:rsid w:val="00045E19"/>
    <w:rsid w:val="00045E2A"/>
    <w:rsid w:val="00046047"/>
    <w:rsid w:val="000461C4"/>
    <w:rsid w:val="0004658F"/>
    <w:rsid w:val="00046726"/>
    <w:rsid w:val="00046A17"/>
    <w:rsid w:val="00046D31"/>
    <w:rsid w:val="00046DCB"/>
    <w:rsid w:val="00046E50"/>
    <w:rsid w:val="00046F49"/>
    <w:rsid w:val="0004703B"/>
    <w:rsid w:val="00047410"/>
    <w:rsid w:val="00047500"/>
    <w:rsid w:val="000476C8"/>
    <w:rsid w:val="000477E2"/>
    <w:rsid w:val="00047933"/>
    <w:rsid w:val="00047ACE"/>
    <w:rsid w:val="00047E4C"/>
    <w:rsid w:val="00047E4D"/>
    <w:rsid w:val="00047EE0"/>
    <w:rsid w:val="00047FA1"/>
    <w:rsid w:val="00047FA7"/>
    <w:rsid w:val="000500D7"/>
    <w:rsid w:val="000501CD"/>
    <w:rsid w:val="00050C48"/>
    <w:rsid w:val="00050C7C"/>
    <w:rsid w:val="00050CD3"/>
    <w:rsid w:val="00050E4A"/>
    <w:rsid w:val="00051239"/>
    <w:rsid w:val="000512E2"/>
    <w:rsid w:val="000513BC"/>
    <w:rsid w:val="00051444"/>
    <w:rsid w:val="000514F4"/>
    <w:rsid w:val="000516EB"/>
    <w:rsid w:val="000517CB"/>
    <w:rsid w:val="000518CB"/>
    <w:rsid w:val="0005192A"/>
    <w:rsid w:val="000519FA"/>
    <w:rsid w:val="00051A46"/>
    <w:rsid w:val="00051B33"/>
    <w:rsid w:val="00051C52"/>
    <w:rsid w:val="00051C9C"/>
    <w:rsid w:val="00051CC4"/>
    <w:rsid w:val="00051DC6"/>
    <w:rsid w:val="00051F4C"/>
    <w:rsid w:val="000520A4"/>
    <w:rsid w:val="00052147"/>
    <w:rsid w:val="0005240B"/>
    <w:rsid w:val="00052456"/>
    <w:rsid w:val="00052948"/>
    <w:rsid w:val="0005295E"/>
    <w:rsid w:val="00052B63"/>
    <w:rsid w:val="0005305C"/>
    <w:rsid w:val="0005319F"/>
    <w:rsid w:val="00053295"/>
    <w:rsid w:val="00053458"/>
    <w:rsid w:val="0005346C"/>
    <w:rsid w:val="000534EB"/>
    <w:rsid w:val="0005362D"/>
    <w:rsid w:val="000537CE"/>
    <w:rsid w:val="0005396A"/>
    <w:rsid w:val="00053D79"/>
    <w:rsid w:val="000545E3"/>
    <w:rsid w:val="000546AE"/>
    <w:rsid w:val="000546DD"/>
    <w:rsid w:val="000546FB"/>
    <w:rsid w:val="00054818"/>
    <w:rsid w:val="000549C7"/>
    <w:rsid w:val="00054A18"/>
    <w:rsid w:val="00054BB3"/>
    <w:rsid w:val="00054C1E"/>
    <w:rsid w:val="00054EC2"/>
    <w:rsid w:val="000550D9"/>
    <w:rsid w:val="0005532A"/>
    <w:rsid w:val="0005535C"/>
    <w:rsid w:val="00055942"/>
    <w:rsid w:val="00055BB4"/>
    <w:rsid w:val="00055C83"/>
    <w:rsid w:val="00055CE9"/>
    <w:rsid w:val="00055D6F"/>
    <w:rsid w:val="00055E65"/>
    <w:rsid w:val="00055EFF"/>
    <w:rsid w:val="00056085"/>
    <w:rsid w:val="00056188"/>
    <w:rsid w:val="00056336"/>
    <w:rsid w:val="00056354"/>
    <w:rsid w:val="000563D3"/>
    <w:rsid w:val="00056400"/>
    <w:rsid w:val="000564F5"/>
    <w:rsid w:val="00056536"/>
    <w:rsid w:val="0005659A"/>
    <w:rsid w:val="00056895"/>
    <w:rsid w:val="000569C2"/>
    <w:rsid w:val="00056CA0"/>
    <w:rsid w:val="00056D94"/>
    <w:rsid w:val="00056DE0"/>
    <w:rsid w:val="00056F2F"/>
    <w:rsid w:val="0005718E"/>
    <w:rsid w:val="000571F2"/>
    <w:rsid w:val="00057347"/>
    <w:rsid w:val="000575D7"/>
    <w:rsid w:val="000575E9"/>
    <w:rsid w:val="00057772"/>
    <w:rsid w:val="000577A7"/>
    <w:rsid w:val="00057905"/>
    <w:rsid w:val="00057927"/>
    <w:rsid w:val="00057ADF"/>
    <w:rsid w:val="00057C95"/>
    <w:rsid w:val="00057D3E"/>
    <w:rsid w:val="00057E2F"/>
    <w:rsid w:val="00057EC3"/>
    <w:rsid w:val="00057F73"/>
    <w:rsid w:val="00057F83"/>
    <w:rsid w:val="0006008F"/>
    <w:rsid w:val="000602B2"/>
    <w:rsid w:val="000602BE"/>
    <w:rsid w:val="0006043F"/>
    <w:rsid w:val="000606EB"/>
    <w:rsid w:val="00060752"/>
    <w:rsid w:val="00060798"/>
    <w:rsid w:val="00060871"/>
    <w:rsid w:val="0006096E"/>
    <w:rsid w:val="000609A2"/>
    <w:rsid w:val="00060C8E"/>
    <w:rsid w:val="00060E7B"/>
    <w:rsid w:val="00060F2F"/>
    <w:rsid w:val="00061158"/>
    <w:rsid w:val="0006142E"/>
    <w:rsid w:val="00061489"/>
    <w:rsid w:val="00061624"/>
    <w:rsid w:val="0006193F"/>
    <w:rsid w:val="00061AAE"/>
    <w:rsid w:val="00061B22"/>
    <w:rsid w:val="00061CB7"/>
    <w:rsid w:val="00061CBA"/>
    <w:rsid w:val="00061E4C"/>
    <w:rsid w:val="00061E7B"/>
    <w:rsid w:val="00061F31"/>
    <w:rsid w:val="00061FA4"/>
    <w:rsid w:val="00062120"/>
    <w:rsid w:val="0006230C"/>
    <w:rsid w:val="00062466"/>
    <w:rsid w:val="0006250B"/>
    <w:rsid w:val="00062611"/>
    <w:rsid w:val="0006269A"/>
    <w:rsid w:val="00062777"/>
    <w:rsid w:val="000627F9"/>
    <w:rsid w:val="0006295A"/>
    <w:rsid w:val="0006296F"/>
    <w:rsid w:val="00062A00"/>
    <w:rsid w:val="00062BA7"/>
    <w:rsid w:val="00062C12"/>
    <w:rsid w:val="00062C75"/>
    <w:rsid w:val="00062FC6"/>
    <w:rsid w:val="00062FDA"/>
    <w:rsid w:val="00063137"/>
    <w:rsid w:val="000633BA"/>
    <w:rsid w:val="000633EB"/>
    <w:rsid w:val="0006380B"/>
    <w:rsid w:val="00063B83"/>
    <w:rsid w:val="00063C7E"/>
    <w:rsid w:val="00063F06"/>
    <w:rsid w:val="00063F0F"/>
    <w:rsid w:val="0006412E"/>
    <w:rsid w:val="0006457A"/>
    <w:rsid w:val="0006464F"/>
    <w:rsid w:val="0006475F"/>
    <w:rsid w:val="00064872"/>
    <w:rsid w:val="000649E6"/>
    <w:rsid w:val="00064A16"/>
    <w:rsid w:val="00064AA3"/>
    <w:rsid w:val="00064F43"/>
    <w:rsid w:val="00064FB6"/>
    <w:rsid w:val="00064FCF"/>
    <w:rsid w:val="0006517F"/>
    <w:rsid w:val="0006547D"/>
    <w:rsid w:val="0006556E"/>
    <w:rsid w:val="000658CB"/>
    <w:rsid w:val="00065A1B"/>
    <w:rsid w:val="00065A4D"/>
    <w:rsid w:val="00065B63"/>
    <w:rsid w:val="00065BB2"/>
    <w:rsid w:val="00065EA1"/>
    <w:rsid w:val="00065EEE"/>
    <w:rsid w:val="00065F77"/>
    <w:rsid w:val="00065F7A"/>
    <w:rsid w:val="00065FC1"/>
    <w:rsid w:val="00066051"/>
    <w:rsid w:val="00066176"/>
    <w:rsid w:val="000662C8"/>
    <w:rsid w:val="00066557"/>
    <w:rsid w:val="0006657C"/>
    <w:rsid w:val="00066A39"/>
    <w:rsid w:val="00066C3C"/>
    <w:rsid w:val="00066F19"/>
    <w:rsid w:val="0006732A"/>
    <w:rsid w:val="0006757F"/>
    <w:rsid w:val="000676D2"/>
    <w:rsid w:val="0006774D"/>
    <w:rsid w:val="0006783A"/>
    <w:rsid w:val="00067A14"/>
    <w:rsid w:val="00067B98"/>
    <w:rsid w:val="00067CEC"/>
    <w:rsid w:val="00067D11"/>
    <w:rsid w:val="00067D12"/>
    <w:rsid w:val="00067FD7"/>
    <w:rsid w:val="00070221"/>
    <w:rsid w:val="0007027C"/>
    <w:rsid w:val="00070305"/>
    <w:rsid w:val="00070357"/>
    <w:rsid w:val="00070396"/>
    <w:rsid w:val="00070754"/>
    <w:rsid w:val="0007088A"/>
    <w:rsid w:val="00070949"/>
    <w:rsid w:val="00070A8D"/>
    <w:rsid w:val="00070DD4"/>
    <w:rsid w:val="0007103F"/>
    <w:rsid w:val="000710E6"/>
    <w:rsid w:val="00071560"/>
    <w:rsid w:val="000716D2"/>
    <w:rsid w:val="00071B43"/>
    <w:rsid w:val="00071CBE"/>
    <w:rsid w:val="00071D93"/>
    <w:rsid w:val="000720A5"/>
    <w:rsid w:val="00072454"/>
    <w:rsid w:val="0007245A"/>
    <w:rsid w:val="000724F8"/>
    <w:rsid w:val="000725E9"/>
    <w:rsid w:val="00072747"/>
    <w:rsid w:val="000727A5"/>
    <w:rsid w:val="00072A2C"/>
    <w:rsid w:val="00072D0B"/>
    <w:rsid w:val="00072F4D"/>
    <w:rsid w:val="000730F5"/>
    <w:rsid w:val="000733D9"/>
    <w:rsid w:val="000734E4"/>
    <w:rsid w:val="00073BC0"/>
    <w:rsid w:val="00073CF3"/>
    <w:rsid w:val="00073D01"/>
    <w:rsid w:val="00073E21"/>
    <w:rsid w:val="00073F12"/>
    <w:rsid w:val="00074123"/>
    <w:rsid w:val="0007419A"/>
    <w:rsid w:val="000741A3"/>
    <w:rsid w:val="000744CD"/>
    <w:rsid w:val="000744F6"/>
    <w:rsid w:val="0007454A"/>
    <w:rsid w:val="000747EB"/>
    <w:rsid w:val="00074862"/>
    <w:rsid w:val="000749BB"/>
    <w:rsid w:val="00074B2A"/>
    <w:rsid w:val="00074CF7"/>
    <w:rsid w:val="00074D59"/>
    <w:rsid w:val="00074DC6"/>
    <w:rsid w:val="00074FCA"/>
    <w:rsid w:val="00075422"/>
    <w:rsid w:val="000754EE"/>
    <w:rsid w:val="00075616"/>
    <w:rsid w:val="00075758"/>
    <w:rsid w:val="00075856"/>
    <w:rsid w:val="00075861"/>
    <w:rsid w:val="00075902"/>
    <w:rsid w:val="00075A8D"/>
    <w:rsid w:val="00075BA8"/>
    <w:rsid w:val="00075BDA"/>
    <w:rsid w:val="00075BE5"/>
    <w:rsid w:val="00075C39"/>
    <w:rsid w:val="00075CB7"/>
    <w:rsid w:val="000761F7"/>
    <w:rsid w:val="00076732"/>
    <w:rsid w:val="00076887"/>
    <w:rsid w:val="000768C9"/>
    <w:rsid w:val="0007695B"/>
    <w:rsid w:val="00076E81"/>
    <w:rsid w:val="00076EF3"/>
    <w:rsid w:val="000771C3"/>
    <w:rsid w:val="00077239"/>
    <w:rsid w:val="00077283"/>
    <w:rsid w:val="000772FA"/>
    <w:rsid w:val="000774D8"/>
    <w:rsid w:val="0007753B"/>
    <w:rsid w:val="000776D7"/>
    <w:rsid w:val="0007777C"/>
    <w:rsid w:val="000777F7"/>
    <w:rsid w:val="0007783A"/>
    <w:rsid w:val="00077939"/>
    <w:rsid w:val="00077949"/>
    <w:rsid w:val="0007795C"/>
    <w:rsid w:val="00077A48"/>
    <w:rsid w:val="00077BEE"/>
    <w:rsid w:val="00077C65"/>
    <w:rsid w:val="00080040"/>
    <w:rsid w:val="00080232"/>
    <w:rsid w:val="00080396"/>
    <w:rsid w:val="000803AD"/>
    <w:rsid w:val="000803C9"/>
    <w:rsid w:val="0008042E"/>
    <w:rsid w:val="00080506"/>
    <w:rsid w:val="000805DA"/>
    <w:rsid w:val="000809FF"/>
    <w:rsid w:val="00080B0F"/>
    <w:rsid w:val="00080C22"/>
    <w:rsid w:val="00080D23"/>
    <w:rsid w:val="00080F62"/>
    <w:rsid w:val="0008100B"/>
    <w:rsid w:val="000813A4"/>
    <w:rsid w:val="00081583"/>
    <w:rsid w:val="000815D6"/>
    <w:rsid w:val="00081800"/>
    <w:rsid w:val="00081912"/>
    <w:rsid w:val="00081961"/>
    <w:rsid w:val="0008198F"/>
    <w:rsid w:val="00081C59"/>
    <w:rsid w:val="000820F5"/>
    <w:rsid w:val="00082114"/>
    <w:rsid w:val="00082205"/>
    <w:rsid w:val="000829C5"/>
    <w:rsid w:val="00082D6F"/>
    <w:rsid w:val="000832E0"/>
    <w:rsid w:val="000833A9"/>
    <w:rsid w:val="000835B5"/>
    <w:rsid w:val="0008360B"/>
    <w:rsid w:val="0008364D"/>
    <w:rsid w:val="00083667"/>
    <w:rsid w:val="000836B6"/>
    <w:rsid w:val="000838A8"/>
    <w:rsid w:val="000838E8"/>
    <w:rsid w:val="00083A38"/>
    <w:rsid w:val="00083A8D"/>
    <w:rsid w:val="00083BCB"/>
    <w:rsid w:val="00083C4C"/>
    <w:rsid w:val="00084002"/>
    <w:rsid w:val="00084035"/>
    <w:rsid w:val="000841D8"/>
    <w:rsid w:val="0008420D"/>
    <w:rsid w:val="00084225"/>
    <w:rsid w:val="00084365"/>
    <w:rsid w:val="0008438F"/>
    <w:rsid w:val="0008455F"/>
    <w:rsid w:val="000848C4"/>
    <w:rsid w:val="000849EE"/>
    <w:rsid w:val="00084AC4"/>
    <w:rsid w:val="00084B10"/>
    <w:rsid w:val="00084B1B"/>
    <w:rsid w:val="00084C0D"/>
    <w:rsid w:val="00084E48"/>
    <w:rsid w:val="00084F80"/>
    <w:rsid w:val="00084FC6"/>
    <w:rsid w:val="000851DA"/>
    <w:rsid w:val="00085287"/>
    <w:rsid w:val="0008536F"/>
    <w:rsid w:val="000853A5"/>
    <w:rsid w:val="000853CA"/>
    <w:rsid w:val="0008547B"/>
    <w:rsid w:val="000855FD"/>
    <w:rsid w:val="000856B9"/>
    <w:rsid w:val="00085721"/>
    <w:rsid w:val="000857F3"/>
    <w:rsid w:val="00085A17"/>
    <w:rsid w:val="00085AD8"/>
    <w:rsid w:val="00085AF2"/>
    <w:rsid w:val="00085CF9"/>
    <w:rsid w:val="00085D13"/>
    <w:rsid w:val="00085D55"/>
    <w:rsid w:val="00085DAA"/>
    <w:rsid w:val="00085DE0"/>
    <w:rsid w:val="00085E6A"/>
    <w:rsid w:val="0008624E"/>
    <w:rsid w:val="00086404"/>
    <w:rsid w:val="000864E4"/>
    <w:rsid w:val="00086617"/>
    <w:rsid w:val="0008662D"/>
    <w:rsid w:val="00086631"/>
    <w:rsid w:val="0008671E"/>
    <w:rsid w:val="000867BD"/>
    <w:rsid w:val="000868FE"/>
    <w:rsid w:val="00086A9D"/>
    <w:rsid w:val="00086AED"/>
    <w:rsid w:val="00086D73"/>
    <w:rsid w:val="00086E8F"/>
    <w:rsid w:val="0008705E"/>
    <w:rsid w:val="00087251"/>
    <w:rsid w:val="00087694"/>
    <w:rsid w:val="00087734"/>
    <w:rsid w:val="00087743"/>
    <w:rsid w:val="0008785C"/>
    <w:rsid w:val="00087961"/>
    <w:rsid w:val="00087997"/>
    <w:rsid w:val="00087A9A"/>
    <w:rsid w:val="00087B44"/>
    <w:rsid w:val="00087D3A"/>
    <w:rsid w:val="00087E11"/>
    <w:rsid w:val="0009026D"/>
    <w:rsid w:val="00090329"/>
    <w:rsid w:val="0009059E"/>
    <w:rsid w:val="000908EF"/>
    <w:rsid w:val="00090AFD"/>
    <w:rsid w:val="00090B64"/>
    <w:rsid w:val="00090CC9"/>
    <w:rsid w:val="00090E8E"/>
    <w:rsid w:val="00090EAE"/>
    <w:rsid w:val="00090FA6"/>
    <w:rsid w:val="00091032"/>
    <w:rsid w:val="00091142"/>
    <w:rsid w:val="000911C9"/>
    <w:rsid w:val="000912CD"/>
    <w:rsid w:val="000913E8"/>
    <w:rsid w:val="000914D5"/>
    <w:rsid w:val="0009180A"/>
    <w:rsid w:val="0009190F"/>
    <w:rsid w:val="000919A4"/>
    <w:rsid w:val="00091A82"/>
    <w:rsid w:val="00091AF0"/>
    <w:rsid w:val="00091BE2"/>
    <w:rsid w:val="00091D5E"/>
    <w:rsid w:val="00091FE7"/>
    <w:rsid w:val="00092008"/>
    <w:rsid w:val="00092021"/>
    <w:rsid w:val="000920DD"/>
    <w:rsid w:val="000923B1"/>
    <w:rsid w:val="000923C2"/>
    <w:rsid w:val="00092645"/>
    <w:rsid w:val="000927A1"/>
    <w:rsid w:val="000929FA"/>
    <w:rsid w:val="00092B11"/>
    <w:rsid w:val="00092B6E"/>
    <w:rsid w:val="00092C53"/>
    <w:rsid w:val="00092D4D"/>
    <w:rsid w:val="00092F97"/>
    <w:rsid w:val="000930A3"/>
    <w:rsid w:val="0009319B"/>
    <w:rsid w:val="00093376"/>
    <w:rsid w:val="000933CF"/>
    <w:rsid w:val="0009341A"/>
    <w:rsid w:val="00093426"/>
    <w:rsid w:val="00093449"/>
    <w:rsid w:val="0009351F"/>
    <w:rsid w:val="0009379B"/>
    <w:rsid w:val="000937A4"/>
    <w:rsid w:val="0009398D"/>
    <w:rsid w:val="000939B6"/>
    <w:rsid w:val="00093B9E"/>
    <w:rsid w:val="00093BCE"/>
    <w:rsid w:val="0009415F"/>
    <w:rsid w:val="0009427D"/>
    <w:rsid w:val="00094443"/>
    <w:rsid w:val="00094623"/>
    <w:rsid w:val="000946A2"/>
    <w:rsid w:val="000946A7"/>
    <w:rsid w:val="000948E5"/>
    <w:rsid w:val="00094A37"/>
    <w:rsid w:val="00094B80"/>
    <w:rsid w:val="00094CE5"/>
    <w:rsid w:val="00094CFF"/>
    <w:rsid w:val="000952C2"/>
    <w:rsid w:val="00095325"/>
    <w:rsid w:val="000954DE"/>
    <w:rsid w:val="000955EF"/>
    <w:rsid w:val="0009566C"/>
    <w:rsid w:val="000957CD"/>
    <w:rsid w:val="000958B8"/>
    <w:rsid w:val="00095A81"/>
    <w:rsid w:val="00095B57"/>
    <w:rsid w:val="00095C24"/>
    <w:rsid w:val="00095F0C"/>
    <w:rsid w:val="00095F5C"/>
    <w:rsid w:val="00096077"/>
    <w:rsid w:val="00096120"/>
    <w:rsid w:val="000961FB"/>
    <w:rsid w:val="00096238"/>
    <w:rsid w:val="0009636A"/>
    <w:rsid w:val="0009639C"/>
    <w:rsid w:val="00096662"/>
    <w:rsid w:val="000967E6"/>
    <w:rsid w:val="000969A7"/>
    <w:rsid w:val="00096A84"/>
    <w:rsid w:val="00096B20"/>
    <w:rsid w:val="00096C67"/>
    <w:rsid w:val="00096CF4"/>
    <w:rsid w:val="00096D8B"/>
    <w:rsid w:val="00097228"/>
    <w:rsid w:val="00097248"/>
    <w:rsid w:val="0009736C"/>
    <w:rsid w:val="000973FE"/>
    <w:rsid w:val="00097608"/>
    <w:rsid w:val="00097929"/>
    <w:rsid w:val="0009797E"/>
    <w:rsid w:val="00097CDD"/>
    <w:rsid w:val="00097D6F"/>
    <w:rsid w:val="00097E5A"/>
    <w:rsid w:val="00097F4C"/>
    <w:rsid w:val="00097FD6"/>
    <w:rsid w:val="000A00B8"/>
    <w:rsid w:val="000A00E3"/>
    <w:rsid w:val="000A0137"/>
    <w:rsid w:val="000A0215"/>
    <w:rsid w:val="000A0247"/>
    <w:rsid w:val="000A034B"/>
    <w:rsid w:val="000A03B5"/>
    <w:rsid w:val="000A05F9"/>
    <w:rsid w:val="000A0A26"/>
    <w:rsid w:val="000A0ABF"/>
    <w:rsid w:val="000A0E0F"/>
    <w:rsid w:val="000A1213"/>
    <w:rsid w:val="000A13C8"/>
    <w:rsid w:val="000A1746"/>
    <w:rsid w:val="000A1876"/>
    <w:rsid w:val="000A18A6"/>
    <w:rsid w:val="000A1A08"/>
    <w:rsid w:val="000A1D3B"/>
    <w:rsid w:val="000A1E41"/>
    <w:rsid w:val="000A1E53"/>
    <w:rsid w:val="000A1E72"/>
    <w:rsid w:val="000A2090"/>
    <w:rsid w:val="000A221D"/>
    <w:rsid w:val="000A2241"/>
    <w:rsid w:val="000A2456"/>
    <w:rsid w:val="000A246F"/>
    <w:rsid w:val="000A299C"/>
    <w:rsid w:val="000A2A89"/>
    <w:rsid w:val="000A2F74"/>
    <w:rsid w:val="000A3181"/>
    <w:rsid w:val="000A35FF"/>
    <w:rsid w:val="000A3E70"/>
    <w:rsid w:val="000A401B"/>
    <w:rsid w:val="000A405C"/>
    <w:rsid w:val="000A4065"/>
    <w:rsid w:val="000A43C8"/>
    <w:rsid w:val="000A45DA"/>
    <w:rsid w:val="000A4670"/>
    <w:rsid w:val="000A46AE"/>
    <w:rsid w:val="000A4907"/>
    <w:rsid w:val="000A4B36"/>
    <w:rsid w:val="000A4EDB"/>
    <w:rsid w:val="000A5196"/>
    <w:rsid w:val="000A523A"/>
    <w:rsid w:val="000A537B"/>
    <w:rsid w:val="000A53E4"/>
    <w:rsid w:val="000A58A9"/>
    <w:rsid w:val="000A5952"/>
    <w:rsid w:val="000A598E"/>
    <w:rsid w:val="000A5C48"/>
    <w:rsid w:val="000A5DEC"/>
    <w:rsid w:val="000A5DF0"/>
    <w:rsid w:val="000A5ECF"/>
    <w:rsid w:val="000A62CA"/>
    <w:rsid w:val="000A66ED"/>
    <w:rsid w:val="000A67B2"/>
    <w:rsid w:val="000A6829"/>
    <w:rsid w:val="000A686F"/>
    <w:rsid w:val="000A6A17"/>
    <w:rsid w:val="000A6A80"/>
    <w:rsid w:val="000A6AD1"/>
    <w:rsid w:val="000A6B6C"/>
    <w:rsid w:val="000A6B86"/>
    <w:rsid w:val="000A6F18"/>
    <w:rsid w:val="000A6F8D"/>
    <w:rsid w:val="000A72FA"/>
    <w:rsid w:val="000A7761"/>
    <w:rsid w:val="000A77B9"/>
    <w:rsid w:val="000A799B"/>
    <w:rsid w:val="000A7A91"/>
    <w:rsid w:val="000A7B57"/>
    <w:rsid w:val="000A7BF9"/>
    <w:rsid w:val="000A7CB0"/>
    <w:rsid w:val="000A7E12"/>
    <w:rsid w:val="000A7F7C"/>
    <w:rsid w:val="000B0135"/>
    <w:rsid w:val="000B0197"/>
    <w:rsid w:val="000B0237"/>
    <w:rsid w:val="000B02B0"/>
    <w:rsid w:val="000B030F"/>
    <w:rsid w:val="000B0639"/>
    <w:rsid w:val="000B0655"/>
    <w:rsid w:val="000B068A"/>
    <w:rsid w:val="000B069B"/>
    <w:rsid w:val="000B069F"/>
    <w:rsid w:val="000B06C4"/>
    <w:rsid w:val="000B0898"/>
    <w:rsid w:val="000B0A2D"/>
    <w:rsid w:val="000B0B1E"/>
    <w:rsid w:val="000B1511"/>
    <w:rsid w:val="000B153B"/>
    <w:rsid w:val="000B172D"/>
    <w:rsid w:val="000B1A9A"/>
    <w:rsid w:val="000B1D01"/>
    <w:rsid w:val="000B1E18"/>
    <w:rsid w:val="000B1F74"/>
    <w:rsid w:val="000B2645"/>
    <w:rsid w:val="000B276D"/>
    <w:rsid w:val="000B2D1C"/>
    <w:rsid w:val="000B2EE7"/>
    <w:rsid w:val="000B305D"/>
    <w:rsid w:val="000B319A"/>
    <w:rsid w:val="000B31B9"/>
    <w:rsid w:val="000B320A"/>
    <w:rsid w:val="000B323A"/>
    <w:rsid w:val="000B35F0"/>
    <w:rsid w:val="000B3718"/>
    <w:rsid w:val="000B37C5"/>
    <w:rsid w:val="000B39D6"/>
    <w:rsid w:val="000B3AA3"/>
    <w:rsid w:val="000B3B5C"/>
    <w:rsid w:val="000B40CA"/>
    <w:rsid w:val="000B42F9"/>
    <w:rsid w:val="000B4391"/>
    <w:rsid w:val="000B43F2"/>
    <w:rsid w:val="000B4442"/>
    <w:rsid w:val="000B46DE"/>
    <w:rsid w:val="000B48DB"/>
    <w:rsid w:val="000B49CF"/>
    <w:rsid w:val="000B4AA2"/>
    <w:rsid w:val="000B4DD1"/>
    <w:rsid w:val="000B4FA2"/>
    <w:rsid w:val="000B4FA8"/>
    <w:rsid w:val="000B519F"/>
    <w:rsid w:val="000B5661"/>
    <w:rsid w:val="000B57C5"/>
    <w:rsid w:val="000B588D"/>
    <w:rsid w:val="000B5C8B"/>
    <w:rsid w:val="000B5D5D"/>
    <w:rsid w:val="000B5EDD"/>
    <w:rsid w:val="000B5FC9"/>
    <w:rsid w:val="000B6000"/>
    <w:rsid w:val="000B6198"/>
    <w:rsid w:val="000B61B5"/>
    <w:rsid w:val="000B6232"/>
    <w:rsid w:val="000B62B5"/>
    <w:rsid w:val="000B62DF"/>
    <w:rsid w:val="000B6302"/>
    <w:rsid w:val="000B63AD"/>
    <w:rsid w:val="000B688A"/>
    <w:rsid w:val="000B6C84"/>
    <w:rsid w:val="000B6D39"/>
    <w:rsid w:val="000B6FC3"/>
    <w:rsid w:val="000B70E0"/>
    <w:rsid w:val="000B70EE"/>
    <w:rsid w:val="000B7129"/>
    <w:rsid w:val="000B73D9"/>
    <w:rsid w:val="000B7401"/>
    <w:rsid w:val="000B778E"/>
    <w:rsid w:val="000B77CC"/>
    <w:rsid w:val="000B7864"/>
    <w:rsid w:val="000B7919"/>
    <w:rsid w:val="000B7DAD"/>
    <w:rsid w:val="000C0011"/>
    <w:rsid w:val="000C0146"/>
    <w:rsid w:val="000C0224"/>
    <w:rsid w:val="000C0271"/>
    <w:rsid w:val="000C0361"/>
    <w:rsid w:val="000C044B"/>
    <w:rsid w:val="000C04DD"/>
    <w:rsid w:val="000C054C"/>
    <w:rsid w:val="000C0681"/>
    <w:rsid w:val="000C070E"/>
    <w:rsid w:val="000C0825"/>
    <w:rsid w:val="000C0CD4"/>
    <w:rsid w:val="000C0CEE"/>
    <w:rsid w:val="000C0F65"/>
    <w:rsid w:val="000C1096"/>
    <w:rsid w:val="000C1463"/>
    <w:rsid w:val="000C154A"/>
    <w:rsid w:val="000C1575"/>
    <w:rsid w:val="000C1734"/>
    <w:rsid w:val="000C1BFD"/>
    <w:rsid w:val="000C1C04"/>
    <w:rsid w:val="000C1C41"/>
    <w:rsid w:val="000C1D13"/>
    <w:rsid w:val="000C1F6D"/>
    <w:rsid w:val="000C2255"/>
    <w:rsid w:val="000C25CB"/>
    <w:rsid w:val="000C25ED"/>
    <w:rsid w:val="000C29D5"/>
    <w:rsid w:val="000C2AFE"/>
    <w:rsid w:val="000C2BC6"/>
    <w:rsid w:val="000C2CAA"/>
    <w:rsid w:val="000C2E6E"/>
    <w:rsid w:val="000C2F89"/>
    <w:rsid w:val="000C3021"/>
    <w:rsid w:val="000C306A"/>
    <w:rsid w:val="000C31E0"/>
    <w:rsid w:val="000C31FC"/>
    <w:rsid w:val="000C3458"/>
    <w:rsid w:val="000C3645"/>
    <w:rsid w:val="000C37DC"/>
    <w:rsid w:val="000C3BFF"/>
    <w:rsid w:val="000C3CA2"/>
    <w:rsid w:val="000C3D68"/>
    <w:rsid w:val="000C3F8E"/>
    <w:rsid w:val="000C4465"/>
    <w:rsid w:val="000C459E"/>
    <w:rsid w:val="000C45D0"/>
    <w:rsid w:val="000C45DA"/>
    <w:rsid w:val="000C460A"/>
    <w:rsid w:val="000C487D"/>
    <w:rsid w:val="000C4A45"/>
    <w:rsid w:val="000C4AB7"/>
    <w:rsid w:val="000C4AE5"/>
    <w:rsid w:val="000C4EEE"/>
    <w:rsid w:val="000C4EF0"/>
    <w:rsid w:val="000C4F8B"/>
    <w:rsid w:val="000C4FC1"/>
    <w:rsid w:val="000C5443"/>
    <w:rsid w:val="000C5555"/>
    <w:rsid w:val="000C556B"/>
    <w:rsid w:val="000C55D5"/>
    <w:rsid w:val="000C56B9"/>
    <w:rsid w:val="000C56E4"/>
    <w:rsid w:val="000C59FD"/>
    <w:rsid w:val="000C5A79"/>
    <w:rsid w:val="000C5AB5"/>
    <w:rsid w:val="000C620E"/>
    <w:rsid w:val="000C64A6"/>
    <w:rsid w:val="000C6504"/>
    <w:rsid w:val="000C65DF"/>
    <w:rsid w:val="000C677B"/>
    <w:rsid w:val="000C6A59"/>
    <w:rsid w:val="000C6A91"/>
    <w:rsid w:val="000C6AA8"/>
    <w:rsid w:val="000C6AF2"/>
    <w:rsid w:val="000C6E8A"/>
    <w:rsid w:val="000C6EA3"/>
    <w:rsid w:val="000C7128"/>
    <w:rsid w:val="000C7243"/>
    <w:rsid w:val="000C724A"/>
    <w:rsid w:val="000C7284"/>
    <w:rsid w:val="000C74A4"/>
    <w:rsid w:val="000C7954"/>
    <w:rsid w:val="000C7A0C"/>
    <w:rsid w:val="000C7B8A"/>
    <w:rsid w:val="000C7BB4"/>
    <w:rsid w:val="000C7CFC"/>
    <w:rsid w:val="000C7D59"/>
    <w:rsid w:val="000C7E6E"/>
    <w:rsid w:val="000D01D0"/>
    <w:rsid w:val="000D04BD"/>
    <w:rsid w:val="000D04D9"/>
    <w:rsid w:val="000D070D"/>
    <w:rsid w:val="000D086E"/>
    <w:rsid w:val="000D0932"/>
    <w:rsid w:val="000D0D4F"/>
    <w:rsid w:val="000D0EA7"/>
    <w:rsid w:val="000D0F66"/>
    <w:rsid w:val="000D12CD"/>
    <w:rsid w:val="000D1603"/>
    <w:rsid w:val="000D18FF"/>
    <w:rsid w:val="000D1C07"/>
    <w:rsid w:val="000D1C22"/>
    <w:rsid w:val="000D1C46"/>
    <w:rsid w:val="000D1FDB"/>
    <w:rsid w:val="000D208B"/>
    <w:rsid w:val="000D213F"/>
    <w:rsid w:val="000D21D1"/>
    <w:rsid w:val="000D232B"/>
    <w:rsid w:val="000D2563"/>
    <w:rsid w:val="000D26DD"/>
    <w:rsid w:val="000D27CA"/>
    <w:rsid w:val="000D2848"/>
    <w:rsid w:val="000D2A20"/>
    <w:rsid w:val="000D2CE1"/>
    <w:rsid w:val="000D2D19"/>
    <w:rsid w:val="000D2E94"/>
    <w:rsid w:val="000D347C"/>
    <w:rsid w:val="000D35B9"/>
    <w:rsid w:val="000D37D0"/>
    <w:rsid w:val="000D3929"/>
    <w:rsid w:val="000D394B"/>
    <w:rsid w:val="000D3A35"/>
    <w:rsid w:val="000D3B4B"/>
    <w:rsid w:val="000D3E45"/>
    <w:rsid w:val="000D3F0B"/>
    <w:rsid w:val="000D45AB"/>
    <w:rsid w:val="000D4863"/>
    <w:rsid w:val="000D4C42"/>
    <w:rsid w:val="000D4CC3"/>
    <w:rsid w:val="000D4E2A"/>
    <w:rsid w:val="000D4E6F"/>
    <w:rsid w:val="000D4FBF"/>
    <w:rsid w:val="000D51FD"/>
    <w:rsid w:val="000D5281"/>
    <w:rsid w:val="000D5462"/>
    <w:rsid w:val="000D556E"/>
    <w:rsid w:val="000D5749"/>
    <w:rsid w:val="000D576A"/>
    <w:rsid w:val="000D59F4"/>
    <w:rsid w:val="000D5A26"/>
    <w:rsid w:val="000D5AAA"/>
    <w:rsid w:val="000D5F62"/>
    <w:rsid w:val="000D5F6A"/>
    <w:rsid w:val="000D608D"/>
    <w:rsid w:val="000D6308"/>
    <w:rsid w:val="000D64A2"/>
    <w:rsid w:val="000D6B7A"/>
    <w:rsid w:val="000D723B"/>
    <w:rsid w:val="000D7445"/>
    <w:rsid w:val="000D746A"/>
    <w:rsid w:val="000D74AC"/>
    <w:rsid w:val="000D7607"/>
    <w:rsid w:val="000D779A"/>
    <w:rsid w:val="000D7921"/>
    <w:rsid w:val="000D7A2C"/>
    <w:rsid w:val="000D7B00"/>
    <w:rsid w:val="000D7CC6"/>
    <w:rsid w:val="000D7F11"/>
    <w:rsid w:val="000E0049"/>
    <w:rsid w:val="000E0110"/>
    <w:rsid w:val="000E01C4"/>
    <w:rsid w:val="000E01D2"/>
    <w:rsid w:val="000E038C"/>
    <w:rsid w:val="000E03D1"/>
    <w:rsid w:val="000E049C"/>
    <w:rsid w:val="000E05A8"/>
    <w:rsid w:val="000E065D"/>
    <w:rsid w:val="000E07A7"/>
    <w:rsid w:val="000E081D"/>
    <w:rsid w:val="000E08E9"/>
    <w:rsid w:val="000E099C"/>
    <w:rsid w:val="000E09E9"/>
    <w:rsid w:val="000E0AAC"/>
    <w:rsid w:val="000E0B6C"/>
    <w:rsid w:val="000E0B77"/>
    <w:rsid w:val="000E0BF4"/>
    <w:rsid w:val="000E0CB0"/>
    <w:rsid w:val="000E0E12"/>
    <w:rsid w:val="000E0E32"/>
    <w:rsid w:val="000E0EF9"/>
    <w:rsid w:val="000E0F01"/>
    <w:rsid w:val="000E0F4A"/>
    <w:rsid w:val="000E1016"/>
    <w:rsid w:val="000E110C"/>
    <w:rsid w:val="000E140A"/>
    <w:rsid w:val="000E15E9"/>
    <w:rsid w:val="000E17F3"/>
    <w:rsid w:val="000E1802"/>
    <w:rsid w:val="000E1913"/>
    <w:rsid w:val="000E1B8E"/>
    <w:rsid w:val="000E1CAB"/>
    <w:rsid w:val="000E1D31"/>
    <w:rsid w:val="000E1F14"/>
    <w:rsid w:val="000E20D0"/>
    <w:rsid w:val="000E20DA"/>
    <w:rsid w:val="000E25B5"/>
    <w:rsid w:val="000E2B0B"/>
    <w:rsid w:val="000E2BC4"/>
    <w:rsid w:val="000E3024"/>
    <w:rsid w:val="000E320A"/>
    <w:rsid w:val="000E3609"/>
    <w:rsid w:val="000E3614"/>
    <w:rsid w:val="000E3693"/>
    <w:rsid w:val="000E36B2"/>
    <w:rsid w:val="000E372D"/>
    <w:rsid w:val="000E39B6"/>
    <w:rsid w:val="000E3AA1"/>
    <w:rsid w:val="000E3BCA"/>
    <w:rsid w:val="000E3D8F"/>
    <w:rsid w:val="000E3FA4"/>
    <w:rsid w:val="000E3FBD"/>
    <w:rsid w:val="000E3FEF"/>
    <w:rsid w:val="000E40E7"/>
    <w:rsid w:val="000E463F"/>
    <w:rsid w:val="000E475F"/>
    <w:rsid w:val="000E4A6B"/>
    <w:rsid w:val="000E4DD7"/>
    <w:rsid w:val="000E4E4C"/>
    <w:rsid w:val="000E4E7E"/>
    <w:rsid w:val="000E5130"/>
    <w:rsid w:val="000E5351"/>
    <w:rsid w:val="000E5566"/>
    <w:rsid w:val="000E56CA"/>
    <w:rsid w:val="000E59A6"/>
    <w:rsid w:val="000E5A45"/>
    <w:rsid w:val="000E5ADF"/>
    <w:rsid w:val="000E5C57"/>
    <w:rsid w:val="000E5D65"/>
    <w:rsid w:val="000E5EC8"/>
    <w:rsid w:val="000E60BD"/>
    <w:rsid w:val="000E626A"/>
    <w:rsid w:val="000E62F3"/>
    <w:rsid w:val="000E63CC"/>
    <w:rsid w:val="000E64DF"/>
    <w:rsid w:val="000E683D"/>
    <w:rsid w:val="000E6850"/>
    <w:rsid w:val="000E687C"/>
    <w:rsid w:val="000E6CCF"/>
    <w:rsid w:val="000E6D45"/>
    <w:rsid w:val="000E72D7"/>
    <w:rsid w:val="000E7348"/>
    <w:rsid w:val="000E73BF"/>
    <w:rsid w:val="000E751C"/>
    <w:rsid w:val="000E76FE"/>
    <w:rsid w:val="000E77EB"/>
    <w:rsid w:val="000E78D6"/>
    <w:rsid w:val="000E7B5C"/>
    <w:rsid w:val="000E7C6D"/>
    <w:rsid w:val="000E7EC3"/>
    <w:rsid w:val="000E7F13"/>
    <w:rsid w:val="000E7F21"/>
    <w:rsid w:val="000E7F29"/>
    <w:rsid w:val="000F000D"/>
    <w:rsid w:val="000F03D7"/>
    <w:rsid w:val="000F0442"/>
    <w:rsid w:val="000F053E"/>
    <w:rsid w:val="000F07DD"/>
    <w:rsid w:val="000F0C3F"/>
    <w:rsid w:val="000F0DD3"/>
    <w:rsid w:val="000F0F31"/>
    <w:rsid w:val="000F10BC"/>
    <w:rsid w:val="000F10E2"/>
    <w:rsid w:val="000F1132"/>
    <w:rsid w:val="000F1272"/>
    <w:rsid w:val="000F15CF"/>
    <w:rsid w:val="000F17DC"/>
    <w:rsid w:val="000F1946"/>
    <w:rsid w:val="000F1C24"/>
    <w:rsid w:val="000F1C2A"/>
    <w:rsid w:val="000F1E74"/>
    <w:rsid w:val="000F1E94"/>
    <w:rsid w:val="000F232F"/>
    <w:rsid w:val="000F26C1"/>
    <w:rsid w:val="000F2BCF"/>
    <w:rsid w:val="000F2CAE"/>
    <w:rsid w:val="000F2D02"/>
    <w:rsid w:val="000F2D12"/>
    <w:rsid w:val="000F2F87"/>
    <w:rsid w:val="000F313A"/>
    <w:rsid w:val="000F31C1"/>
    <w:rsid w:val="000F3256"/>
    <w:rsid w:val="000F364D"/>
    <w:rsid w:val="000F39CD"/>
    <w:rsid w:val="000F39DF"/>
    <w:rsid w:val="000F3A69"/>
    <w:rsid w:val="000F3B09"/>
    <w:rsid w:val="000F3B65"/>
    <w:rsid w:val="000F3C0A"/>
    <w:rsid w:val="000F3F66"/>
    <w:rsid w:val="000F4301"/>
    <w:rsid w:val="000F4306"/>
    <w:rsid w:val="000F44F8"/>
    <w:rsid w:val="000F454C"/>
    <w:rsid w:val="000F47DA"/>
    <w:rsid w:val="000F499C"/>
    <w:rsid w:val="000F49A2"/>
    <w:rsid w:val="000F49B1"/>
    <w:rsid w:val="000F4AD6"/>
    <w:rsid w:val="000F50C2"/>
    <w:rsid w:val="000F544C"/>
    <w:rsid w:val="000F5571"/>
    <w:rsid w:val="000F5611"/>
    <w:rsid w:val="000F563D"/>
    <w:rsid w:val="000F588A"/>
    <w:rsid w:val="000F598F"/>
    <w:rsid w:val="000F5CBE"/>
    <w:rsid w:val="000F5DCF"/>
    <w:rsid w:val="000F5FE2"/>
    <w:rsid w:val="000F60FE"/>
    <w:rsid w:val="000F63EC"/>
    <w:rsid w:val="000F67CD"/>
    <w:rsid w:val="000F69C3"/>
    <w:rsid w:val="000F6B34"/>
    <w:rsid w:val="000F6BAA"/>
    <w:rsid w:val="000F6BD3"/>
    <w:rsid w:val="000F6BDD"/>
    <w:rsid w:val="000F6CCA"/>
    <w:rsid w:val="000F6D67"/>
    <w:rsid w:val="000F6E09"/>
    <w:rsid w:val="000F73CD"/>
    <w:rsid w:val="000F743D"/>
    <w:rsid w:val="000F7495"/>
    <w:rsid w:val="000F779D"/>
    <w:rsid w:val="000F78CC"/>
    <w:rsid w:val="000F7942"/>
    <w:rsid w:val="000F79E6"/>
    <w:rsid w:val="000F7DCE"/>
    <w:rsid w:val="000F7E85"/>
    <w:rsid w:val="000F7ED3"/>
    <w:rsid w:val="000F7EDB"/>
    <w:rsid w:val="001004BA"/>
    <w:rsid w:val="00100A68"/>
    <w:rsid w:val="00100AB2"/>
    <w:rsid w:val="00100C21"/>
    <w:rsid w:val="00100CCB"/>
    <w:rsid w:val="00100DBD"/>
    <w:rsid w:val="00101031"/>
    <w:rsid w:val="001010C7"/>
    <w:rsid w:val="001011E3"/>
    <w:rsid w:val="0010121C"/>
    <w:rsid w:val="00101434"/>
    <w:rsid w:val="001014D2"/>
    <w:rsid w:val="00101541"/>
    <w:rsid w:val="0010155E"/>
    <w:rsid w:val="001015ED"/>
    <w:rsid w:val="00101B72"/>
    <w:rsid w:val="00101E41"/>
    <w:rsid w:val="00101EC0"/>
    <w:rsid w:val="00101FC3"/>
    <w:rsid w:val="0010204A"/>
    <w:rsid w:val="0010215A"/>
    <w:rsid w:val="00102339"/>
    <w:rsid w:val="0010234F"/>
    <w:rsid w:val="0010237E"/>
    <w:rsid w:val="001023B6"/>
    <w:rsid w:val="0010242B"/>
    <w:rsid w:val="00102784"/>
    <w:rsid w:val="001029D9"/>
    <w:rsid w:val="00102A76"/>
    <w:rsid w:val="00102B9A"/>
    <w:rsid w:val="00102C65"/>
    <w:rsid w:val="00102F6D"/>
    <w:rsid w:val="00102FD4"/>
    <w:rsid w:val="0010312E"/>
    <w:rsid w:val="00103207"/>
    <w:rsid w:val="001035A1"/>
    <w:rsid w:val="00103860"/>
    <w:rsid w:val="0010390A"/>
    <w:rsid w:val="00103917"/>
    <w:rsid w:val="00103ACA"/>
    <w:rsid w:val="00103CA4"/>
    <w:rsid w:val="00103D06"/>
    <w:rsid w:val="00104161"/>
    <w:rsid w:val="0010425D"/>
    <w:rsid w:val="00104328"/>
    <w:rsid w:val="00104341"/>
    <w:rsid w:val="00104396"/>
    <w:rsid w:val="0010439E"/>
    <w:rsid w:val="001045C0"/>
    <w:rsid w:val="001046E4"/>
    <w:rsid w:val="00104724"/>
    <w:rsid w:val="00104851"/>
    <w:rsid w:val="00104C32"/>
    <w:rsid w:val="00104E9C"/>
    <w:rsid w:val="0010515F"/>
    <w:rsid w:val="001052EE"/>
    <w:rsid w:val="0010536C"/>
    <w:rsid w:val="0010538F"/>
    <w:rsid w:val="001054BC"/>
    <w:rsid w:val="001054E9"/>
    <w:rsid w:val="00105F72"/>
    <w:rsid w:val="00105FDB"/>
    <w:rsid w:val="00106034"/>
    <w:rsid w:val="0010606A"/>
    <w:rsid w:val="0010612B"/>
    <w:rsid w:val="00106413"/>
    <w:rsid w:val="00106A4D"/>
    <w:rsid w:val="00106B3C"/>
    <w:rsid w:val="00106C87"/>
    <w:rsid w:val="00106ECB"/>
    <w:rsid w:val="00107514"/>
    <w:rsid w:val="001077BB"/>
    <w:rsid w:val="00107913"/>
    <w:rsid w:val="0010795E"/>
    <w:rsid w:val="00107996"/>
    <w:rsid w:val="00107A26"/>
    <w:rsid w:val="00107B95"/>
    <w:rsid w:val="00110103"/>
    <w:rsid w:val="001101D7"/>
    <w:rsid w:val="00110250"/>
    <w:rsid w:val="001102D2"/>
    <w:rsid w:val="00110415"/>
    <w:rsid w:val="00110433"/>
    <w:rsid w:val="00110454"/>
    <w:rsid w:val="0011046F"/>
    <w:rsid w:val="00110A0F"/>
    <w:rsid w:val="00110A26"/>
    <w:rsid w:val="00110A75"/>
    <w:rsid w:val="00110E45"/>
    <w:rsid w:val="00111116"/>
    <w:rsid w:val="00111313"/>
    <w:rsid w:val="00111346"/>
    <w:rsid w:val="0011135B"/>
    <w:rsid w:val="001114F7"/>
    <w:rsid w:val="00111597"/>
    <w:rsid w:val="0011171F"/>
    <w:rsid w:val="00111832"/>
    <w:rsid w:val="00111A67"/>
    <w:rsid w:val="00111EBA"/>
    <w:rsid w:val="00111F6B"/>
    <w:rsid w:val="00112023"/>
    <w:rsid w:val="00112332"/>
    <w:rsid w:val="0011245A"/>
    <w:rsid w:val="00112541"/>
    <w:rsid w:val="00112543"/>
    <w:rsid w:val="00112630"/>
    <w:rsid w:val="00112803"/>
    <w:rsid w:val="00112914"/>
    <w:rsid w:val="00112ACE"/>
    <w:rsid w:val="00112D63"/>
    <w:rsid w:val="00112F04"/>
    <w:rsid w:val="00113084"/>
    <w:rsid w:val="001131AC"/>
    <w:rsid w:val="00113415"/>
    <w:rsid w:val="00113487"/>
    <w:rsid w:val="0011351C"/>
    <w:rsid w:val="0011359F"/>
    <w:rsid w:val="00113959"/>
    <w:rsid w:val="00113AE6"/>
    <w:rsid w:val="00114107"/>
    <w:rsid w:val="001143BC"/>
    <w:rsid w:val="00114958"/>
    <w:rsid w:val="00114AD8"/>
    <w:rsid w:val="00114CC8"/>
    <w:rsid w:val="0011518B"/>
    <w:rsid w:val="0011523F"/>
    <w:rsid w:val="00115766"/>
    <w:rsid w:val="00115A3D"/>
    <w:rsid w:val="00115AF5"/>
    <w:rsid w:val="00115B27"/>
    <w:rsid w:val="00115B92"/>
    <w:rsid w:val="00115E01"/>
    <w:rsid w:val="00115FD0"/>
    <w:rsid w:val="001161A7"/>
    <w:rsid w:val="00116320"/>
    <w:rsid w:val="00116491"/>
    <w:rsid w:val="001166C8"/>
    <w:rsid w:val="001166E7"/>
    <w:rsid w:val="00116725"/>
    <w:rsid w:val="0011672E"/>
    <w:rsid w:val="00116A5A"/>
    <w:rsid w:val="00117013"/>
    <w:rsid w:val="0011706B"/>
    <w:rsid w:val="0011711E"/>
    <w:rsid w:val="001172F2"/>
    <w:rsid w:val="0011747F"/>
    <w:rsid w:val="0011754E"/>
    <w:rsid w:val="00117646"/>
    <w:rsid w:val="00117791"/>
    <w:rsid w:val="001177E0"/>
    <w:rsid w:val="001179AE"/>
    <w:rsid w:val="001179FF"/>
    <w:rsid w:val="00117C51"/>
    <w:rsid w:val="00117DFC"/>
    <w:rsid w:val="00117E21"/>
    <w:rsid w:val="00117E93"/>
    <w:rsid w:val="001200B5"/>
    <w:rsid w:val="001200D9"/>
    <w:rsid w:val="00120171"/>
    <w:rsid w:val="001201B3"/>
    <w:rsid w:val="001203D2"/>
    <w:rsid w:val="001208E1"/>
    <w:rsid w:val="0012091E"/>
    <w:rsid w:val="0012093A"/>
    <w:rsid w:val="00120A80"/>
    <w:rsid w:val="00120BAA"/>
    <w:rsid w:val="00120C15"/>
    <w:rsid w:val="00120D1B"/>
    <w:rsid w:val="00120DCF"/>
    <w:rsid w:val="00121002"/>
    <w:rsid w:val="00121023"/>
    <w:rsid w:val="00121062"/>
    <w:rsid w:val="001211FD"/>
    <w:rsid w:val="00121326"/>
    <w:rsid w:val="0012135D"/>
    <w:rsid w:val="001214D4"/>
    <w:rsid w:val="0012152F"/>
    <w:rsid w:val="001215C9"/>
    <w:rsid w:val="001215F6"/>
    <w:rsid w:val="00121693"/>
    <w:rsid w:val="0012172B"/>
    <w:rsid w:val="0012174E"/>
    <w:rsid w:val="00121894"/>
    <w:rsid w:val="00121A41"/>
    <w:rsid w:val="00121E4F"/>
    <w:rsid w:val="00122294"/>
    <w:rsid w:val="001222CC"/>
    <w:rsid w:val="00122679"/>
    <w:rsid w:val="0012281E"/>
    <w:rsid w:val="0012287E"/>
    <w:rsid w:val="00122A64"/>
    <w:rsid w:val="00122B60"/>
    <w:rsid w:val="00122BD7"/>
    <w:rsid w:val="00122E7A"/>
    <w:rsid w:val="00122E8F"/>
    <w:rsid w:val="00122FF3"/>
    <w:rsid w:val="0012304B"/>
    <w:rsid w:val="0012358E"/>
    <w:rsid w:val="001236D6"/>
    <w:rsid w:val="001236EB"/>
    <w:rsid w:val="00123748"/>
    <w:rsid w:val="001238D4"/>
    <w:rsid w:val="00123939"/>
    <w:rsid w:val="00123946"/>
    <w:rsid w:val="00123A57"/>
    <w:rsid w:val="00123B88"/>
    <w:rsid w:val="00123BC4"/>
    <w:rsid w:val="00123BE4"/>
    <w:rsid w:val="00123D89"/>
    <w:rsid w:val="0012435C"/>
    <w:rsid w:val="0012479F"/>
    <w:rsid w:val="0012493C"/>
    <w:rsid w:val="001249DE"/>
    <w:rsid w:val="00124A3A"/>
    <w:rsid w:val="00124CA3"/>
    <w:rsid w:val="00124DA1"/>
    <w:rsid w:val="00125001"/>
    <w:rsid w:val="001251DB"/>
    <w:rsid w:val="001251F8"/>
    <w:rsid w:val="001254BB"/>
    <w:rsid w:val="0012553B"/>
    <w:rsid w:val="0012560B"/>
    <w:rsid w:val="001256A9"/>
    <w:rsid w:val="001256BA"/>
    <w:rsid w:val="00125728"/>
    <w:rsid w:val="00125840"/>
    <w:rsid w:val="0012593C"/>
    <w:rsid w:val="00125959"/>
    <w:rsid w:val="00125A76"/>
    <w:rsid w:val="00125E81"/>
    <w:rsid w:val="00125E88"/>
    <w:rsid w:val="00125F79"/>
    <w:rsid w:val="00126042"/>
    <w:rsid w:val="001261EE"/>
    <w:rsid w:val="001262ED"/>
    <w:rsid w:val="0012636E"/>
    <w:rsid w:val="00126628"/>
    <w:rsid w:val="0012670D"/>
    <w:rsid w:val="00126758"/>
    <w:rsid w:val="00126931"/>
    <w:rsid w:val="00126B60"/>
    <w:rsid w:val="00126BE7"/>
    <w:rsid w:val="00126C5F"/>
    <w:rsid w:val="00126E15"/>
    <w:rsid w:val="00126F9B"/>
    <w:rsid w:val="00127549"/>
    <w:rsid w:val="00127608"/>
    <w:rsid w:val="00127747"/>
    <w:rsid w:val="00127868"/>
    <w:rsid w:val="0012789C"/>
    <w:rsid w:val="00127962"/>
    <w:rsid w:val="00127B33"/>
    <w:rsid w:val="00127D4F"/>
    <w:rsid w:val="00127E99"/>
    <w:rsid w:val="00127F06"/>
    <w:rsid w:val="00130061"/>
    <w:rsid w:val="001301FA"/>
    <w:rsid w:val="001304A7"/>
    <w:rsid w:val="001304F2"/>
    <w:rsid w:val="001305DF"/>
    <w:rsid w:val="0013068E"/>
    <w:rsid w:val="0013088A"/>
    <w:rsid w:val="001309E3"/>
    <w:rsid w:val="001309F9"/>
    <w:rsid w:val="00130B00"/>
    <w:rsid w:val="00130CD6"/>
    <w:rsid w:val="00130DD0"/>
    <w:rsid w:val="00130EDB"/>
    <w:rsid w:val="00130FB3"/>
    <w:rsid w:val="00130FE0"/>
    <w:rsid w:val="00131094"/>
    <w:rsid w:val="00131207"/>
    <w:rsid w:val="001312C2"/>
    <w:rsid w:val="0013152E"/>
    <w:rsid w:val="00131670"/>
    <w:rsid w:val="00131745"/>
    <w:rsid w:val="001317B9"/>
    <w:rsid w:val="00131858"/>
    <w:rsid w:val="001318D6"/>
    <w:rsid w:val="00131ADF"/>
    <w:rsid w:val="00131BB4"/>
    <w:rsid w:val="00131CC5"/>
    <w:rsid w:val="00131D18"/>
    <w:rsid w:val="00132087"/>
    <w:rsid w:val="00132423"/>
    <w:rsid w:val="00132474"/>
    <w:rsid w:val="0013272C"/>
    <w:rsid w:val="0013272D"/>
    <w:rsid w:val="00132917"/>
    <w:rsid w:val="00132975"/>
    <w:rsid w:val="00132D8D"/>
    <w:rsid w:val="00132E1F"/>
    <w:rsid w:val="00132F13"/>
    <w:rsid w:val="00132F62"/>
    <w:rsid w:val="0013329B"/>
    <w:rsid w:val="00133467"/>
    <w:rsid w:val="0013347F"/>
    <w:rsid w:val="001335AA"/>
    <w:rsid w:val="00133631"/>
    <w:rsid w:val="001337AE"/>
    <w:rsid w:val="00133C1B"/>
    <w:rsid w:val="00133CF7"/>
    <w:rsid w:val="00133E56"/>
    <w:rsid w:val="00133E5E"/>
    <w:rsid w:val="0013404B"/>
    <w:rsid w:val="0013430F"/>
    <w:rsid w:val="00134471"/>
    <w:rsid w:val="001345D6"/>
    <w:rsid w:val="001345E1"/>
    <w:rsid w:val="00134722"/>
    <w:rsid w:val="00134792"/>
    <w:rsid w:val="00134869"/>
    <w:rsid w:val="001348F1"/>
    <w:rsid w:val="00134929"/>
    <w:rsid w:val="0013497F"/>
    <w:rsid w:val="001349D3"/>
    <w:rsid w:val="00134AF4"/>
    <w:rsid w:val="00134BC8"/>
    <w:rsid w:val="00134CA1"/>
    <w:rsid w:val="00134CD9"/>
    <w:rsid w:val="00134DAD"/>
    <w:rsid w:val="00134FE7"/>
    <w:rsid w:val="0013524B"/>
    <w:rsid w:val="00135478"/>
    <w:rsid w:val="0013552C"/>
    <w:rsid w:val="00135606"/>
    <w:rsid w:val="001356B4"/>
    <w:rsid w:val="0013588F"/>
    <w:rsid w:val="001358F8"/>
    <w:rsid w:val="00135935"/>
    <w:rsid w:val="001359CC"/>
    <w:rsid w:val="00135A6B"/>
    <w:rsid w:val="00135ACB"/>
    <w:rsid w:val="00135B9D"/>
    <w:rsid w:val="00135C89"/>
    <w:rsid w:val="00135F0E"/>
    <w:rsid w:val="001360EB"/>
    <w:rsid w:val="00136206"/>
    <w:rsid w:val="00136A0B"/>
    <w:rsid w:val="00136B2F"/>
    <w:rsid w:val="00136D6D"/>
    <w:rsid w:val="001370D8"/>
    <w:rsid w:val="001372FA"/>
    <w:rsid w:val="001373D9"/>
    <w:rsid w:val="0013742F"/>
    <w:rsid w:val="0013752C"/>
    <w:rsid w:val="00137665"/>
    <w:rsid w:val="00137694"/>
    <w:rsid w:val="0013781F"/>
    <w:rsid w:val="00137880"/>
    <w:rsid w:val="00137DA7"/>
    <w:rsid w:val="00140033"/>
    <w:rsid w:val="0014010E"/>
    <w:rsid w:val="001401F1"/>
    <w:rsid w:val="0014054E"/>
    <w:rsid w:val="00140A11"/>
    <w:rsid w:val="00140CB0"/>
    <w:rsid w:val="00140DAA"/>
    <w:rsid w:val="00140DCB"/>
    <w:rsid w:val="00140E74"/>
    <w:rsid w:val="00140EA3"/>
    <w:rsid w:val="00140EA4"/>
    <w:rsid w:val="001410B1"/>
    <w:rsid w:val="001411D8"/>
    <w:rsid w:val="001411FC"/>
    <w:rsid w:val="0014140B"/>
    <w:rsid w:val="00141470"/>
    <w:rsid w:val="00141718"/>
    <w:rsid w:val="001417D6"/>
    <w:rsid w:val="00141846"/>
    <w:rsid w:val="00141847"/>
    <w:rsid w:val="001418BE"/>
    <w:rsid w:val="0014193E"/>
    <w:rsid w:val="0014197C"/>
    <w:rsid w:val="00141B3C"/>
    <w:rsid w:val="00142159"/>
    <w:rsid w:val="00142366"/>
    <w:rsid w:val="001423A0"/>
    <w:rsid w:val="00142687"/>
    <w:rsid w:val="00142764"/>
    <w:rsid w:val="00142881"/>
    <w:rsid w:val="0014289C"/>
    <w:rsid w:val="00142927"/>
    <w:rsid w:val="001429CC"/>
    <w:rsid w:val="00142D17"/>
    <w:rsid w:val="00142E3C"/>
    <w:rsid w:val="00142EF8"/>
    <w:rsid w:val="00142FAD"/>
    <w:rsid w:val="001431FB"/>
    <w:rsid w:val="00143222"/>
    <w:rsid w:val="001433DA"/>
    <w:rsid w:val="001437DE"/>
    <w:rsid w:val="0014387B"/>
    <w:rsid w:val="00143A22"/>
    <w:rsid w:val="00143A65"/>
    <w:rsid w:val="00143B11"/>
    <w:rsid w:val="00143C22"/>
    <w:rsid w:val="00143D8D"/>
    <w:rsid w:val="00143F5A"/>
    <w:rsid w:val="00144770"/>
    <w:rsid w:val="0014477D"/>
    <w:rsid w:val="00144892"/>
    <w:rsid w:val="00144897"/>
    <w:rsid w:val="001448D7"/>
    <w:rsid w:val="0014491D"/>
    <w:rsid w:val="00144E98"/>
    <w:rsid w:val="00144F7C"/>
    <w:rsid w:val="00145298"/>
    <w:rsid w:val="00145315"/>
    <w:rsid w:val="001454AF"/>
    <w:rsid w:val="001454BD"/>
    <w:rsid w:val="001454E5"/>
    <w:rsid w:val="00145615"/>
    <w:rsid w:val="0014561B"/>
    <w:rsid w:val="001457E5"/>
    <w:rsid w:val="00145803"/>
    <w:rsid w:val="00145A9F"/>
    <w:rsid w:val="00145C56"/>
    <w:rsid w:val="00145DD5"/>
    <w:rsid w:val="00145E80"/>
    <w:rsid w:val="00145F6F"/>
    <w:rsid w:val="00146016"/>
    <w:rsid w:val="001463BF"/>
    <w:rsid w:val="00146528"/>
    <w:rsid w:val="001466A2"/>
    <w:rsid w:val="001466D0"/>
    <w:rsid w:val="00146941"/>
    <w:rsid w:val="0014696C"/>
    <w:rsid w:val="001469DF"/>
    <w:rsid w:val="00146B3D"/>
    <w:rsid w:val="00146B78"/>
    <w:rsid w:val="00146F22"/>
    <w:rsid w:val="00146F57"/>
    <w:rsid w:val="001471E3"/>
    <w:rsid w:val="001472C2"/>
    <w:rsid w:val="001472DF"/>
    <w:rsid w:val="001473A2"/>
    <w:rsid w:val="0014748D"/>
    <w:rsid w:val="00147622"/>
    <w:rsid w:val="0014768D"/>
    <w:rsid w:val="001478F8"/>
    <w:rsid w:val="00147ABF"/>
    <w:rsid w:val="00147AF1"/>
    <w:rsid w:val="00147B24"/>
    <w:rsid w:val="00147BEA"/>
    <w:rsid w:val="00147BF2"/>
    <w:rsid w:val="00147CC7"/>
    <w:rsid w:val="00147D51"/>
    <w:rsid w:val="00150008"/>
    <w:rsid w:val="00150026"/>
    <w:rsid w:val="001500A6"/>
    <w:rsid w:val="0015015B"/>
    <w:rsid w:val="00150177"/>
    <w:rsid w:val="00150351"/>
    <w:rsid w:val="001506D8"/>
    <w:rsid w:val="001508BD"/>
    <w:rsid w:val="001509D7"/>
    <w:rsid w:val="00150C56"/>
    <w:rsid w:val="00150F02"/>
    <w:rsid w:val="0015108E"/>
    <w:rsid w:val="001510FA"/>
    <w:rsid w:val="0015128A"/>
    <w:rsid w:val="0015137D"/>
    <w:rsid w:val="001516E4"/>
    <w:rsid w:val="001518FE"/>
    <w:rsid w:val="00151B32"/>
    <w:rsid w:val="00151C8A"/>
    <w:rsid w:val="00151C8B"/>
    <w:rsid w:val="0015236B"/>
    <w:rsid w:val="001525BE"/>
    <w:rsid w:val="00152783"/>
    <w:rsid w:val="0015286B"/>
    <w:rsid w:val="00152955"/>
    <w:rsid w:val="001529BA"/>
    <w:rsid w:val="00152CF1"/>
    <w:rsid w:val="00152D2C"/>
    <w:rsid w:val="00153335"/>
    <w:rsid w:val="00153449"/>
    <w:rsid w:val="00153598"/>
    <w:rsid w:val="001536B7"/>
    <w:rsid w:val="00153744"/>
    <w:rsid w:val="001538C8"/>
    <w:rsid w:val="00153A48"/>
    <w:rsid w:val="00153B42"/>
    <w:rsid w:val="00153BE7"/>
    <w:rsid w:val="00153DCA"/>
    <w:rsid w:val="00153DE9"/>
    <w:rsid w:val="0015405A"/>
    <w:rsid w:val="001541A7"/>
    <w:rsid w:val="001541C7"/>
    <w:rsid w:val="0015421B"/>
    <w:rsid w:val="0015442E"/>
    <w:rsid w:val="001544B6"/>
    <w:rsid w:val="00154825"/>
    <w:rsid w:val="00154A3B"/>
    <w:rsid w:val="00154BAB"/>
    <w:rsid w:val="0015503A"/>
    <w:rsid w:val="00155082"/>
    <w:rsid w:val="001550C9"/>
    <w:rsid w:val="00155175"/>
    <w:rsid w:val="001552BA"/>
    <w:rsid w:val="0015547A"/>
    <w:rsid w:val="001558C1"/>
    <w:rsid w:val="00155932"/>
    <w:rsid w:val="00155AC2"/>
    <w:rsid w:val="00155CF3"/>
    <w:rsid w:val="00155E44"/>
    <w:rsid w:val="00155E88"/>
    <w:rsid w:val="00155F52"/>
    <w:rsid w:val="00156074"/>
    <w:rsid w:val="001560F7"/>
    <w:rsid w:val="00156279"/>
    <w:rsid w:val="001562D5"/>
    <w:rsid w:val="00156374"/>
    <w:rsid w:val="00156609"/>
    <w:rsid w:val="001568F2"/>
    <w:rsid w:val="00156989"/>
    <w:rsid w:val="00156AE3"/>
    <w:rsid w:val="00156D60"/>
    <w:rsid w:val="00156EB9"/>
    <w:rsid w:val="00156FCB"/>
    <w:rsid w:val="00156FD2"/>
    <w:rsid w:val="00156FD8"/>
    <w:rsid w:val="0015704B"/>
    <w:rsid w:val="0015712E"/>
    <w:rsid w:val="001571D4"/>
    <w:rsid w:val="001572EB"/>
    <w:rsid w:val="00157AA9"/>
    <w:rsid w:val="00157AB5"/>
    <w:rsid w:val="00157C0B"/>
    <w:rsid w:val="00157C56"/>
    <w:rsid w:val="00157D57"/>
    <w:rsid w:val="0016026C"/>
    <w:rsid w:val="00160352"/>
    <w:rsid w:val="00160447"/>
    <w:rsid w:val="00160623"/>
    <w:rsid w:val="00160B1C"/>
    <w:rsid w:val="00160BDA"/>
    <w:rsid w:val="00160BF5"/>
    <w:rsid w:val="00160C1E"/>
    <w:rsid w:val="00160E33"/>
    <w:rsid w:val="00160E7A"/>
    <w:rsid w:val="00160EB7"/>
    <w:rsid w:val="00160F89"/>
    <w:rsid w:val="00160F8A"/>
    <w:rsid w:val="001610FF"/>
    <w:rsid w:val="00161160"/>
    <w:rsid w:val="001613A9"/>
    <w:rsid w:val="00161406"/>
    <w:rsid w:val="001614A3"/>
    <w:rsid w:val="0016157E"/>
    <w:rsid w:val="001616BB"/>
    <w:rsid w:val="00161719"/>
    <w:rsid w:val="001618E7"/>
    <w:rsid w:val="001618F5"/>
    <w:rsid w:val="00161CB0"/>
    <w:rsid w:val="00161E33"/>
    <w:rsid w:val="00161E36"/>
    <w:rsid w:val="00162157"/>
    <w:rsid w:val="0016240F"/>
    <w:rsid w:val="00162878"/>
    <w:rsid w:val="001628B4"/>
    <w:rsid w:val="00162B03"/>
    <w:rsid w:val="00162CDA"/>
    <w:rsid w:val="00162DD2"/>
    <w:rsid w:val="00162EFC"/>
    <w:rsid w:val="00163112"/>
    <w:rsid w:val="00163439"/>
    <w:rsid w:val="00163525"/>
    <w:rsid w:val="0016360D"/>
    <w:rsid w:val="0016367D"/>
    <w:rsid w:val="001636EF"/>
    <w:rsid w:val="00163738"/>
    <w:rsid w:val="00163B1E"/>
    <w:rsid w:val="00163B2D"/>
    <w:rsid w:val="00163B81"/>
    <w:rsid w:val="00163BDA"/>
    <w:rsid w:val="00164065"/>
    <w:rsid w:val="001641F1"/>
    <w:rsid w:val="00164214"/>
    <w:rsid w:val="001644E7"/>
    <w:rsid w:val="0016454F"/>
    <w:rsid w:val="00164553"/>
    <w:rsid w:val="001645B5"/>
    <w:rsid w:val="00164704"/>
    <w:rsid w:val="00164C6C"/>
    <w:rsid w:val="00164CA7"/>
    <w:rsid w:val="00164FE0"/>
    <w:rsid w:val="001655EB"/>
    <w:rsid w:val="0016575A"/>
    <w:rsid w:val="001657B4"/>
    <w:rsid w:val="00165B2F"/>
    <w:rsid w:val="00165BF8"/>
    <w:rsid w:val="00165DB5"/>
    <w:rsid w:val="001661DD"/>
    <w:rsid w:val="00166659"/>
    <w:rsid w:val="001669BD"/>
    <w:rsid w:val="00166A93"/>
    <w:rsid w:val="00166BA4"/>
    <w:rsid w:val="00166E09"/>
    <w:rsid w:val="00167009"/>
    <w:rsid w:val="00167143"/>
    <w:rsid w:val="001671EE"/>
    <w:rsid w:val="00167230"/>
    <w:rsid w:val="0016739C"/>
    <w:rsid w:val="00167675"/>
    <w:rsid w:val="0016787C"/>
    <w:rsid w:val="001678A7"/>
    <w:rsid w:val="001679B0"/>
    <w:rsid w:val="00167A23"/>
    <w:rsid w:val="00167D35"/>
    <w:rsid w:val="0017003E"/>
    <w:rsid w:val="00170246"/>
    <w:rsid w:val="001702F0"/>
    <w:rsid w:val="001703F5"/>
    <w:rsid w:val="00170AF0"/>
    <w:rsid w:val="00170B4D"/>
    <w:rsid w:val="00170BB6"/>
    <w:rsid w:val="00170D2F"/>
    <w:rsid w:val="00170D57"/>
    <w:rsid w:val="00170E0E"/>
    <w:rsid w:val="001710A8"/>
    <w:rsid w:val="00171120"/>
    <w:rsid w:val="00171235"/>
    <w:rsid w:val="00171263"/>
    <w:rsid w:val="001712F5"/>
    <w:rsid w:val="001716AD"/>
    <w:rsid w:val="001716F9"/>
    <w:rsid w:val="00171853"/>
    <w:rsid w:val="00171ACA"/>
    <w:rsid w:val="00171EF2"/>
    <w:rsid w:val="00172010"/>
    <w:rsid w:val="0017209E"/>
    <w:rsid w:val="001721CA"/>
    <w:rsid w:val="00172255"/>
    <w:rsid w:val="001722CF"/>
    <w:rsid w:val="001725B5"/>
    <w:rsid w:val="001728D0"/>
    <w:rsid w:val="00172C10"/>
    <w:rsid w:val="00172CA9"/>
    <w:rsid w:val="00172D85"/>
    <w:rsid w:val="00172E74"/>
    <w:rsid w:val="001730C6"/>
    <w:rsid w:val="00173103"/>
    <w:rsid w:val="00173190"/>
    <w:rsid w:val="0017324F"/>
    <w:rsid w:val="00173498"/>
    <w:rsid w:val="0017379F"/>
    <w:rsid w:val="00173ABA"/>
    <w:rsid w:val="00173AF4"/>
    <w:rsid w:val="00173C04"/>
    <w:rsid w:val="00173CB6"/>
    <w:rsid w:val="00173DDD"/>
    <w:rsid w:val="00173E10"/>
    <w:rsid w:val="00174068"/>
    <w:rsid w:val="00174179"/>
    <w:rsid w:val="001741A4"/>
    <w:rsid w:val="001741CC"/>
    <w:rsid w:val="00174365"/>
    <w:rsid w:val="001743A2"/>
    <w:rsid w:val="0017446B"/>
    <w:rsid w:val="00174473"/>
    <w:rsid w:val="00174541"/>
    <w:rsid w:val="00174580"/>
    <w:rsid w:val="001748CE"/>
    <w:rsid w:val="0017495C"/>
    <w:rsid w:val="00174AAE"/>
    <w:rsid w:val="00174BEA"/>
    <w:rsid w:val="00174C77"/>
    <w:rsid w:val="00174CBF"/>
    <w:rsid w:val="00174D19"/>
    <w:rsid w:val="00174E00"/>
    <w:rsid w:val="0017500E"/>
    <w:rsid w:val="00175083"/>
    <w:rsid w:val="00175087"/>
    <w:rsid w:val="0017508C"/>
    <w:rsid w:val="001753E2"/>
    <w:rsid w:val="0017545F"/>
    <w:rsid w:val="001755D8"/>
    <w:rsid w:val="001756C7"/>
    <w:rsid w:val="00175734"/>
    <w:rsid w:val="001758CD"/>
    <w:rsid w:val="0017599F"/>
    <w:rsid w:val="00175AD4"/>
    <w:rsid w:val="00175E85"/>
    <w:rsid w:val="00175FD1"/>
    <w:rsid w:val="00176391"/>
    <w:rsid w:val="00176836"/>
    <w:rsid w:val="00176920"/>
    <w:rsid w:val="00176A98"/>
    <w:rsid w:val="00176B6F"/>
    <w:rsid w:val="00176CAB"/>
    <w:rsid w:val="00176EDF"/>
    <w:rsid w:val="001770D7"/>
    <w:rsid w:val="00177268"/>
    <w:rsid w:val="00177386"/>
    <w:rsid w:val="0017798B"/>
    <w:rsid w:val="00177BBB"/>
    <w:rsid w:val="00177C45"/>
    <w:rsid w:val="00177DBE"/>
    <w:rsid w:val="00177DFC"/>
    <w:rsid w:val="00177E96"/>
    <w:rsid w:val="00177E9C"/>
    <w:rsid w:val="00177FDD"/>
    <w:rsid w:val="0018016C"/>
    <w:rsid w:val="00180203"/>
    <w:rsid w:val="00180225"/>
    <w:rsid w:val="00180511"/>
    <w:rsid w:val="00180517"/>
    <w:rsid w:val="0018077C"/>
    <w:rsid w:val="0018082A"/>
    <w:rsid w:val="00180849"/>
    <w:rsid w:val="001808F9"/>
    <w:rsid w:val="00180987"/>
    <w:rsid w:val="00180A47"/>
    <w:rsid w:val="00180ADD"/>
    <w:rsid w:val="00180C2C"/>
    <w:rsid w:val="00181039"/>
    <w:rsid w:val="00181096"/>
    <w:rsid w:val="00181187"/>
    <w:rsid w:val="001812B4"/>
    <w:rsid w:val="001814F1"/>
    <w:rsid w:val="0018158C"/>
    <w:rsid w:val="001815C7"/>
    <w:rsid w:val="0018172B"/>
    <w:rsid w:val="00181992"/>
    <w:rsid w:val="00181B53"/>
    <w:rsid w:val="00181BA1"/>
    <w:rsid w:val="00181CDD"/>
    <w:rsid w:val="00181D56"/>
    <w:rsid w:val="00181E07"/>
    <w:rsid w:val="0018200C"/>
    <w:rsid w:val="001823CB"/>
    <w:rsid w:val="00182559"/>
    <w:rsid w:val="00182904"/>
    <w:rsid w:val="00182A60"/>
    <w:rsid w:val="00182C1B"/>
    <w:rsid w:val="00182CC9"/>
    <w:rsid w:val="00182DAA"/>
    <w:rsid w:val="0018318F"/>
    <w:rsid w:val="001832A4"/>
    <w:rsid w:val="0018343A"/>
    <w:rsid w:val="001834E8"/>
    <w:rsid w:val="0018382D"/>
    <w:rsid w:val="00183868"/>
    <w:rsid w:val="00183B5D"/>
    <w:rsid w:val="00183BB1"/>
    <w:rsid w:val="00183EF5"/>
    <w:rsid w:val="00183FEF"/>
    <w:rsid w:val="0018402B"/>
    <w:rsid w:val="001843E8"/>
    <w:rsid w:val="001847BE"/>
    <w:rsid w:val="001849F4"/>
    <w:rsid w:val="00184AE0"/>
    <w:rsid w:val="00184B43"/>
    <w:rsid w:val="00184B53"/>
    <w:rsid w:val="00184C8E"/>
    <w:rsid w:val="00184C90"/>
    <w:rsid w:val="00184DFC"/>
    <w:rsid w:val="00184E12"/>
    <w:rsid w:val="00184EB7"/>
    <w:rsid w:val="001850F3"/>
    <w:rsid w:val="00185336"/>
    <w:rsid w:val="0018534E"/>
    <w:rsid w:val="001854E9"/>
    <w:rsid w:val="001855A0"/>
    <w:rsid w:val="001856AF"/>
    <w:rsid w:val="001856EC"/>
    <w:rsid w:val="001857CD"/>
    <w:rsid w:val="001858DA"/>
    <w:rsid w:val="00185BE3"/>
    <w:rsid w:val="00185EC2"/>
    <w:rsid w:val="00185F00"/>
    <w:rsid w:val="0018621F"/>
    <w:rsid w:val="001863A7"/>
    <w:rsid w:val="00186447"/>
    <w:rsid w:val="001864E4"/>
    <w:rsid w:val="001865D3"/>
    <w:rsid w:val="001868A7"/>
    <w:rsid w:val="00186951"/>
    <w:rsid w:val="00186CB1"/>
    <w:rsid w:val="00186DF3"/>
    <w:rsid w:val="00186EDF"/>
    <w:rsid w:val="00186F7A"/>
    <w:rsid w:val="001870C4"/>
    <w:rsid w:val="00187286"/>
    <w:rsid w:val="001872BF"/>
    <w:rsid w:val="001872C1"/>
    <w:rsid w:val="00187316"/>
    <w:rsid w:val="00187329"/>
    <w:rsid w:val="0018743E"/>
    <w:rsid w:val="00187767"/>
    <w:rsid w:val="0018778A"/>
    <w:rsid w:val="001877A5"/>
    <w:rsid w:val="0018780E"/>
    <w:rsid w:val="00187823"/>
    <w:rsid w:val="00187844"/>
    <w:rsid w:val="00187868"/>
    <w:rsid w:val="0018789C"/>
    <w:rsid w:val="00187A8F"/>
    <w:rsid w:val="00190056"/>
    <w:rsid w:val="00190143"/>
    <w:rsid w:val="0019090C"/>
    <w:rsid w:val="00190947"/>
    <w:rsid w:val="001909A6"/>
    <w:rsid w:val="00190F39"/>
    <w:rsid w:val="00190FE7"/>
    <w:rsid w:val="0019108F"/>
    <w:rsid w:val="001910AD"/>
    <w:rsid w:val="0019120D"/>
    <w:rsid w:val="001913CE"/>
    <w:rsid w:val="001916C5"/>
    <w:rsid w:val="00191744"/>
    <w:rsid w:val="00191811"/>
    <w:rsid w:val="00191985"/>
    <w:rsid w:val="001919E7"/>
    <w:rsid w:val="00191B13"/>
    <w:rsid w:val="00191BEE"/>
    <w:rsid w:val="00191D45"/>
    <w:rsid w:val="00191DCD"/>
    <w:rsid w:val="001922FA"/>
    <w:rsid w:val="0019235A"/>
    <w:rsid w:val="00192480"/>
    <w:rsid w:val="0019270A"/>
    <w:rsid w:val="0019292A"/>
    <w:rsid w:val="00192A45"/>
    <w:rsid w:val="00192BAD"/>
    <w:rsid w:val="00192BD4"/>
    <w:rsid w:val="00192CD3"/>
    <w:rsid w:val="00192EBD"/>
    <w:rsid w:val="00192FF4"/>
    <w:rsid w:val="0019377D"/>
    <w:rsid w:val="00193A6C"/>
    <w:rsid w:val="00193B22"/>
    <w:rsid w:val="00193C13"/>
    <w:rsid w:val="00193C74"/>
    <w:rsid w:val="00193C9A"/>
    <w:rsid w:val="00194100"/>
    <w:rsid w:val="0019410D"/>
    <w:rsid w:val="0019417D"/>
    <w:rsid w:val="001941C5"/>
    <w:rsid w:val="001941E9"/>
    <w:rsid w:val="00194327"/>
    <w:rsid w:val="00194790"/>
    <w:rsid w:val="0019481D"/>
    <w:rsid w:val="00194916"/>
    <w:rsid w:val="00194B22"/>
    <w:rsid w:val="00194CD9"/>
    <w:rsid w:val="00194D72"/>
    <w:rsid w:val="00194DDE"/>
    <w:rsid w:val="00194E00"/>
    <w:rsid w:val="0019502B"/>
    <w:rsid w:val="001951E4"/>
    <w:rsid w:val="001952A6"/>
    <w:rsid w:val="0019545E"/>
    <w:rsid w:val="001954D2"/>
    <w:rsid w:val="001954ED"/>
    <w:rsid w:val="00195905"/>
    <w:rsid w:val="0019596F"/>
    <w:rsid w:val="00195F9B"/>
    <w:rsid w:val="00196000"/>
    <w:rsid w:val="0019610D"/>
    <w:rsid w:val="001961D3"/>
    <w:rsid w:val="00196657"/>
    <w:rsid w:val="001967E1"/>
    <w:rsid w:val="00196E89"/>
    <w:rsid w:val="0019711C"/>
    <w:rsid w:val="00197146"/>
    <w:rsid w:val="001977F2"/>
    <w:rsid w:val="0019798C"/>
    <w:rsid w:val="001979A9"/>
    <w:rsid w:val="00197A6D"/>
    <w:rsid w:val="00197AF2"/>
    <w:rsid w:val="00197C72"/>
    <w:rsid w:val="001A023E"/>
    <w:rsid w:val="001A03F9"/>
    <w:rsid w:val="001A05DC"/>
    <w:rsid w:val="001A0B37"/>
    <w:rsid w:val="001A0D2D"/>
    <w:rsid w:val="001A0E51"/>
    <w:rsid w:val="001A0E8A"/>
    <w:rsid w:val="001A0FDF"/>
    <w:rsid w:val="001A11C5"/>
    <w:rsid w:val="001A11CF"/>
    <w:rsid w:val="001A1258"/>
    <w:rsid w:val="001A13B5"/>
    <w:rsid w:val="001A14DA"/>
    <w:rsid w:val="001A1574"/>
    <w:rsid w:val="001A15F3"/>
    <w:rsid w:val="001A182C"/>
    <w:rsid w:val="001A1996"/>
    <w:rsid w:val="001A19A1"/>
    <w:rsid w:val="001A19D7"/>
    <w:rsid w:val="001A1A48"/>
    <w:rsid w:val="001A1A5F"/>
    <w:rsid w:val="001A1A90"/>
    <w:rsid w:val="001A1D50"/>
    <w:rsid w:val="001A2073"/>
    <w:rsid w:val="001A21B9"/>
    <w:rsid w:val="001A22A7"/>
    <w:rsid w:val="001A2520"/>
    <w:rsid w:val="001A2745"/>
    <w:rsid w:val="001A2870"/>
    <w:rsid w:val="001A29E2"/>
    <w:rsid w:val="001A29F6"/>
    <w:rsid w:val="001A2B47"/>
    <w:rsid w:val="001A31F1"/>
    <w:rsid w:val="001A322A"/>
    <w:rsid w:val="001A3267"/>
    <w:rsid w:val="001A32C5"/>
    <w:rsid w:val="001A3317"/>
    <w:rsid w:val="001A332A"/>
    <w:rsid w:val="001A3682"/>
    <w:rsid w:val="001A3973"/>
    <w:rsid w:val="001A39BF"/>
    <w:rsid w:val="001A3A52"/>
    <w:rsid w:val="001A3E00"/>
    <w:rsid w:val="001A41A1"/>
    <w:rsid w:val="001A4271"/>
    <w:rsid w:val="001A4617"/>
    <w:rsid w:val="001A4820"/>
    <w:rsid w:val="001A4874"/>
    <w:rsid w:val="001A4AC8"/>
    <w:rsid w:val="001A4C9F"/>
    <w:rsid w:val="001A4CCC"/>
    <w:rsid w:val="001A4D06"/>
    <w:rsid w:val="001A4D8F"/>
    <w:rsid w:val="001A4F3A"/>
    <w:rsid w:val="001A4FB5"/>
    <w:rsid w:val="001A5392"/>
    <w:rsid w:val="001A5572"/>
    <w:rsid w:val="001A5653"/>
    <w:rsid w:val="001A594F"/>
    <w:rsid w:val="001A5AA5"/>
    <w:rsid w:val="001A5B8D"/>
    <w:rsid w:val="001A5EB1"/>
    <w:rsid w:val="001A61F7"/>
    <w:rsid w:val="001A6345"/>
    <w:rsid w:val="001A66FF"/>
    <w:rsid w:val="001A67EE"/>
    <w:rsid w:val="001A691C"/>
    <w:rsid w:val="001A6B11"/>
    <w:rsid w:val="001A6C57"/>
    <w:rsid w:val="001A6C91"/>
    <w:rsid w:val="001A6D85"/>
    <w:rsid w:val="001A6E8D"/>
    <w:rsid w:val="001A6F6E"/>
    <w:rsid w:val="001A6FE2"/>
    <w:rsid w:val="001A7088"/>
    <w:rsid w:val="001A7193"/>
    <w:rsid w:val="001A7335"/>
    <w:rsid w:val="001A73A3"/>
    <w:rsid w:val="001A792B"/>
    <w:rsid w:val="001A793D"/>
    <w:rsid w:val="001A79B9"/>
    <w:rsid w:val="001A7A19"/>
    <w:rsid w:val="001A7ABF"/>
    <w:rsid w:val="001A7DD7"/>
    <w:rsid w:val="001A7F12"/>
    <w:rsid w:val="001B0136"/>
    <w:rsid w:val="001B02AF"/>
    <w:rsid w:val="001B0528"/>
    <w:rsid w:val="001B0530"/>
    <w:rsid w:val="001B086A"/>
    <w:rsid w:val="001B08FB"/>
    <w:rsid w:val="001B099F"/>
    <w:rsid w:val="001B0A42"/>
    <w:rsid w:val="001B0C86"/>
    <w:rsid w:val="001B0D1E"/>
    <w:rsid w:val="001B0D27"/>
    <w:rsid w:val="001B0E28"/>
    <w:rsid w:val="001B0E71"/>
    <w:rsid w:val="001B0E9F"/>
    <w:rsid w:val="001B0F3A"/>
    <w:rsid w:val="001B0F94"/>
    <w:rsid w:val="001B125A"/>
    <w:rsid w:val="001B13FF"/>
    <w:rsid w:val="001B1469"/>
    <w:rsid w:val="001B1660"/>
    <w:rsid w:val="001B16EC"/>
    <w:rsid w:val="001B17D3"/>
    <w:rsid w:val="001B1807"/>
    <w:rsid w:val="001B1A02"/>
    <w:rsid w:val="001B1AA4"/>
    <w:rsid w:val="001B1AF9"/>
    <w:rsid w:val="001B1B02"/>
    <w:rsid w:val="001B1B8C"/>
    <w:rsid w:val="001B239F"/>
    <w:rsid w:val="001B2408"/>
    <w:rsid w:val="001B2469"/>
    <w:rsid w:val="001B28C6"/>
    <w:rsid w:val="001B28E3"/>
    <w:rsid w:val="001B2983"/>
    <w:rsid w:val="001B2A18"/>
    <w:rsid w:val="001B2BC8"/>
    <w:rsid w:val="001B2CBD"/>
    <w:rsid w:val="001B2E2C"/>
    <w:rsid w:val="001B323E"/>
    <w:rsid w:val="001B32AE"/>
    <w:rsid w:val="001B33FC"/>
    <w:rsid w:val="001B389F"/>
    <w:rsid w:val="001B3A37"/>
    <w:rsid w:val="001B3C4F"/>
    <w:rsid w:val="001B3CBC"/>
    <w:rsid w:val="001B3CC9"/>
    <w:rsid w:val="001B3F4F"/>
    <w:rsid w:val="001B411C"/>
    <w:rsid w:val="001B4167"/>
    <w:rsid w:val="001B46F8"/>
    <w:rsid w:val="001B47D0"/>
    <w:rsid w:val="001B48D6"/>
    <w:rsid w:val="001B495C"/>
    <w:rsid w:val="001B4EBB"/>
    <w:rsid w:val="001B4F50"/>
    <w:rsid w:val="001B54EA"/>
    <w:rsid w:val="001B56A0"/>
    <w:rsid w:val="001B57F3"/>
    <w:rsid w:val="001B58C4"/>
    <w:rsid w:val="001B5B44"/>
    <w:rsid w:val="001B5B55"/>
    <w:rsid w:val="001B5C98"/>
    <w:rsid w:val="001B5F81"/>
    <w:rsid w:val="001B64B7"/>
    <w:rsid w:val="001B6546"/>
    <w:rsid w:val="001B659A"/>
    <w:rsid w:val="001B6BBA"/>
    <w:rsid w:val="001B6BCE"/>
    <w:rsid w:val="001B6C10"/>
    <w:rsid w:val="001B6DC6"/>
    <w:rsid w:val="001B71AA"/>
    <w:rsid w:val="001B72E9"/>
    <w:rsid w:val="001B731A"/>
    <w:rsid w:val="001B74D9"/>
    <w:rsid w:val="001B7581"/>
    <w:rsid w:val="001B77D6"/>
    <w:rsid w:val="001B7E8E"/>
    <w:rsid w:val="001B7F72"/>
    <w:rsid w:val="001C0167"/>
    <w:rsid w:val="001C059D"/>
    <w:rsid w:val="001C0649"/>
    <w:rsid w:val="001C06BC"/>
    <w:rsid w:val="001C0831"/>
    <w:rsid w:val="001C0929"/>
    <w:rsid w:val="001C0F1D"/>
    <w:rsid w:val="001C0F6B"/>
    <w:rsid w:val="001C0F75"/>
    <w:rsid w:val="001C12ED"/>
    <w:rsid w:val="001C1305"/>
    <w:rsid w:val="001C13FC"/>
    <w:rsid w:val="001C153D"/>
    <w:rsid w:val="001C16D0"/>
    <w:rsid w:val="001C16FF"/>
    <w:rsid w:val="001C2293"/>
    <w:rsid w:val="001C2333"/>
    <w:rsid w:val="001C2335"/>
    <w:rsid w:val="001C262D"/>
    <w:rsid w:val="001C26DB"/>
    <w:rsid w:val="001C28C0"/>
    <w:rsid w:val="001C2939"/>
    <w:rsid w:val="001C29C7"/>
    <w:rsid w:val="001C2A69"/>
    <w:rsid w:val="001C2C43"/>
    <w:rsid w:val="001C2CED"/>
    <w:rsid w:val="001C2FAE"/>
    <w:rsid w:val="001C3279"/>
    <w:rsid w:val="001C364E"/>
    <w:rsid w:val="001C36A5"/>
    <w:rsid w:val="001C3705"/>
    <w:rsid w:val="001C3780"/>
    <w:rsid w:val="001C37BB"/>
    <w:rsid w:val="001C3915"/>
    <w:rsid w:val="001C3A41"/>
    <w:rsid w:val="001C3BF5"/>
    <w:rsid w:val="001C3D04"/>
    <w:rsid w:val="001C3DA1"/>
    <w:rsid w:val="001C3F35"/>
    <w:rsid w:val="001C41CD"/>
    <w:rsid w:val="001C4214"/>
    <w:rsid w:val="001C459D"/>
    <w:rsid w:val="001C47A1"/>
    <w:rsid w:val="001C4A14"/>
    <w:rsid w:val="001C4AAD"/>
    <w:rsid w:val="001C4ACF"/>
    <w:rsid w:val="001C4C3D"/>
    <w:rsid w:val="001C52BF"/>
    <w:rsid w:val="001C53D9"/>
    <w:rsid w:val="001C570B"/>
    <w:rsid w:val="001C5867"/>
    <w:rsid w:val="001C5B60"/>
    <w:rsid w:val="001C5D53"/>
    <w:rsid w:val="001C5F5D"/>
    <w:rsid w:val="001C5F8B"/>
    <w:rsid w:val="001C6029"/>
    <w:rsid w:val="001C6066"/>
    <w:rsid w:val="001C62A3"/>
    <w:rsid w:val="001C6424"/>
    <w:rsid w:val="001C6559"/>
    <w:rsid w:val="001C67BF"/>
    <w:rsid w:val="001C6EA0"/>
    <w:rsid w:val="001C708E"/>
    <w:rsid w:val="001C70BD"/>
    <w:rsid w:val="001C713A"/>
    <w:rsid w:val="001C7267"/>
    <w:rsid w:val="001C7303"/>
    <w:rsid w:val="001C7444"/>
    <w:rsid w:val="001C7937"/>
    <w:rsid w:val="001C7D15"/>
    <w:rsid w:val="001C7DDA"/>
    <w:rsid w:val="001C7F85"/>
    <w:rsid w:val="001C7F90"/>
    <w:rsid w:val="001C7FC4"/>
    <w:rsid w:val="001D00BD"/>
    <w:rsid w:val="001D02AC"/>
    <w:rsid w:val="001D0340"/>
    <w:rsid w:val="001D05D6"/>
    <w:rsid w:val="001D05F6"/>
    <w:rsid w:val="001D0728"/>
    <w:rsid w:val="001D090B"/>
    <w:rsid w:val="001D0925"/>
    <w:rsid w:val="001D0951"/>
    <w:rsid w:val="001D0999"/>
    <w:rsid w:val="001D099D"/>
    <w:rsid w:val="001D09E1"/>
    <w:rsid w:val="001D0ED4"/>
    <w:rsid w:val="001D0ED8"/>
    <w:rsid w:val="001D10B6"/>
    <w:rsid w:val="001D114A"/>
    <w:rsid w:val="001D16A0"/>
    <w:rsid w:val="001D1A0E"/>
    <w:rsid w:val="001D1A94"/>
    <w:rsid w:val="001D1E52"/>
    <w:rsid w:val="001D1F5D"/>
    <w:rsid w:val="001D210B"/>
    <w:rsid w:val="001D21BE"/>
    <w:rsid w:val="001D2494"/>
    <w:rsid w:val="001D2684"/>
    <w:rsid w:val="001D2938"/>
    <w:rsid w:val="001D2AF6"/>
    <w:rsid w:val="001D2B4A"/>
    <w:rsid w:val="001D2D80"/>
    <w:rsid w:val="001D3199"/>
    <w:rsid w:val="001D323B"/>
    <w:rsid w:val="001D3253"/>
    <w:rsid w:val="001D3462"/>
    <w:rsid w:val="001D353C"/>
    <w:rsid w:val="001D3919"/>
    <w:rsid w:val="001D3B82"/>
    <w:rsid w:val="001D3C58"/>
    <w:rsid w:val="001D3E20"/>
    <w:rsid w:val="001D3E21"/>
    <w:rsid w:val="001D3E7A"/>
    <w:rsid w:val="001D400D"/>
    <w:rsid w:val="001D420D"/>
    <w:rsid w:val="001D42AF"/>
    <w:rsid w:val="001D4410"/>
    <w:rsid w:val="001D44BB"/>
    <w:rsid w:val="001D4528"/>
    <w:rsid w:val="001D4545"/>
    <w:rsid w:val="001D457C"/>
    <w:rsid w:val="001D46F5"/>
    <w:rsid w:val="001D4866"/>
    <w:rsid w:val="001D48D5"/>
    <w:rsid w:val="001D4926"/>
    <w:rsid w:val="001D4A2B"/>
    <w:rsid w:val="001D4AEE"/>
    <w:rsid w:val="001D4AEF"/>
    <w:rsid w:val="001D4C27"/>
    <w:rsid w:val="001D4C51"/>
    <w:rsid w:val="001D4C74"/>
    <w:rsid w:val="001D4F61"/>
    <w:rsid w:val="001D4FCF"/>
    <w:rsid w:val="001D4FDA"/>
    <w:rsid w:val="001D528E"/>
    <w:rsid w:val="001D5591"/>
    <w:rsid w:val="001D561E"/>
    <w:rsid w:val="001D56EF"/>
    <w:rsid w:val="001D5940"/>
    <w:rsid w:val="001D5AAC"/>
    <w:rsid w:val="001D5B26"/>
    <w:rsid w:val="001D601E"/>
    <w:rsid w:val="001D627A"/>
    <w:rsid w:val="001D649F"/>
    <w:rsid w:val="001D661F"/>
    <w:rsid w:val="001D67DB"/>
    <w:rsid w:val="001D6831"/>
    <w:rsid w:val="001D6AB6"/>
    <w:rsid w:val="001D6C73"/>
    <w:rsid w:val="001D7052"/>
    <w:rsid w:val="001D7116"/>
    <w:rsid w:val="001D7205"/>
    <w:rsid w:val="001D7574"/>
    <w:rsid w:val="001D75F0"/>
    <w:rsid w:val="001D7891"/>
    <w:rsid w:val="001D7922"/>
    <w:rsid w:val="001D7B51"/>
    <w:rsid w:val="001E032C"/>
    <w:rsid w:val="001E04DC"/>
    <w:rsid w:val="001E05A1"/>
    <w:rsid w:val="001E07EC"/>
    <w:rsid w:val="001E0A40"/>
    <w:rsid w:val="001E0A4B"/>
    <w:rsid w:val="001E0AD9"/>
    <w:rsid w:val="001E1237"/>
    <w:rsid w:val="001E13B8"/>
    <w:rsid w:val="001E1680"/>
    <w:rsid w:val="001E178E"/>
    <w:rsid w:val="001E183C"/>
    <w:rsid w:val="001E185F"/>
    <w:rsid w:val="001E19B7"/>
    <w:rsid w:val="001E1A58"/>
    <w:rsid w:val="001E1B2D"/>
    <w:rsid w:val="001E1D32"/>
    <w:rsid w:val="001E1D6E"/>
    <w:rsid w:val="001E1DC9"/>
    <w:rsid w:val="001E1E51"/>
    <w:rsid w:val="001E1E73"/>
    <w:rsid w:val="001E1E86"/>
    <w:rsid w:val="001E1F6B"/>
    <w:rsid w:val="001E1FC5"/>
    <w:rsid w:val="001E2128"/>
    <w:rsid w:val="001E2249"/>
    <w:rsid w:val="001E2287"/>
    <w:rsid w:val="001E22C9"/>
    <w:rsid w:val="001E24BD"/>
    <w:rsid w:val="001E257C"/>
    <w:rsid w:val="001E26B8"/>
    <w:rsid w:val="001E274D"/>
    <w:rsid w:val="001E2AA9"/>
    <w:rsid w:val="001E2B30"/>
    <w:rsid w:val="001E2B54"/>
    <w:rsid w:val="001E2C89"/>
    <w:rsid w:val="001E302C"/>
    <w:rsid w:val="001E3178"/>
    <w:rsid w:val="001E32ED"/>
    <w:rsid w:val="001E35BA"/>
    <w:rsid w:val="001E392B"/>
    <w:rsid w:val="001E3998"/>
    <w:rsid w:val="001E3CA0"/>
    <w:rsid w:val="001E3CD1"/>
    <w:rsid w:val="001E3D9F"/>
    <w:rsid w:val="001E4168"/>
    <w:rsid w:val="001E4172"/>
    <w:rsid w:val="001E4295"/>
    <w:rsid w:val="001E43B0"/>
    <w:rsid w:val="001E43CC"/>
    <w:rsid w:val="001E4422"/>
    <w:rsid w:val="001E4511"/>
    <w:rsid w:val="001E4516"/>
    <w:rsid w:val="001E460D"/>
    <w:rsid w:val="001E4778"/>
    <w:rsid w:val="001E48F9"/>
    <w:rsid w:val="001E4A1E"/>
    <w:rsid w:val="001E4B62"/>
    <w:rsid w:val="001E4B84"/>
    <w:rsid w:val="001E4BF6"/>
    <w:rsid w:val="001E4C88"/>
    <w:rsid w:val="001E4DC2"/>
    <w:rsid w:val="001E523D"/>
    <w:rsid w:val="001E5310"/>
    <w:rsid w:val="001E5750"/>
    <w:rsid w:val="001E5DD9"/>
    <w:rsid w:val="001E5E47"/>
    <w:rsid w:val="001E5EF8"/>
    <w:rsid w:val="001E5F70"/>
    <w:rsid w:val="001E6414"/>
    <w:rsid w:val="001E6421"/>
    <w:rsid w:val="001E64A5"/>
    <w:rsid w:val="001E6578"/>
    <w:rsid w:val="001E6797"/>
    <w:rsid w:val="001E68AF"/>
    <w:rsid w:val="001E699E"/>
    <w:rsid w:val="001E6A40"/>
    <w:rsid w:val="001E6AFD"/>
    <w:rsid w:val="001E6BC0"/>
    <w:rsid w:val="001E6C51"/>
    <w:rsid w:val="001E6C60"/>
    <w:rsid w:val="001E6F41"/>
    <w:rsid w:val="001E6FE6"/>
    <w:rsid w:val="001E70E1"/>
    <w:rsid w:val="001E71B8"/>
    <w:rsid w:val="001E7589"/>
    <w:rsid w:val="001E763B"/>
    <w:rsid w:val="001E765A"/>
    <w:rsid w:val="001E775B"/>
    <w:rsid w:val="001E7977"/>
    <w:rsid w:val="001E7B04"/>
    <w:rsid w:val="001E7BC4"/>
    <w:rsid w:val="001E7BEA"/>
    <w:rsid w:val="001E7D19"/>
    <w:rsid w:val="001E7E37"/>
    <w:rsid w:val="001F01BB"/>
    <w:rsid w:val="001F02AD"/>
    <w:rsid w:val="001F04D9"/>
    <w:rsid w:val="001F07B1"/>
    <w:rsid w:val="001F0824"/>
    <w:rsid w:val="001F0DD3"/>
    <w:rsid w:val="001F0E15"/>
    <w:rsid w:val="001F0FA3"/>
    <w:rsid w:val="001F122E"/>
    <w:rsid w:val="001F1385"/>
    <w:rsid w:val="001F138E"/>
    <w:rsid w:val="001F13CB"/>
    <w:rsid w:val="001F145D"/>
    <w:rsid w:val="001F1472"/>
    <w:rsid w:val="001F159F"/>
    <w:rsid w:val="001F179D"/>
    <w:rsid w:val="001F19A9"/>
    <w:rsid w:val="001F1EBA"/>
    <w:rsid w:val="001F1EC1"/>
    <w:rsid w:val="001F2148"/>
    <w:rsid w:val="001F21F7"/>
    <w:rsid w:val="001F24CE"/>
    <w:rsid w:val="001F27C1"/>
    <w:rsid w:val="001F2964"/>
    <w:rsid w:val="001F2B33"/>
    <w:rsid w:val="001F2C19"/>
    <w:rsid w:val="001F2E9D"/>
    <w:rsid w:val="001F3028"/>
    <w:rsid w:val="001F3095"/>
    <w:rsid w:val="001F31A7"/>
    <w:rsid w:val="001F32A5"/>
    <w:rsid w:val="001F32FC"/>
    <w:rsid w:val="001F3408"/>
    <w:rsid w:val="001F346C"/>
    <w:rsid w:val="001F34C4"/>
    <w:rsid w:val="001F352F"/>
    <w:rsid w:val="001F3548"/>
    <w:rsid w:val="001F36DC"/>
    <w:rsid w:val="001F371E"/>
    <w:rsid w:val="001F3844"/>
    <w:rsid w:val="001F3888"/>
    <w:rsid w:val="001F388C"/>
    <w:rsid w:val="001F38D3"/>
    <w:rsid w:val="001F38EE"/>
    <w:rsid w:val="001F39DF"/>
    <w:rsid w:val="001F3A14"/>
    <w:rsid w:val="001F3EE0"/>
    <w:rsid w:val="001F3F47"/>
    <w:rsid w:val="001F3F76"/>
    <w:rsid w:val="001F3FED"/>
    <w:rsid w:val="001F4081"/>
    <w:rsid w:val="001F43D1"/>
    <w:rsid w:val="001F452F"/>
    <w:rsid w:val="001F4557"/>
    <w:rsid w:val="001F45DF"/>
    <w:rsid w:val="001F46D5"/>
    <w:rsid w:val="001F4853"/>
    <w:rsid w:val="001F4945"/>
    <w:rsid w:val="001F49AF"/>
    <w:rsid w:val="001F4BC9"/>
    <w:rsid w:val="001F4DB5"/>
    <w:rsid w:val="001F4E02"/>
    <w:rsid w:val="001F4E6A"/>
    <w:rsid w:val="001F4E8E"/>
    <w:rsid w:val="001F5249"/>
    <w:rsid w:val="001F548D"/>
    <w:rsid w:val="001F54D1"/>
    <w:rsid w:val="001F5778"/>
    <w:rsid w:val="001F5AEF"/>
    <w:rsid w:val="001F5B42"/>
    <w:rsid w:val="001F5C00"/>
    <w:rsid w:val="001F5C6C"/>
    <w:rsid w:val="001F5D05"/>
    <w:rsid w:val="001F5EBB"/>
    <w:rsid w:val="001F659B"/>
    <w:rsid w:val="001F6956"/>
    <w:rsid w:val="001F6998"/>
    <w:rsid w:val="001F6BDD"/>
    <w:rsid w:val="001F6E21"/>
    <w:rsid w:val="001F6EC9"/>
    <w:rsid w:val="001F6F27"/>
    <w:rsid w:val="001F6FF7"/>
    <w:rsid w:val="001F719A"/>
    <w:rsid w:val="001F72A3"/>
    <w:rsid w:val="001F7422"/>
    <w:rsid w:val="001F74D2"/>
    <w:rsid w:val="001F775D"/>
    <w:rsid w:val="001F7B65"/>
    <w:rsid w:val="001F7CFA"/>
    <w:rsid w:val="001F7E39"/>
    <w:rsid w:val="001F7E62"/>
    <w:rsid w:val="001F7F11"/>
    <w:rsid w:val="001F7F65"/>
    <w:rsid w:val="00200133"/>
    <w:rsid w:val="00200355"/>
    <w:rsid w:val="0020038C"/>
    <w:rsid w:val="00200415"/>
    <w:rsid w:val="00200470"/>
    <w:rsid w:val="0020055A"/>
    <w:rsid w:val="002006C6"/>
    <w:rsid w:val="00200A02"/>
    <w:rsid w:val="00200C32"/>
    <w:rsid w:val="00200CB7"/>
    <w:rsid w:val="00200E72"/>
    <w:rsid w:val="00201288"/>
    <w:rsid w:val="00201466"/>
    <w:rsid w:val="00201532"/>
    <w:rsid w:val="0020184B"/>
    <w:rsid w:val="00201AE5"/>
    <w:rsid w:val="00201E07"/>
    <w:rsid w:val="00201F31"/>
    <w:rsid w:val="0020215C"/>
    <w:rsid w:val="0020248E"/>
    <w:rsid w:val="00202685"/>
    <w:rsid w:val="0020270F"/>
    <w:rsid w:val="002029F4"/>
    <w:rsid w:val="00202A20"/>
    <w:rsid w:val="00202A93"/>
    <w:rsid w:val="00202E8D"/>
    <w:rsid w:val="00202FC1"/>
    <w:rsid w:val="002030DC"/>
    <w:rsid w:val="00203218"/>
    <w:rsid w:val="00203306"/>
    <w:rsid w:val="002033CF"/>
    <w:rsid w:val="00203989"/>
    <w:rsid w:val="00203A0F"/>
    <w:rsid w:val="00203AD4"/>
    <w:rsid w:val="00203B6F"/>
    <w:rsid w:val="00203B73"/>
    <w:rsid w:val="00203D1B"/>
    <w:rsid w:val="00204383"/>
    <w:rsid w:val="00204470"/>
    <w:rsid w:val="00204932"/>
    <w:rsid w:val="00204B56"/>
    <w:rsid w:val="00204CCA"/>
    <w:rsid w:val="00204E73"/>
    <w:rsid w:val="0020506E"/>
    <w:rsid w:val="00205596"/>
    <w:rsid w:val="00205808"/>
    <w:rsid w:val="00205817"/>
    <w:rsid w:val="00205920"/>
    <w:rsid w:val="00205AED"/>
    <w:rsid w:val="00205DE4"/>
    <w:rsid w:val="00205EAE"/>
    <w:rsid w:val="002061C5"/>
    <w:rsid w:val="002061CC"/>
    <w:rsid w:val="00206453"/>
    <w:rsid w:val="0020691D"/>
    <w:rsid w:val="002069A0"/>
    <w:rsid w:val="002069C4"/>
    <w:rsid w:val="00206BAE"/>
    <w:rsid w:val="00206C56"/>
    <w:rsid w:val="00206D6E"/>
    <w:rsid w:val="00206E39"/>
    <w:rsid w:val="00206E7D"/>
    <w:rsid w:val="002073CD"/>
    <w:rsid w:val="00207647"/>
    <w:rsid w:val="00207690"/>
    <w:rsid w:val="002076D6"/>
    <w:rsid w:val="0020779B"/>
    <w:rsid w:val="00207A8D"/>
    <w:rsid w:val="00207AFA"/>
    <w:rsid w:val="00207BD7"/>
    <w:rsid w:val="00207CE2"/>
    <w:rsid w:val="00207D37"/>
    <w:rsid w:val="00207E8E"/>
    <w:rsid w:val="00210089"/>
    <w:rsid w:val="00210463"/>
    <w:rsid w:val="002105D2"/>
    <w:rsid w:val="00210693"/>
    <w:rsid w:val="00210737"/>
    <w:rsid w:val="0021098C"/>
    <w:rsid w:val="00210C10"/>
    <w:rsid w:val="00210E2B"/>
    <w:rsid w:val="00210FB4"/>
    <w:rsid w:val="00211051"/>
    <w:rsid w:val="00211101"/>
    <w:rsid w:val="0021128B"/>
    <w:rsid w:val="00211331"/>
    <w:rsid w:val="00211544"/>
    <w:rsid w:val="002116AE"/>
    <w:rsid w:val="002116B5"/>
    <w:rsid w:val="002117B1"/>
    <w:rsid w:val="00211BD0"/>
    <w:rsid w:val="002122B5"/>
    <w:rsid w:val="00212534"/>
    <w:rsid w:val="0021254B"/>
    <w:rsid w:val="00212606"/>
    <w:rsid w:val="002127DA"/>
    <w:rsid w:val="0021291F"/>
    <w:rsid w:val="00212953"/>
    <w:rsid w:val="00212BA6"/>
    <w:rsid w:val="00212D03"/>
    <w:rsid w:val="00212D5C"/>
    <w:rsid w:val="00212F57"/>
    <w:rsid w:val="00213154"/>
    <w:rsid w:val="00213240"/>
    <w:rsid w:val="00213334"/>
    <w:rsid w:val="002133AB"/>
    <w:rsid w:val="00213569"/>
    <w:rsid w:val="00213807"/>
    <w:rsid w:val="00213B05"/>
    <w:rsid w:val="00213C3E"/>
    <w:rsid w:val="00213C66"/>
    <w:rsid w:val="00213C8A"/>
    <w:rsid w:val="00213CEA"/>
    <w:rsid w:val="00213CF2"/>
    <w:rsid w:val="00213CFE"/>
    <w:rsid w:val="00213DA6"/>
    <w:rsid w:val="00213F3B"/>
    <w:rsid w:val="00213F79"/>
    <w:rsid w:val="00213FD5"/>
    <w:rsid w:val="002140CB"/>
    <w:rsid w:val="002141CA"/>
    <w:rsid w:val="00214204"/>
    <w:rsid w:val="0021425E"/>
    <w:rsid w:val="002142D8"/>
    <w:rsid w:val="002143E3"/>
    <w:rsid w:val="002144DA"/>
    <w:rsid w:val="00214531"/>
    <w:rsid w:val="002145B7"/>
    <w:rsid w:val="002145D4"/>
    <w:rsid w:val="0021486B"/>
    <w:rsid w:val="0021487A"/>
    <w:rsid w:val="00214904"/>
    <w:rsid w:val="00214B5B"/>
    <w:rsid w:val="00214B68"/>
    <w:rsid w:val="00214D70"/>
    <w:rsid w:val="00214F70"/>
    <w:rsid w:val="00215280"/>
    <w:rsid w:val="002156CC"/>
    <w:rsid w:val="0021590E"/>
    <w:rsid w:val="002159E0"/>
    <w:rsid w:val="00215A8B"/>
    <w:rsid w:val="00215B1C"/>
    <w:rsid w:val="00215C86"/>
    <w:rsid w:val="00215C97"/>
    <w:rsid w:val="00215C98"/>
    <w:rsid w:val="00215E25"/>
    <w:rsid w:val="002167B8"/>
    <w:rsid w:val="00216911"/>
    <w:rsid w:val="00216B15"/>
    <w:rsid w:val="00216B24"/>
    <w:rsid w:val="00216B86"/>
    <w:rsid w:val="00216C83"/>
    <w:rsid w:val="00216D39"/>
    <w:rsid w:val="00216FAC"/>
    <w:rsid w:val="00217466"/>
    <w:rsid w:val="002175B5"/>
    <w:rsid w:val="00217780"/>
    <w:rsid w:val="00217CDE"/>
    <w:rsid w:val="00217D52"/>
    <w:rsid w:val="00217D7A"/>
    <w:rsid w:val="0022007F"/>
    <w:rsid w:val="00220163"/>
    <w:rsid w:val="002201FD"/>
    <w:rsid w:val="002207CE"/>
    <w:rsid w:val="00220A5E"/>
    <w:rsid w:val="00220AA9"/>
    <w:rsid w:val="00220AE5"/>
    <w:rsid w:val="00220BE1"/>
    <w:rsid w:val="00220BED"/>
    <w:rsid w:val="00220DC7"/>
    <w:rsid w:val="00221110"/>
    <w:rsid w:val="002212DF"/>
    <w:rsid w:val="002212E4"/>
    <w:rsid w:val="00221410"/>
    <w:rsid w:val="002217A1"/>
    <w:rsid w:val="002217C1"/>
    <w:rsid w:val="00221864"/>
    <w:rsid w:val="00221AC0"/>
    <w:rsid w:val="00221B0D"/>
    <w:rsid w:val="00221FAA"/>
    <w:rsid w:val="00222139"/>
    <w:rsid w:val="0022246B"/>
    <w:rsid w:val="00222A74"/>
    <w:rsid w:val="00223095"/>
    <w:rsid w:val="00223142"/>
    <w:rsid w:val="002232A2"/>
    <w:rsid w:val="0022339E"/>
    <w:rsid w:val="00223568"/>
    <w:rsid w:val="00223B5A"/>
    <w:rsid w:val="00223BF2"/>
    <w:rsid w:val="00223CF9"/>
    <w:rsid w:val="00223E5B"/>
    <w:rsid w:val="00224059"/>
    <w:rsid w:val="002244C6"/>
    <w:rsid w:val="002246FE"/>
    <w:rsid w:val="00224747"/>
    <w:rsid w:val="0022486D"/>
    <w:rsid w:val="0022497B"/>
    <w:rsid w:val="00224E3A"/>
    <w:rsid w:val="00224EC3"/>
    <w:rsid w:val="002252E7"/>
    <w:rsid w:val="00225566"/>
    <w:rsid w:val="00225586"/>
    <w:rsid w:val="00225813"/>
    <w:rsid w:val="00225A0C"/>
    <w:rsid w:val="00225BEA"/>
    <w:rsid w:val="00225D94"/>
    <w:rsid w:val="00225F5B"/>
    <w:rsid w:val="00225F8C"/>
    <w:rsid w:val="00226181"/>
    <w:rsid w:val="0022645C"/>
    <w:rsid w:val="002265B1"/>
    <w:rsid w:val="00226993"/>
    <w:rsid w:val="00226B24"/>
    <w:rsid w:val="00226B90"/>
    <w:rsid w:val="00226BC9"/>
    <w:rsid w:val="00226C87"/>
    <w:rsid w:val="00226DA2"/>
    <w:rsid w:val="00226ED3"/>
    <w:rsid w:val="002270A2"/>
    <w:rsid w:val="00227111"/>
    <w:rsid w:val="002271EB"/>
    <w:rsid w:val="002275FC"/>
    <w:rsid w:val="002275FF"/>
    <w:rsid w:val="002279C6"/>
    <w:rsid w:val="00227A7E"/>
    <w:rsid w:val="00227B0E"/>
    <w:rsid w:val="00227B10"/>
    <w:rsid w:val="00227DDA"/>
    <w:rsid w:val="0023007B"/>
    <w:rsid w:val="00230D05"/>
    <w:rsid w:val="00230FB4"/>
    <w:rsid w:val="00230FCB"/>
    <w:rsid w:val="0023117A"/>
    <w:rsid w:val="00231192"/>
    <w:rsid w:val="002311D9"/>
    <w:rsid w:val="002311FD"/>
    <w:rsid w:val="00231318"/>
    <w:rsid w:val="00231696"/>
    <w:rsid w:val="002316A6"/>
    <w:rsid w:val="00231731"/>
    <w:rsid w:val="00231741"/>
    <w:rsid w:val="0023193C"/>
    <w:rsid w:val="00231B6A"/>
    <w:rsid w:val="00231C2A"/>
    <w:rsid w:val="00231CF4"/>
    <w:rsid w:val="00231E97"/>
    <w:rsid w:val="00231F19"/>
    <w:rsid w:val="00231FE2"/>
    <w:rsid w:val="00231FFF"/>
    <w:rsid w:val="00232098"/>
    <w:rsid w:val="00232110"/>
    <w:rsid w:val="002321FE"/>
    <w:rsid w:val="0023242C"/>
    <w:rsid w:val="00232458"/>
    <w:rsid w:val="002325A9"/>
    <w:rsid w:val="0023260D"/>
    <w:rsid w:val="0023285A"/>
    <w:rsid w:val="002328E8"/>
    <w:rsid w:val="0023295C"/>
    <w:rsid w:val="002329E7"/>
    <w:rsid w:val="00232B4D"/>
    <w:rsid w:val="00232CFE"/>
    <w:rsid w:val="00232DD0"/>
    <w:rsid w:val="00232FA9"/>
    <w:rsid w:val="002330A8"/>
    <w:rsid w:val="00233100"/>
    <w:rsid w:val="00233101"/>
    <w:rsid w:val="00233219"/>
    <w:rsid w:val="00233262"/>
    <w:rsid w:val="0023340C"/>
    <w:rsid w:val="0023343E"/>
    <w:rsid w:val="00233525"/>
    <w:rsid w:val="00233710"/>
    <w:rsid w:val="002337DE"/>
    <w:rsid w:val="00233839"/>
    <w:rsid w:val="00233DF8"/>
    <w:rsid w:val="00233E51"/>
    <w:rsid w:val="00233E73"/>
    <w:rsid w:val="00233ED2"/>
    <w:rsid w:val="0023409F"/>
    <w:rsid w:val="00234339"/>
    <w:rsid w:val="00234573"/>
    <w:rsid w:val="002347E0"/>
    <w:rsid w:val="002349DD"/>
    <w:rsid w:val="00234BC8"/>
    <w:rsid w:val="00234C0F"/>
    <w:rsid w:val="00234DA3"/>
    <w:rsid w:val="00234E42"/>
    <w:rsid w:val="00235871"/>
    <w:rsid w:val="002358E1"/>
    <w:rsid w:val="00235B77"/>
    <w:rsid w:val="00235DB8"/>
    <w:rsid w:val="00235F1D"/>
    <w:rsid w:val="00236115"/>
    <w:rsid w:val="00236167"/>
    <w:rsid w:val="002361F4"/>
    <w:rsid w:val="0023667A"/>
    <w:rsid w:val="0023679F"/>
    <w:rsid w:val="002368CF"/>
    <w:rsid w:val="00236944"/>
    <w:rsid w:val="002369FC"/>
    <w:rsid w:val="00236D9B"/>
    <w:rsid w:val="00236E61"/>
    <w:rsid w:val="00236F58"/>
    <w:rsid w:val="002371AC"/>
    <w:rsid w:val="0023783D"/>
    <w:rsid w:val="00237C0D"/>
    <w:rsid w:val="00237C33"/>
    <w:rsid w:val="00237D37"/>
    <w:rsid w:val="00237D3A"/>
    <w:rsid w:val="00237F1D"/>
    <w:rsid w:val="002400ED"/>
    <w:rsid w:val="002401B7"/>
    <w:rsid w:val="0024020D"/>
    <w:rsid w:val="0024024A"/>
    <w:rsid w:val="002402BD"/>
    <w:rsid w:val="002404B5"/>
    <w:rsid w:val="0024056C"/>
    <w:rsid w:val="002407D6"/>
    <w:rsid w:val="002409A8"/>
    <w:rsid w:val="00240D6D"/>
    <w:rsid w:val="00240DE3"/>
    <w:rsid w:val="00240E72"/>
    <w:rsid w:val="00240E86"/>
    <w:rsid w:val="00241024"/>
    <w:rsid w:val="00241029"/>
    <w:rsid w:val="00241187"/>
    <w:rsid w:val="0024165A"/>
    <w:rsid w:val="0024170D"/>
    <w:rsid w:val="00241899"/>
    <w:rsid w:val="00241A50"/>
    <w:rsid w:val="00241B10"/>
    <w:rsid w:val="00241B70"/>
    <w:rsid w:val="00241BA6"/>
    <w:rsid w:val="00241BE6"/>
    <w:rsid w:val="00241C27"/>
    <w:rsid w:val="00241CE2"/>
    <w:rsid w:val="00241D07"/>
    <w:rsid w:val="00241D2C"/>
    <w:rsid w:val="0024206D"/>
    <w:rsid w:val="002422C7"/>
    <w:rsid w:val="002422DA"/>
    <w:rsid w:val="00242352"/>
    <w:rsid w:val="002423D4"/>
    <w:rsid w:val="0024257C"/>
    <w:rsid w:val="00242593"/>
    <w:rsid w:val="002425D3"/>
    <w:rsid w:val="0024283B"/>
    <w:rsid w:val="00242A63"/>
    <w:rsid w:val="00242A8F"/>
    <w:rsid w:val="00242B5F"/>
    <w:rsid w:val="00242BD4"/>
    <w:rsid w:val="00242C76"/>
    <w:rsid w:val="00242C7A"/>
    <w:rsid w:val="00242ED3"/>
    <w:rsid w:val="002435D5"/>
    <w:rsid w:val="002435F5"/>
    <w:rsid w:val="002436C1"/>
    <w:rsid w:val="002436EA"/>
    <w:rsid w:val="0024378B"/>
    <w:rsid w:val="0024379C"/>
    <w:rsid w:val="002437BD"/>
    <w:rsid w:val="002438E3"/>
    <w:rsid w:val="00243926"/>
    <w:rsid w:val="00243D37"/>
    <w:rsid w:val="00243EE3"/>
    <w:rsid w:val="002441BE"/>
    <w:rsid w:val="002442FC"/>
    <w:rsid w:val="002446E0"/>
    <w:rsid w:val="002446F4"/>
    <w:rsid w:val="00244944"/>
    <w:rsid w:val="00244A42"/>
    <w:rsid w:val="00244A77"/>
    <w:rsid w:val="00244C86"/>
    <w:rsid w:val="00245024"/>
    <w:rsid w:val="002450F5"/>
    <w:rsid w:val="00245129"/>
    <w:rsid w:val="0024532E"/>
    <w:rsid w:val="002454C3"/>
    <w:rsid w:val="002454D6"/>
    <w:rsid w:val="0024551E"/>
    <w:rsid w:val="002455B9"/>
    <w:rsid w:val="002456B0"/>
    <w:rsid w:val="002456E9"/>
    <w:rsid w:val="00245709"/>
    <w:rsid w:val="00245937"/>
    <w:rsid w:val="002459B6"/>
    <w:rsid w:val="00245A03"/>
    <w:rsid w:val="00245AC6"/>
    <w:rsid w:val="00245CB4"/>
    <w:rsid w:val="00246093"/>
    <w:rsid w:val="00246245"/>
    <w:rsid w:val="00246451"/>
    <w:rsid w:val="002464B0"/>
    <w:rsid w:val="002467D0"/>
    <w:rsid w:val="002468EE"/>
    <w:rsid w:val="002469F2"/>
    <w:rsid w:val="00246B57"/>
    <w:rsid w:val="00246C60"/>
    <w:rsid w:val="00246D5F"/>
    <w:rsid w:val="00246DA0"/>
    <w:rsid w:val="00246DF7"/>
    <w:rsid w:val="00246F83"/>
    <w:rsid w:val="002475CD"/>
    <w:rsid w:val="00247639"/>
    <w:rsid w:val="002476B7"/>
    <w:rsid w:val="00247C13"/>
    <w:rsid w:val="00247EBB"/>
    <w:rsid w:val="0025005D"/>
    <w:rsid w:val="0025007F"/>
    <w:rsid w:val="002500D0"/>
    <w:rsid w:val="00250385"/>
    <w:rsid w:val="0025088A"/>
    <w:rsid w:val="00250909"/>
    <w:rsid w:val="00250A07"/>
    <w:rsid w:val="00250A38"/>
    <w:rsid w:val="00250A48"/>
    <w:rsid w:val="00250BD5"/>
    <w:rsid w:val="00250C6A"/>
    <w:rsid w:val="00250C7C"/>
    <w:rsid w:val="00250DBA"/>
    <w:rsid w:val="00250ED6"/>
    <w:rsid w:val="0025123E"/>
    <w:rsid w:val="00251357"/>
    <w:rsid w:val="0025137E"/>
    <w:rsid w:val="00251476"/>
    <w:rsid w:val="00251518"/>
    <w:rsid w:val="00251642"/>
    <w:rsid w:val="00251643"/>
    <w:rsid w:val="00251668"/>
    <w:rsid w:val="002518D6"/>
    <w:rsid w:val="00251C1A"/>
    <w:rsid w:val="00251E36"/>
    <w:rsid w:val="00251F84"/>
    <w:rsid w:val="00252052"/>
    <w:rsid w:val="00252059"/>
    <w:rsid w:val="002520A9"/>
    <w:rsid w:val="002520D8"/>
    <w:rsid w:val="002521FB"/>
    <w:rsid w:val="00252271"/>
    <w:rsid w:val="0025256C"/>
    <w:rsid w:val="00252819"/>
    <w:rsid w:val="0025293F"/>
    <w:rsid w:val="002529E1"/>
    <w:rsid w:val="00252A9D"/>
    <w:rsid w:val="00252BE1"/>
    <w:rsid w:val="00252C09"/>
    <w:rsid w:val="00252E9E"/>
    <w:rsid w:val="00252FD3"/>
    <w:rsid w:val="002533B6"/>
    <w:rsid w:val="002534C0"/>
    <w:rsid w:val="002537FA"/>
    <w:rsid w:val="00253808"/>
    <w:rsid w:val="00253856"/>
    <w:rsid w:val="0025388A"/>
    <w:rsid w:val="00253902"/>
    <w:rsid w:val="00253A06"/>
    <w:rsid w:val="00253ACC"/>
    <w:rsid w:val="00253DE6"/>
    <w:rsid w:val="00253FAF"/>
    <w:rsid w:val="0025402A"/>
    <w:rsid w:val="00254226"/>
    <w:rsid w:val="00254274"/>
    <w:rsid w:val="0025427A"/>
    <w:rsid w:val="00254318"/>
    <w:rsid w:val="0025443C"/>
    <w:rsid w:val="00254456"/>
    <w:rsid w:val="00254506"/>
    <w:rsid w:val="00254699"/>
    <w:rsid w:val="002547F4"/>
    <w:rsid w:val="002548E7"/>
    <w:rsid w:val="00254967"/>
    <w:rsid w:val="00254B5B"/>
    <w:rsid w:val="00254BDB"/>
    <w:rsid w:val="00255072"/>
    <w:rsid w:val="00255287"/>
    <w:rsid w:val="002554AA"/>
    <w:rsid w:val="002554E9"/>
    <w:rsid w:val="002555BD"/>
    <w:rsid w:val="002556A7"/>
    <w:rsid w:val="002556E1"/>
    <w:rsid w:val="0025571F"/>
    <w:rsid w:val="0025572C"/>
    <w:rsid w:val="00255764"/>
    <w:rsid w:val="002558FB"/>
    <w:rsid w:val="00255B66"/>
    <w:rsid w:val="00255C2B"/>
    <w:rsid w:val="00255CE8"/>
    <w:rsid w:val="00255D1E"/>
    <w:rsid w:val="0025605F"/>
    <w:rsid w:val="002560B8"/>
    <w:rsid w:val="0025617C"/>
    <w:rsid w:val="00256256"/>
    <w:rsid w:val="0025629A"/>
    <w:rsid w:val="002562BB"/>
    <w:rsid w:val="0025634C"/>
    <w:rsid w:val="0025638C"/>
    <w:rsid w:val="00256616"/>
    <w:rsid w:val="002569AF"/>
    <w:rsid w:val="00256B4F"/>
    <w:rsid w:val="00256BE1"/>
    <w:rsid w:val="00256BF0"/>
    <w:rsid w:val="00256CB4"/>
    <w:rsid w:val="00256FEE"/>
    <w:rsid w:val="002571B7"/>
    <w:rsid w:val="002573B4"/>
    <w:rsid w:val="002574F0"/>
    <w:rsid w:val="002575E2"/>
    <w:rsid w:val="0025762E"/>
    <w:rsid w:val="002578B8"/>
    <w:rsid w:val="00257914"/>
    <w:rsid w:val="00257BDB"/>
    <w:rsid w:val="00257D93"/>
    <w:rsid w:val="00257DFC"/>
    <w:rsid w:val="00257EAC"/>
    <w:rsid w:val="00257EEE"/>
    <w:rsid w:val="00257EFB"/>
    <w:rsid w:val="00257F5B"/>
    <w:rsid w:val="00260477"/>
    <w:rsid w:val="0026051E"/>
    <w:rsid w:val="00260568"/>
    <w:rsid w:val="00260781"/>
    <w:rsid w:val="00260D2D"/>
    <w:rsid w:val="00260DB2"/>
    <w:rsid w:val="0026120A"/>
    <w:rsid w:val="00261405"/>
    <w:rsid w:val="00261551"/>
    <w:rsid w:val="00261636"/>
    <w:rsid w:val="002616CE"/>
    <w:rsid w:val="00261918"/>
    <w:rsid w:val="00261BBF"/>
    <w:rsid w:val="00261CFE"/>
    <w:rsid w:val="002622DC"/>
    <w:rsid w:val="00262358"/>
    <w:rsid w:val="00262464"/>
    <w:rsid w:val="0026255B"/>
    <w:rsid w:val="00262808"/>
    <w:rsid w:val="00262813"/>
    <w:rsid w:val="00262A81"/>
    <w:rsid w:val="00262B2E"/>
    <w:rsid w:val="00262B45"/>
    <w:rsid w:val="00262D48"/>
    <w:rsid w:val="002630F3"/>
    <w:rsid w:val="0026340A"/>
    <w:rsid w:val="00263498"/>
    <w:rsid w:val="002634A2"/>
    <w:rsid w:val="002637D1"/>
    <w:rsid w:val="002637E3"/>
    <w:rsid w:val="0026390B"/>
    <w:rsid w:val="00263C5D"/>
    <w:rsid w:val="00263CE6"/>
    <w:rsid w:val="00264396"/>
    <w:rsid w:val="002644D3"/>
    <w:rsid w:val="002647D2"/>
    <w:rsid w:val="00264936"/>
    <w:rsid w:val="0026497A"/>
    <w:rsid w:val="00264A5F"/>
    <w:rsid w:val="00264F16"/>
    <w:rsid w:val="00264F5A"/>
    <w:rsid w:val="00264F7E"/>
    <w:rsid w:val="00264F9A"/>
    <w:rsid w:val="00265093"/>
    <w:rsid w:val="002655DB"/>
    <w:rsid w:val="00265610"/>
    <w:rsid w:val="0026583F"/>
    <w:rsid w:val="002658C8"/>
    <w:rsid w:val="00265AAA"/>
    <w:rsid w:val="00265B22"/>
    <w:rsid w:val="00265B27"/>
    <w:rsid w:val="00265C29"/>
    <w:rsid w:val="00265CC1"/>
    <w:rsid w:val="00266040"/>
    <w:rsid w:val="0026622C"/>
    <w:rsid w:val="002667B0"/>
    <w:rsid w:val="002667BA"/>
    <w:rsid w:val="0026696E"/>
    <w:rsid w:val="00266A13"/>
    <w:rsid w:val="00266A3F"/>
    <w:rsid w:val="0026706D"/>
    <w:rsid w:val="00267084"/>
    <w:rsid w:val="00267116"/>
    <w:rsid w:val="0026721A"/>
    <w:rsid w:val="0026735A"/>
    <w:rsid w:val="002674B5"/>
    <w:rsid w:val="002674EF"/>
    <w:rsid w:val="0026770C"/>
    <w:rsid w:val="00267AC8"/>
    <w:rsid w:val="00267ADE"/>
    <w:rsid w:val="00267BC7"/>
    <w:rsid w:val="00267C34"/>
    <w:rsid w:val="00270020"/>
    <w:rsid w:val="002700FA"/>
    <w:rsid w:val="00270178"/>
    <w:rsid w:val="002701AD"/>
    <w:rsid w:val="002702C1"/>
    <w:rsid w:val="00270402"/>
    <w:rsid w:val="0027058A"/>
    <w:rsid w:val="002705A5"/>
    <w:rsid w:val="002707A3"/>
    <w:rsid w:val="002709B9"/>
    <w:rsid w:val="00270A3C"/>
    <w:rsid w:val="00270B50"/>
    <w:rsid w:val="00270BEF"/>
    <w:rsid w:val="00270CB9"/>
    <w:rsid w:val="00270CDC"/>
    <w:rsid w:val="00270F03"/>
    <w:rsid w:val="00270FD5"/>
    <w:rsid w:val="00271057"/>
    <w:rsid w:val="0027125D"/>
    <w:rsid w:val="002713FF"/>
    <w:rsid w:val="00271403"/>
    <w:rsid w:val="002714FC"/>
    <w:rsid w:val="00271512"/>
    <w:rsid w:val="00271610"/>
    <w:rsid w:val="0027193D"/>
    <w:rsid w:val="00271BF8"/>
    <w:rsid w:val="00271D2E"/>
    <w:rsid w:val="00271DFE"/>
    <w:rsid w:val="0027208E"/>
    <w:rsid w:val="00272194"/>
    <w:rsid w:val="002723D2"/>
    <w:rsid w:val="00272824"/>
    <w:rsid w:val="002729A8"/>
    <w:rsid w:val="00272AE6"/>
    <w:rsid w:val="0027315E"/>
    <w:rsid w:val="0027317A"/>
    <w:rsid w:val="002733F8"/>
    <w:rsid w:val="00273482"/>
    <w:rsid w:val="0027356C"/>
    <w:rsid w:val="0027358E"/>
    <w:rsid w:val="0027372F"/>
    <w:rsid w:val="0027383A"/>
    <w:rsid w:val="002739C7"/>
    <w:rsid w:val="00273D70"/>
    <w:rsid w:val="00273D84"/>
    <w:rsid w:val="00273DAC"/>
    <w:rsid w:val="00273E91"/>
    <w:rsid w:val="00273F3A"/>
    <w:rsid w:val="00273F3F"/>
    <w:rsid w:val="0027401B"/>
    <w:rsid w:val="00274172"/>
    <w:rsid w:val="0027417A"/>
    <w:rsid w:val="002741FC"/>
    <w:rsid w:val="00274506"/>
    <w:rsid w:val="00274535"/>
    <w:rsid w:val="00274AF9"/>
    <w:rsid w:val="00274B46"/>
    <w:rsid w:val="00274C96"/>
    <w:rsid w:val="00274E6E"/>
    <w:rsid w:val="002750B7"/>
    <w:rsid w:val="002757FF"/>
    <w:rsid w:val="002758DD"/>
    <w:rsid w:val="00275980"/>
    <w:rsid w:val="00275EED"/>
    <w:rsid w:val="00275F34"/>
    <w:rsid w:val="002761A0"/>
    <w:rsid w:val="002761B8"/>
    <w:rsid w:val="00276207"/>
    <w:rsid w:val="002763ED"/>
    <w:rsid w:val="002764E6"/>
    <w:rsid w:val="002765F5"/>
    <w:rsid w:val="00276693"/>
    <w:rsid w:val="0027679A"/>
    <w:rsid w:val="0027689C"/>
    <w:rsid w:val="00276920"/>
    <w:rsid w:val="00276A90"/>
    <w:rsid w:val="00276C8B"/>
    <w:rsid w:val="00277188"/>
    <w:rsid w:val="002771C4"/>
    <w:rsid w:val="002774B7"/>
    <w:rsid w:val="00277573"/>
    <w:rsid w:val="0027799A"/>
    <w:rsid w:val="00277C16"/>
    <w:rsid w:val="00277DE6"/>
    <w:rsid w:val="0028006C"/>
    <w:rsid w:val="0028024A"/>
    <w:rsid w:val="00280377"/>
    <w:rsid w:val="00280669"/>
    <w:rsid w:val="00280818"/>
    <w:rsid w:val="00280986"/>
    <w:rsid w:val="00280C3D"/>
    <w:rsid w:val="00280D3A"/>
    <w:rsid w:val="00281186"/>
    <w:rsid w:val="002811BE"/>
    <w:rsid w:val="0028136E"/>
    <w:rsid w:val="0028141A"/>
    <w:rsid w:val="00281509"/>
    <w:rsid w:val="00281581"/>
    <w:rsid w:val="002815FE"/>
    <w:rsid w:val="00281823"/>
    <w:rsid w:val="00281828"/>
    <w:rsid w:val="00281955"/>
    <w:rsid w:val="00281961"/>
    <w:rsid w:val="002819B6"/>
    <w:rsid w:val="00281AA3"/>
    <w:rsid w:val="00282150"/>
    <w:rsid w:val="0028216F"/>
    <w:rsid w:val="002822DD"/>
    <w:rsid w:val="00282408"/>
    <w:rsid w:val="0028247E"/>
    <w:rsid w:val="0028287D"/>
    <w:rsid w:val="00282924"/>
    <w:rsid w:val="00282A53"/>
    <w:rsid w:val="00282ACA"/>
    <w:rsid w:val="00282B77"/>
    <w:rsid w:val="00282B8B"/>
    <w:rsid w:val="00282BE1"/>
    <w:rsid w:val="00282BED"/>
    <w:rsid w:val="00282D32"/>
    <w:rsid w:val="00282E5D"/>
    <w:rsid w:val="0028344A"/>
    <w:rsid w:val="0028373E"/>
    <w:rsid w:val="002838DB"/>
    <w:rsid w:val="002839E5"/>
    <w:rsid w:val="00283C13"/>
    <w:rsid w:val="00283CAB"/>
    <w:rsid w:val="00283CC0"/>
    <w:rsid w:val="00283E86"/>
    <w:rsid w:val="00283E94"/>
    <w:rsid w:val="00284023"/>
    <w:rsid w:val="00284080"/>
    <w:rsid w:val="00284143"/>
    <w:rsid w:val="002843A7"/>
    <w:rsid w:val="00284453"/>
    <w:rsid w:val="002846BF"/>
    <w:rsid w:val="00284882"/>
    <w:rsid w:val="002849C5"/>
    <w:rsid w:val="00284BF0"/>
    <w:rsid w:val="00284C51"/>
    <w:rsid w:val="00284EBC"/>
    <w:rsid w:val="002850F5"/>
    <w:rsid w:val="002850F7"/>
    <w:rsid w:val="00285167"/>
    <w:rsid w:val="002851E9"/>
    <w:rsid w:val="00285262"/>
    <w:rsid w:val="00285326"/>
    <w:rsid w:val="00285368"/>
    <w:rsid w:val="002854B0"/>
    <w:rsid w:val="002854C7"/>
    <w:rsid w:val="00285598"/>
    <w:rsid w:val="00285B0B"/>
    <w:rsid w:val="00285B60"/>
    <w:rsid w:val="00285B89"/>
    <w:rsid w:val="00285BF2"/>
    <w:rsid w:val="00285C05"/>
    <w:rsid w:val="00285D43"/>
    <w:rsid w:val="00285E80"/>
    <w:rsid w:val="00285FBF"/>
    <w:rsid w:val="002860FC"/>
    <w:rsid w:val="00286492"/>
    <w:rsid w:val="002864B2"/>
    <w:rsid w:val="0028653B"/>
    <w:rsid w:val="002866B3"/>
    <w:rsid w:val="002866EA"/>
    <w:rsid w:val="00286A21"/>
    <w:rsid w:val="00286ABE"/>
    <w:rsid w:val="00286BFA"/>
    <w:rsid w:val="00286CCC"/>
    <w:rsid w:val="00286F2C"/>
    <w:rsid w:val="00287150"/>
    <w:rsid w:val="00287384"/>
    <w:rsid w:val="002873CB"/>
    <w:rsid w:val="00287462"/>
    <w:rsid w:val="002874D9"/>
    <w:rsid w:val="002874F7"/>
    <w:rsid w:val="002875AF"/>
    <w:rsid w:val="002877A9"/>
    <w:rsid w:val="00287B1B"/>
    <w:rsid w:val="00287E6A"/>
    <w:rsid w:val="0029001B"/>
    <w:rsid w:val="00290521"/>
    <w:rsid w:val="002906AC"/>
    <w:rsid w:val="0029082A"/>
    <w:rsid w:val="0029084C"/>
    <w:rsid w:val="0029089B"/>
    <w:rsid w:val="00290916"/>
    <w:rsid w:val="0029094F"/>
    <w:rsid w:val="00290963"/>
    <w:rsid w:val="002909E8"/>
    <w:rsid w:val="00290A4C"/>
    <w:rsid w:val="00290AE9"/>
    <w:rsid w:val="00290B01"/>
    <w:rsid w:val="00290D14"/>
    <w:rsid w:val="00290EA6"/>
    <w:rsid w:val="002910EB"/>
    <w:rsid w:val="00291326"/>
    <w:rsid w:val="00291344"/>
    <w:rsid w:val="00291443"/>
    <w:rsid w:val="002914A0"/>
    <w:rsid w:val="00291609"/>
    <w:rsid w:val="0029165D"/>
    <w:rsid w:val="00291840"/>
    <w:rsid w:val="00291874"/>
    <w:rsid w:val="00291AF1"/>
    <w:rsid w:val="00291B94"/>
    <w:rsid w:val="00291C6F"/>
    <w:rsid w:val="00291D1B"/>
    <w:rsid w:val="00291DAE"/>
    <w:rsid w:val="00291E63"/>
    <w:rsid w:val="00291F0B"/>
    <w:rsid w:val="0029225F"/>
    <w:rsid w:val="00292504"/>
    <w:rsid w:val="002925C6"/>
    <w:rsid w:val="00292607"/>
    <w:rsid w:val="00292643"/>
    <w:rsid w:val="002926C1"/>
    <w:rsid w:val="00292922"/>
    <w:rsid w:val="00292A77"/>
    <w:rsid w:val="00292A7E"/>
    <w:rsid w:val="00292B3A"/>
    <w:rsid w:val="00292D1F"/>
    <w:rsid w:val="00292F44"/>
    <w:rsid w:val="00292FB0"/>
    <w:rsid w:val="00293003"/>
    <w:rsid w:val="00293088"/>
    <w:rsid w:val="002930C1"/>
    <w:rsid w:val="00293450"/>
    <w:rsid w:val="002937C9"/>
    <w:rsid w:val="00293977"/>
    <w:rsid w:val="00293986"/>
    <w:rsid w:val="00293D08"/>
    <w:rsid w:val="00293D97"/>
    <w:rsid w:val="00293F3C"/>
    <w:rsid w:val="00293F4C"/>
    <w:rsid w:val="002940D3"/>
    <w:rsid w:val="00294136"/>
    <w:rsid w:val="002943A8"/>
    <w:rsid w:val="0029440C"/>
    <w:rsid w:val="00294446"/>
    <w:rsid w:val="00294464"/>
    <w:rsid w:val="002944CB"/>
    <w:rsid w:val="0029455C"/>
    <w:rsid w:val="002946E9"/>
    <w:rsid w:val="002949BA"/>
    <w:rsid w:val="00294A05"/>
    <w:rsid w:val="00294B23"/>
    <w:rsid w:val="00294BD3"/>
    <w:rsid w:val="00294FA6"/>
    <w:rsid w:val="0029519C"/>
    <w:rsid w:val="00295287"/>
    <w:rsid w:val="0029532B"/>
    <w:rsid w:val="002953A6"/>
    <w:rsid w:val="00295830"/>
    <w:rsid w:val="0029599E"/>
    <w:rsid w:val="00295B58"/>
    <w:rsid w:val="00295DC4"/>
    <w:rsid w:val="002960B1"/>
    <w:rsid w:val="002960C3"/>
    <w:rsid w:val="00296361"/>
    <w:rsid w:val="002963D5"/>
    <w:rsid w:val="00296521"/>
    <w:rsid w:val="0029678B"/>
    <w:rsid w:val="00296896"/>
    <w:rsid w:val="002968B3"/>
    <w:rsid w:val="00296AAB"/>
    <w:rsid w:val="00296BCE"/>
    <w:rsid w:val="00296CB5"/>
    <w:rsid w:val="00296CEC"/>
    <w:rsid w:val="00296D20"/>
    <w:rsid w:val="00296F06"/>
    <w:rsid w:val="00296F45"/>
    <w:rsid w:val="0029748F"/>
    <w:rsid w:val="002974AE"/>
    <w:rsid w:val="00297775"/>
    <w:rsid w:val="002977A7"/>
    <w:rsid w:val="002979C3"/>
    <w:rsid w:val="00297C67"/>
    <w:rsid w:val="00297CD6"/>
    <w:rsid w:val="00297FB3"/>
    <w:rsid w:val="002A0109"/>
    <w:rsid w:val="002A02E7"/>
    <w:rsid w:val="002A02ED"/>
    <w:rsid w:val="002A03C8"/>
    <w:rsid w:val="002A06F7"/>
    <w:rsid w:val="002A076C"/>
    <w:rsid w:val="002A08DC"/>
    <w:rsid w:val="002A0F3F"/>
    <w:rsid w:val="002A10FB"/>
    <w:rsid w:val="002A1479"/>
    <w:rsid w:val="002A1514"/>
    <w:rsid w:val="002A1550"/>
    <w:rsid w:val="002A160A"/>
    <w:rsid w:val="002A1773"/>
    <w:rsid w:val="002A19DC"/>
    <w:rsid w:val="002A19E7"/>
    <w:rsid w:val="002A1A18"/>
    <w:rsid w:val="002A1C5A"/>
    <w:rsid w:val="002A1F49"/>
    <w:rsid w:val="002A2096"/>
    <w:rsid w:val="002A2137"/>
    <w:rsid w:val="002A22AF"/>
    <w:rsid w:val="002A23CA"/>
    <w:rsid w:val="002A2411"/>
    <w:rsid w:val="002A2493"/>
    <w:rsid w:val="002A26DC"/>
    <w:rsid w:val="002A275B"/>
    <w:rsid w:val="002A2851"/>
    <w:rsid w:val="002A29F4"/>
    <w:rsid w:val="002A2CE1"/>
    <w:rsid w:val="002A2FD5"/>
    <w:rsid w:val="002A30E4"/>
    <w:rsid w:val="002A3365"/>
    <w:rsid w:val="002A3426"/>
    <w:rsid w:val="002A34D8"/>
    <w:rsid w:val="002A357A"/>
    <w:rsid w:val="002A3730"/>
    <w:rsid w:val="002A3BAF"/>
    <w:rsid w:val="002A3E51"/>
    <w:rsid w:val="002A4288"/>
    <w:rsid w:val="002A4303"/>
    <w:rsid w:val="002A4332"/>
    <w:rsid w:val="002A434A"/>
    <w:rsid w:val="002A43BF"/>
    <w:rsid w:val="002A4549"/>
    <w:rsid w:val="002A47F6"/>
    <w:rsid w:val="002A49AE"/>
    <w:rsid w:val="002A4A1D"/>
    <w:rsid w:val="002A4A4A"/>
    <w:rsid w:val="002A4B1B"/>
    <w:rsid w:val="002A4BE6"/>
    <w:rsid w:val="002A4E2B"/>
    <w:rsid w:val="002A4E3F"/>
    <w:rsid w:val="002A4EB6"/>
    <w:rsid w:val="002A4EBF"/>
    <w:rsid w:val="002A4F51"/>
    <w:rsid w:val="002A521B"/>
    <w:rsid w:val="002A54CA"/>
    <w:rsid w:val="002A553A"/>
    <w:rsid w:val="002A561E"/>
    <w:rsid w:val="002A571E"/>
    <w:rsid w:val="002A59DF"/>
    <w:rsid w:val="002A5B12"/>
    <w:rsid w:val="002A5B5A"/>
    <w:rsid w:val="002A5BCA"/>
    <w:rsid w:val="002A5E85"/>
    <w:rsid w:val="002A634D"/>
    <w:rsid w:val="002A64C6"/>
    <w:rsid w:val="002A65BB"/>
    <w:rsid w:val="002A66FD"/>
    <w:rsid w:val="002A6827"/>
    <w:rsid w:val="002A6A92"/>
    <w:rsid w:val="002A6F77"/>
    <w:rsid w:val="002A7037"/>
    <w:rsid w:val="002A70FC"/>
    <w:rsid w:val="002A721E"/>
    <w:rsid w:val="002A72C5"/>
    <w:rsid w:val="002A747C"/>
    <w:rsid w:val="002A758F"/>
    <w:rsid w:val="002A771C"/>
    <w:rsid w:val="002A777D"/>
    <w:rsid w:val="002A7946"/>
    <w:rsid w:val="002A799A"/>
    <w:rsid w:val="002A7C57"/>
    <w:rsid w:val="002A7D14"/>
    <w:rsid w:val="002A7FC9"/>
    <w:rsid w:val="002B0016"/>
    <w:rsid w:val="002B0118"/>
    <w:rsid w:val="002B017C"/>
    <w:rsid w:val="002B03A2"/>
    <w:rsid w:val="002B04A8"/>
    <w:rsid w:val="002B04DE"/>
    <w:rsid w:val="002B061B"/>
    <w:rsid w:val="002B07FD"/>
    <w:rsid w:val="002B0969"/>
    <w:rsid w:val="002B09D7"/>
    <w:rsid w:val="002B0A4A"/>
    <w:rsid w:val="002B0B0A"/>
    <w:rsid w:val="002B0CA8"/>
    <w:rsid w:val="002B117C"/>
    <w:rsid w:val="002B12C1"/>
    <w:rsid w:val="002B1366"/>
    <w:rsid w:val="002B165A"/>
    <w:rsid w:val="002B1954"/>
    <w:rsid w:val="002B1AB1"/>
    <w:rsid w:val="002B1D41"/>
    <w:rsid w:val="002B1DD0"/>
    <w:rsid w:val="002B1E2D"/>
    <w:rsid w:val="002B20E2"/>
    <w:rsid w:val="002B2225"/>
    <w:rsid w:val="002B2287"/>
    <w:rsid w:val="002B22A7"/>
    <w:rsid w:val="002B231E"/>
    <w:rsid w:val="002B23EE"/>
    <w:rsid w:val="002B256F"/>
    <w:rsid w:val="002B2769"/>
    <w:rsid w:val="002B27FA"/>
    <w:rsid w:val="002B2987"/>
    <w:rsid w:val="002B2AD3"/>
    <w:rsid w:val="002B2F54"/>
    <w:rsid w:val="002B2FC8"/>
    <w:rsid w:val="002B3561"/>
    <w:rsid w:val="002B35BB"/>
    <w:rsid w:val="002B365E"/>
    <w:rsid w:val="002B36B5"/>
    <w:rsid w:val="002B3A70"/>
    <w:rsid w:val="002B3C30"/>
    <w:rsid w:val="002B3CE5"/>
    <w:rsid w:val="002B3F00"/>
    <w:rsid w:val="002B3FDF"/>
    <w:rsid w:val="002B4207"/>
    <w:rsid w:val="002B427F"/>
    <w:rsid w:val="002B4470"/>
    <w:rsid w:val="002B4621"/>
    <w:rsid w:val="002B4667"/>
    <w:rsid w:val="002B4668"/>
    <w:rsid w:val="002B474F"/>
    <w:rsid w:val="002B48C9"/>
    <w:rsid w:val="002B48EE"/>
    <w:rsid w:val="002B49D2"/>
    <w:rsid w:val="002B4A0C"/>
    <w:rsid w:val="002B4B5B"/>
    <w:rsid w:val="002B4B62"/>
    <w:rsid w:val="002B4C86"/>
    <w:rsid w:val="002B4F32"/>
    <w:rsid w:val="002B4F46"/>
    <w:rsid w:val="002B5108"/>
    <w:rsid w:val="002B53E1"/>
    <w:rsid w:val="002B53F5"/>
    <w:rsid w:val="002B55FF"/>
    <w:rsid w:val="002B561E"/>
    <w:rsid w:val="002B5718"/>
    <w:rsid w:val="002B5730"/>
    <w:rsid w:val="002B574A"/>
    <w:rsid w:val="002B5805"/>
    <w:rsid w:val="002B584C"/>
    <w:rsid w:val="002B585D"/>
    <w:rsid w:val="002B5A8D"/>
    <w:rsid w:val="002B5D2F"/>
    <w:rsid w:val="002B5F50"/>
    <w:rsid w:val="002B5F55"/>
    <w:rsid w:val="002B6307"/>
    <w:rsid w:val="002B6339"/>
    <w:rsid w:val="002B6544"/>
    <w:rsid w:val="002B6584"/>
    <w:rsid w:val="002B658C"/>
    <w:rsid w:val="002B6784"/>
    <w:rsid w:val="002B6920"/>
    <w:rsid w:val="002B69E1"/>
    <w:rsid w:val="002B6A51"/>
    <w:rsid w:val="002B6FF7"/>
    <w:rsid w:val="002B7228"/>
    <w:rsid w:val="002B73C1"/>
    <w:rsid w:val="002B73F4"/>
    <w:rsid w:val="002B74D3"/>
    <w:rsid w:val="002B78AB"/>
    <w:rsid w:val="002B7A64"/>
    <w:rsid w:val="002B7B1D"/>
    <w:rsid w:val="002B7BAD"/>
    <w:rsid w:val="002C0087"/>
    <w:rsid w:val="002C03F0"/>
    <w:rsid w:val="002C0423"/>
    <w:rsid w:val="002C045E"/>
    <w:rsid w:val="002C0478"/>
    <w:rsid w:val="002C07E9"/>
    <w:rsid w:val="002C0989"/>
    <w:rsid w:val="002C0992"/>
    <w:rsid w:val="002C0A63"/>
    <w:rsid w:val="002C0ACF"/>
    <w:rsid w:val="002C0C39"/>
    <w:rsid w:val="002C0CCF"/>
    <w:rsid w:val="002C0D25"/>
    <w:rsid w:val="002C0E68"/>
    <w:rsid w:val="002C0F37"/>
    <w:rsid w:val="002C114E"/>
    <w:rsid w:val="002C12D6"/>
    <w:rsid w:val="002C1372"/>
    <w:rsid w:val="002C13D6"/>
    <w:rsid w:val="002C14D1"/>
    <w:rsid w:val="002C1A28"/>
    <w:rsid w:val="002C1B60"/>
    <w:rsid w:val="002C1CD0"/>
    <w:rsid w:val="002C1EE6"/>
    <w:rsid w:val="002C1F3C"/>
    <w:rsid w:val="002C205C"/>
    <w:rsid w:val="002C219D"/>
    <w:rsid w:val="002C2267"/>
    <w:rsid w:val="002C22C8"/>
    <w:rsid w:val="002C25FB"/>
    <w:rsid w:val="002C2672"/>
    <w:rsid w:val="002C2717"/>
    <w:rsid w:val="002C274D"/>
    <w:rsid w:val="002C27A6"/>
    <w:rsid w:val="002C2810"/>
    <w:rsid w:val="002C29FC"/>
    <w:rsid w:val="002C2C40"/>
    <w:rsid w:val="002C2CDB"/>
    <w:rsid w:val="002C2CE9"/>
    <w:rsid w:val="002C2EB3"/>
    <w:rsid w:val="002C2F0F"/>
    <w:rsid w:val="002C2FAC"/>
    <w:rsid w:val="002C3086"/>
    <w:rsid w:val="002C31EA"/>
    <w:rsid w:val="002C32C4"/>
    <w:rsid w:val="002C32C6"/>
    <w:rsid w:val="002C32ED"/>
    <w:rsid w:val="002C331E"/>
    <w:rsid w:val="002C3352"/>
    <w:rsid w:val="002C368C"/>
    <w:rsid w:val="002C3866"/>
    <w:rsid w:val="002C3B60"/>
    <w:rsid w:val="002C3C14"/>
    <w:rsid w:val="002C4400"/>
    <w:rsid w:val="002C45E7"/>
    <w:rsid w:val="002C4622"/>
    <w:rsid w:val="002C4626"/>
    <w:rsid w:val="002C48B3"/>
    <w:rsid w:val="002C4974"/>
    <w:rsid w:val="002C4AEE"/>
    <w:rsid w:val="002C4B34"/>
    <w:rsid w:val="002C520B"/>
    <w:rsid w:val="002C5211"/>
    <w:rsid w:val="002C5220"/>
    <w:rsid w:val="002C523E"/>
    <w:rsid w:val="002C56B5"/>
    <w:rsid w:val="002C5781"/>
    <w:rsid w:val="002C5819"/>
    <w:rsid w:val="002C59D6"/>
    <w:rsid w:val="002C5B38"/>
    <w:rsid w:val="002C5C53"/>
    <w:rsid w:val="002C5C89"/>
    <w:rsid w:val="002C6044"/>
    <w:rsid w:val="002C60A0"/>
    <w:rsid w:val="002C60A8"/>
    <w:rsid w:val="002C649E"/>
    <w:rsid w:val="002C64D1"/>
    <w:rsid w:val="002C6690"/>
    <w:rsid w:val="002C66E7"/>
    <w:rsid w:val="002C6964"/>
    <w:rsid w:val="002C6A54"/>
    <w:rsid w:val="002C6AE4"/>
    <w:rsid w:val="002C6E4F"/>
    <w:rsid w:val="002C6F3F"/>
    <w:rsid w:val="002C6F6F"/>
    <w:rsid w:val="002C7020"/>
    <w:rsid w:val="002C7098"/>
    <w:rsid w:val="002C75F3"/>
    <w:rsid w:val="002C760E"/>
    <w:rsid w:val="002C765D"/>
    <w:rsid w:val="002C77B1"/>
    <w:rsid w:val="002C7847"/>
    <w:rsid w:val="002C7888"/>
    <w:rsid w:val="002C7982"/>
    <w:rsid w:val="002C7AC3"/>
    <w:rsid w:val="002C7D7E"/>
    <w:rsid w:val="002D00AF"/>
    <w:rsid w:val="002D00FB"/>
    <w:rsid w:val="002D03BF"/>
    <w:rsid w:val="002D056E"/>
    <w:rsid w:val="002D082A"/>
    <w:rsid w:val="002D0976"/>
    <w:rsid w:val="002D0A4F"/>
    <w:rsid w:val="002D0B41"/>
    <w:rsid w:val="002D0B78"/>
    <w:rsid w:val="002D0BB8"/>
    <w:rsid w:val="002D0D2D"/>
    <w:rsid w:val="002D0F4C"/>
    <w:rsid w:val="002D11DE"/>
    <w:rsid w:val="002D1786"/>
    <w:rsid w:val="002D185D"/>
    <w:rsid w:val="002D18CF"/>
    <w:rsid w:val="002D1A24"/>
    <w:rsid w:val="002D1E49"/>
    <w:rsid w:val="002D21AD"/>
    <w:rsid w:val="002D22BB"/>
    <w:rsid w:val="002D2694"/>
    <w:rsid w:val="002D2820"/>
    <w:rsid w:val="002D2C89"/>
    <w:rsid w:val="002D2DFA"/>
    <w:rsid w:val="002D2E31"/>
    <w:rsid w:val="002D2F12"/>
    <w:rsid w:val="002D30E4"/>
    <w:rsid w:val="002D3224"/>
    <w:rsid w:val="002D351C"/>
    <w:rsid w:val="002D35FA"/>
    <w:rsid w:val="002D37F9"/>
    <w:rsid w:val="002D3B0C"/>
    <w:rsid w:val="002D3C5C"/>
    <w:rsid w:val="002D3F92"/>
    <w:rsid w:val="002D3FF7"/>
    <w:rsid w:val="002D426A"/>
    <w:rsid w:val="002D455D"/>
    <w:rsid w:val="002D4607"/>
    <w:rsid w:val="002D4705"/>
    <w:rsid w:val="002D48BC"/>
    <w:rsid w:val="002D49D6"/>
    <w:rsid w:val="002D4B40"/>
    <w:rsid w:val="002D4B53"/>
    <w:rsid w:val="002D508C"/>
    <w:rsid w:val="002D510E"/>
    <w:rsid w:val="002D55E8"/>
    <w:rsid w:val="002D5801"/>
    <w:rsid w:val="002D5BC1"/>
    <w:rsid w:val="002D5BD2"/>
    <w:rsid w:val="002D5DD4"/>
    <w:rsid w:val="002D5F15"/>
    <w:rsid w:val="002D5F55"/>
    <w:rsid w:val="002D60D2"/>
    <w:rsid w:val="002D6152"/>
    <w:rsid w:val="002D61A8"/>
    <w:rsid w:val="002D68A6"/>
    <w:rsid w:val="002D694A"/>
    <w:rsid w:val="002D6A05"/>
    <w:rsid w:val="002D6BB6"/>
    <w:rsid w:val="002D6DAA"/>
    <w:rsid w:val="002D6E9C"/>
    <w:rsid w:val="002D71F7"/>
    <w:rsid w:val="002D7419"/>
    <w:rsid w:val="002D76AF"/>
    <w:rsid w:val="002D7759"/>
    <w:rsid w:val="002D7B2B"/>
    <w:rsid w:val="002D7B42"/>
    <w:rsid w:val="002D7B67"/>
    <w:rsid w:val="002D7DA0"/>
    <w:rsid w:val="002D7EB1"/>
    <w:rsid w:val="002E0210"/>
    <w:rsid w:val="002E0212"/>
    <w:rsid w:val="002E0379"/>
    <w:rsid w:val="002E04C1"/>
    <w:rsid w:val="002E09EA"/>
    <w:rsid w:val="002E1342"/>
    <w:rsid w:val="002E13A5"/>
    <w:rsid w:val="002E157C"/>
    <w:rsid w:val="002E1890"/>
    <w:rsid w:val="002E19D4"/>
    <w:rsid w:val="002E1A07"/>
    <w:rsid w:val="002E1BAB"/>
    <w:rsid w:val="002E1D64"/>
    <w:rsid w:val="002E1D6D"/>
    <w:rsid w:val="002E1DA4"/>
    <w:rsid w:val="002E1EC9"/>
    <w:rsid w:val="002E20D2"/>
    <w:rsid w:val="002E247F"/>
    <w:rsid w:val="002E248D"/>
    <w:rsid w:val="002E267C"/>
    <w:rsid w:val="002E2743"/>
    <w:rsid w:val="002E29EC"/>
    <w:rsid w:val="002E2A4B"/>
    <w:rsid w:val="002E2BE1"/>
    <w:rsid w:val="002E2C93"/>
    <w:rsid w:val="002E2D06"/>
    <w:rsid w:val="002E2E78"/>
    <w:rsid w:val="002E2F16"/>
    <w:rsid w:val="002E2F50"/>
    <w:rsid w:val="002E317C"/>
    <w:rsid w:val="002E3189"/>
    <w:rsid w:val="002E3207"/>
    <w:rsid w:val="002E32E5"/>
    <w:rsid w:val="002E3426"/>
    <w:rsid w:val="002E368F"/>
    <w:rsid w:val="002E37E5"/>
    <w:rsid w:val="002E37F3"/>
    <w:rsid w:val="002E3A37"/>
    <w:rsid w:val="002E3C0C"/>
    <w:rsid w:val="002E3CD6"/>
    <w:rsid w:val="002E3FFD"/>
    <w:rsid w:val="002E4274"/>
    <w:rsid w:val="002E42C4"/>
    <w:rsid w:val="002E468F"/>
    <w:rsid w:val="002E4839"/>
    <w:rsid w:val="002E496F"/>
    <w:rsid w:val="002E4C91"/>
    <w:rsid w:val="002E4CDB"/>
    <w:rsid w:val="002E4D8E"/>
    <w:rsid w:val="002E5083"/>
    <w:rsid w:val="002E509C"/>
    <w:rsid w:val="002E539C"/>
    <w:rsid w:val="002E594D"/>
    <w:rsid w:val="002E59AC"/>
    <w:rsid w:val="002E5E03"/>
    <w:rsid w:val="002E5F2D"/>
    <w:rsid w:val="002E6131"/>
    <w:rsid w:val="002E624B"/>
    <w:rsid w:val="002E63C4"/>
    <w:rsid w:val="002E640A"/>
    <w:rsid w:val="002E6553"/>
    <w:rsid w:val="002E6640"/>
    <w:rsid w:val="002E66A6"/>
    <w:rsid w:val="002E678E"/>
    <w:rsid w:val="002E6852"/>
    <w:rsid w:val="002E6A58"/>
    <w:rsid w:val="002E6E1A"/>
    <w:rsid w:val="002E6EAB"/>
    <w:rsid w:val="002E747D"/>
    <w:rsid w:val="002E7747"/>
    <w:rsid w:val="002E7AC1"/>
    <w:rsid w:val="002E7D58"/>
    <w:rsid w:val="002F0063"/>
    <w:rsid w:val="002F00CA"/>
    <w:rsid w:val="002F0266"/>
    <w:rsid w:val="002F04E6"/>
    <w:rsid w:val="002F053D"/>
    <w:rsid w:val="002F060F"/>
    <w:rsid w:val="002F069B"/>
    <w:rsid w:val="002F06CD"/>
    <w:rsid w:val="002F06F1"/>
    <w:rsid w:val="002F0749"/>
    <w:rsid w:val="002F093C"/>
    <w:rsid w:val="002F0B91"/>
    <w:rsid w:val="002F12E7"/>
    <w:rsid w:val="002F1314"/>
    <w:rsid w:val="002F131A"/>
    <w:rsid w:val="002F134C"/>
    <w:rsid w:val="002F13AF"/>
    <w:rsid w:val="002F1520"/>
    <w:rsid w:val="002F1566"/>
    <w:rsid w:val="002F157B"/>
    <w:rsid w:val="002F19ED"/>
    <w:rsid w:val="002F1AA5"/>
    <w:rsid w:val="002F1B04"/>
    <w:rsid w:val="002F1B9F"/>
    <w:rsid w:val="002F1CB8"/>
    <w:rsid w:val="002F1E70"/>
    <w:rsid w:val="002F1EF5"/>
    <w:rsid w:val="002F1F9A"/>
    <w:rsid w:val="002F204C"/>
    <w:rsid w:val="002F20E0"/>
    <w:rsid w:val="002F20E7"/>
    <w:rsid w:val="002F2100"/>
    <w:rsid w:val="002F2138"/>
    <w:rsid w:val="002F2872"/>
    <w:rsid w:val="002F2C37"/>
    <w:rsid w:val="002F2DB4"/>
    <w:rsid w:val="002F2E68"/>
    <w:rsid w:val="002F3525"/>
    <w:rsid w:val="002F35E4"/>
    <w:rsid w:val="002F399E"/>
    <w:rsid w:val="002F3A2D"/>
    <w:rsid w:val="002F3B6A"/>
    <w:rsid w:val="002F3F10"/>
    <w:rsid w:val="002F3FD1"/>
    <w:rsid w:val="002F403B"/>
    <w:rsid w:val="002F404E"/>
    <w:rsid w:val="002F40BD"/>
    <w:rsid w:val="002F472E"/>
    <w:rsid w:val="002F47F7"/>
    <w:rsid w:val="002F4814"/>
    <w:rsid w:val="002F4860"/>
    <w:rsid w:val="002F492A"/>
    <w:rsid w:val="002F4B0E"/>
    <w:rsid w:val="002F4C92"/>
    <w:rsid w:val="002F4CC3"/>
    <w:rsid w:val="002F4D31"/>
    <w:rsid w:val="002F4DB3"/>
    <w:rsid w:val="002F4F9F"/>
    <w:rsid w:val="002F5161"/>
    <w:rsid w:val="002F51AF"/>
    <w:rsid w:val="002F5265"/>
    <w:rsid w:val="002F52B2"/>
    <w:rsid w:val="002F545B"/>
    <w:rsid w:val="002F5493"/>
    <w:rsid w:val="002F552E"/>
    <w:rsid w:val="002F58C1"/>
    <w:rsid w:val="002F5ABD"/>
    <w:rsid w:val="002F5FD4"/>
    <w:rsid w:val="002F6170"/>
    <w:rsid w:val="002F61EC"/>
    <w:rsid w:val="002F65F5"/>
    <w:rsid w:val="002F67A6"/>
    <w:rsid w:val="002F69BC"/>
    <w:rsid w:val="002F69CD"/>
    <w:rsid w:val="002F6A7A"/>
    <w:rsid w:val="002F736E"/>
    <w:rsid w:val="002F7567"/>
    <w:rsid w:val="002F76D3"/>
    <w:rsid w:val="002F7738"/>
    <w:rsid w:val="002F783F"/>
    <w:rsid w:val="002F7875"/>
    <w:rsid w:val="002F79BD"/>
    <w:rsid w:val="0030022F"/>
    <w:rsid w:val="00300300"/>
    <w:rsid w:val="0030087C"/>
    <w:rsid w:val="00300938"/>
    <w:rsid w:val="00300A32"/>
    <w:rsid w:val="003010FB"/>
    <w:rsid w:val="0030113C"/>
    <w:rsid w:val="0030114B"/>
    <w:rsid w:val="00301175"/>
    <w:rsid w:val="003011F7"/>
    <w:rsid w:val="00301243"/>
    <w:rsid w:val="00301387"/>
    <w:rsid w:val="003013AD"/>
    <w:rsid w:val="003013F6"/>
    <w:rsid w:val="00301540"/>
    <w:rsid w:val="0030163E"/>
    <w:rsid w:val="00301666"/>
    <w:rsid w:val="003017BB"/>
    <w:rsid w:val="00301BA0"/>
    <w:rsid w:val="00301DAE"/>
    <w:rsid w:val="00301E04"/>
    <w:rsid w:val="00301E48"/>
    <w:rsid w:val="003020CD"/>
    <w:rsid w:val="00302214"/>
    <w:rsid w:val="003022FB"/>
    <w:rsid w:val="00302669"/>
    <w:rsid w:val="003028E9"/>
    <w:rsid w:val="00302A12"/>
    <w:rsid w:val="00302B43"/>
    <w:rsid w:val="00302C65"/>
    <w:rsid w:val="00302FEA"/>
    <w:rsid w:val="003031F2"/>
    <w:rsid w:val="003034E1"/>
    <w:rsid w:val="003035D0"/>
    <w:rsid w:val="0030365A"/>
    <w:rsid w:val="003036CD"/>
    <w:rsid w:val="003036F9"/>
    <w:rsid w:val="00303797"/>
    <w:rsid w:val="003037F6"/>
    <w:rsid w:val="003038B3"/>
    <w:rsid w:val="003038CA"/>
    <w:rsid w:val="003039FF"/>
    <w:rsid w:val="00303A8D"/>
    <w:rsid w:val="00303C10"/>
    <w:rsid w:val="00303C82"/>
    <w:rsid w:val="00303C9E"/>
    <w:rsid w:val="00303EEA"/>
    <w:rsid w:val="003040E1"/>
    <w:rsid w:val="00304197"/>
    <w:rsid w:val="00304284"/>
    <w:rsid w:val="00304354"/>
    <w:rsid w:val="003045D7"/>
    <w:rsid w:val="00304613"/>
    <w:rsid w:val="003047A6"/>
    <w:rsid w:val="00304A99"/>
    <w:rsid w:val="00304AC3"/>
    <w:rsid w:val="00304D3B"/>
    <w:rsid w:val="00304DC5"/>
    <w:rsid w:val="00304E7F"/>
    <w:rsid w:val="00304F34"/>
    <w:rsid w:val="003051B8"/>
    <w:rsid w:val="00305246"/>
    <w:rsid w:val="003055E8"/>
    <w:rsid w:val="003056CF"/>
    <w:rsid w:val="0030594F"/>
    <w:rsid w:val="00305A18"/>
    <w:rsid w:val="00305B77"/>
    <w:rsid w:val="00305DC6"/>
    <w:rsid w:val="00305F9B"/>
    <w:rsid w:val="0030607D"/>
    <w:rsid w:val="00306197"/>
    <w:rsid w:val="003063BB"/>
    <w:rsid w:val="0030645C"/>
    <w:rsid w:val="003064D2"/>
    <w:rsid w:val="00306577"/>
    <w:rsid w:val="00306644"/>
    <w:rsid w:val="0030681A"/>
    <w:rsid w:val="00306BE7"/>
    <w:rsid w:val="00306DBD"/>
    <w:rsid w:val="003073A1"/>
    <w:rsid w:val="003073EB"/>
    <w:rsid w:val="003074BF"/>
    <w:rsid w:val="00307605"/>
    <w:rsid w:val="00307895"/>
    <w:rsid w:val="0030793E"/>
    <w:rsid w:val="00307AE6"/>
    <w:rsid w:val="00307B57"/>
    <w:rsid w:val="00307CE0"/>
    <w:rsid w:val="00307DC1"/>
    <w:rsid w:val="00307EF4"/>
    <w:rsid w:val="00307F8D"/>
    <w:rsid w:val="0031001E"/>
    <w:rsid w:val="003102C7"/>
    <w:rsid w:val="003103A6"/>
    <w:rsid w:val="003105A5"/>
    <w:rsid w:val="00310D4B"/>
    <w:rsid w:val="003110A2"/>
    <w:rsid w:val="003112B0"/>
    <w:rsid w:val="00311350"/>
    <w:rsid w:val="003116C2"/>
    <w:rsid w:val="00311C09"/>
    <w:rsid w:val="00312060"/>
    <w:rsid w:val="0031224D"/>
    <w:rsid w:val="0031245D"/>
    <w:rsid w:val="0031257A"/>
    <w:rsid w:val="003125A0"/>
    <w:rsid w:val="00312897"/>
    <w:rsid w:val="00312CB1"/>
    <w:rsid w:val="00312E8D"/>
    <w:rsid w:val="00312EBD"/>
    <w:rsid w:val="00312F13"/>
    <w:rsid w:val="00312F48"/>
    <w:rsid w:val="003133F7"/>
    <w:rsid w:val="00313418"/>
    <w:rsid w:val="00313542"/>
    <w:rsid w:val="003135A7"/>
    <w:rsid w:val="003137C7"/>
    <w:rsid w:val="00313927"/>
    <w:rsid w:val="003139DB"/>
    <w:rsid w:val="003139E5"/>
    <w:rsid w:val="00313A26"/>
    <w:rsid w:val="00313A9A"/>
    <w:rsid w:val="00313D5E"/>
    <w:rsid w:val="00313F5D"/>
    <w:rsid w:val="00313F5F"/>
    <w:rsid w:val="0031402E"/>
    <w:rsid w:val="003140AE"/>
    <w:rsid w:val="003144CF"/>
    <w:rsid w:val="0031468B"/>
    <w:rsid w:val="0031484C"/>
    <w:rsid w:val="0031485B"/>
    <w:rsid w:val="00314883"/>
    <w:rsid w:val="00314A16"/>
    <w:rsid w:val="00314B3F"/>
    <w:rsid w:val="00314BAD"/>
    <w:rsid w:val="00314BF7"/>
    <w:rsid w:val="00314D26"/>
    <w:rsid w:val="00314EC0"/>
    <w:rsid w:val="00314F3B"/>
    <w:rsid w:val="00315257"/>
    <w:rsid w:val="00315795"/>
    <w:rsid w:val="0031579A"/>
    <w:rsid w:val="0031587F"/>
    <w:rsid w:val="00315A74"/>
    <w:rsid w:val="00315CD5"/>
    <w:rsid w:val="00315F6F"/>
    <w:rsid w:val="00315FB4"/>
    <w:rsid w:val="00316050"/>
    <w:rsid w:val="003161BC"/>
    <w:rsid w:val="003163AC"/>
    <w:rsid w:val="00316456"/>
    <w:rsid w:val="00316897"/>
    <w:rsid w:val="00316AAC"/>
    <w:rsid w:val="00316B98"/>
    <w:rsid w:val="00316E3B"/>
    <w:rsid w:val="00317037"/>
    <w:rsid w:val="003170E4"/>
    <w:rsid w:val="003172CA"/>
    <w:rsid w:val="003173B6"/>
    <w:rsid w:val="003174C9"/>
    <w:rsid w:val="003175E6"/>
    <w:rsid w:val="003175EE"/>
    <w:rsid w:val="0031785B"/>
    <w:rsid w:val="00317871"/>
    <w:rsid w:val="00317A63"/>
    <w:rsid w:val="00317C6E"/>
    <w:rsid w:val="00317DBB"/>
    <w:rsid w:val="00317F48"/>
    <w:rsid w:val="00317FC6"/>
    <w:rsid w:val="0032014C"/>
    <w:rsid w:val="00320267"/>
    <w:rsid w:val="00320312"/>
    <w:rsid w:val="003204E3"/>
    <w:rsid w:val="00320533"/>
    <w:rsid w:val="00320889"/>
    <w:rsid w:val="00320955"/>
    <w:rsid w:val="003209DA"/>
    <w:rsid w:val="003209F6"/>
    <w:rsid w:val="00320BCA"/>
    <w:rsid w:val="00320C4D"/>
    <w:rsid w:val="00320E54"/>
    <w:rsid w:val="00320FAB"/>
    <w:rsid w:val="003210DB"/>
    <w:rsid w:val="00321136"/>
    <w:rsid w:val="0032117A"/>
    <w:rsid w:val="00321799"/>
    <w:rsid w:val="003217E0"/>
    <w:rsid w:val="00321889"/>
    <w:rsid w:val="003218F2"/>
    <w:rsid w:val="00321A8E"/>
    <w:rsid w:val="00321B27"/>
    <w:rsid w:val="00321BF5"/>
    <w:rsid w:val="00321D95"/>
    <w:rsid w:val="00322178"/>
    <w:rsid w:val="0032235A"/>
    <w:rsid w:val="00322395"/>
    <w:rsid w:val="003227F7"/>
    <w:rsid w:val="00322986"/>
    <w:rsid w:val="00322C34"/>
    <w:rsid w:val="00322CC9"/>
    <w:rsid w:val="00322E78"/>
    <w:rsid w:val="00322F4C"/>
    <w:rsid w:val="0032359F"/>
    <w:rsid w:val="003237FC"/>
    <w:rsid w:val="00323810"/>
    <w:rsid w:val="00323A6E"/>
    <w:rsid w:val="00323B35"/>
    <w:rsid w:val="00323C73"/>
    <w:rsid w:val="00323E29"/>
    <w:rsid w:val="00323E8E"/>
    <w:rsid w:val="00323F2E"/>
    <w:rsid w:val="00323F65"/>
    <w:rsid w:val="003240DA"/>
    <w:rsid w:val="0032419A"/>
    <w:rsid w:val="003241AE"/>
    <w:rsid w:val="00324312"/>
    <w:rsid w:val="003244C1"/>
    <w:rsid w:val="0032456A"/>
    <w:rsid w:val="00324672"/>
    <w:rsid w:val="0032470F"/>
    <w:rsid w:val="00324864"/>
    <w:rsid w:val="00324C08"/>
    <w:rsid w:val="00324E76"/>
    <w:rsid w:val="00324E87"/>
    <w:rsid w:val="00324EE0"/>
    <w:rsid w:val="00324F72"/>
    <w:rsid w:val="00324FED"/>
    <w:rsid w:val="003250D0"/>
    <w:rsid w:val="003251F3"/>
    <w:rsid w:val="00325420"/>
    <w:rsid w:val="00325448"/>
    <w:rsid w:val="003254A7"/>
    <w:rsid w:val="0032551A"/>
    <w:rsid w:val="00325521"/>
    <w:rsid w:val="003255CC"/>
    <w:rsid w:val="0032571F"/>
    <w:rsid w:val="00325A4A"/>
    <w:rsid w:val="00325B42"/>
    <w:rsid w:val="00325D5E"/>
    <w:rsid w:val="00325D67"/>
    <w:rsid w:val="003261C0"/>
    <w:rsid w:val="0032630D"/>
    <w:rsid w:val="003264DA"/>
    <w:rsid w:val="00326646"/>
    <w:rsid w:val="003266C8"/>
    <w:rsid w:val="003267B0"/>
    <w:rsid w:val="003267C0"/>
    <w:rsid w:val="003267F3"/>
    <w:rsid w:val="00326905"/>
    <w:rsid w:val="003269DD"/>
    <w:rsid w:val="00326B21"/>
    <w:rsid w:val="00326CD9"/>
    <w:rsid w:val="00326CE0"/>
    <w:rsid w:val="00326D2A"/>
    <w:rsid w:val="0032712D"/>
    <w:rsid w:val="00327425"/>
    <w:rsid w:val="00327937"/>
    <w:rsid w:val="00327997"/>
    <w:rsid w:val="00327ACA"/>
    <w:rsid w:val="00327B79"/>
    <w:rsid w:val="00327C17"/>
    <w:rsid w:val="00327ECA"/>
    <w:rsid w:val="00327FC2"/>
    <w:rsid w:val="0033002F"/>
    <w:rsid w:val="00330A6F"/>
    <w:rsid w:val="00330B3A"/>
    <w:rsid w:val="00330C64"/>
    <w:rsid w:val="00331157"/>
    <w:rsid w:val="003312BC"/>
    <w:rsid w:val="003312CF"/>
    <w:rsid w:val="00331321"/>
    <w:rsid w:val="003319EF"/>
    <w:rsid w:val="00331A6B"/>
    <w:rsid w:val="00331A73"/>
    <w:rsid w:val="00331AA1"/>
    <w:rsid w:val="00331BB1"/>
    <w:rsid w:val="003321A0"/>
    <w:rsid w:val="00332259"/>
    <w:rsid w:val="003324A2"/>
    <w:rsid w:val="0033253A"/>
    <w:rsid w:val="0033253D"/>
    <w:rsid w:val="003328BC"/>
    <w:rsid w:val="00332AC9"/>
    <w:rsid w:val="00332C22"/>
    <w:rsid w:val="00332D38"/>
    <w:rsid w:val="00332F81"/>
    <w:rsid w:val="00332F85"/>
    <w:rsid w:val="00333275"/>
    <w:rsid w:val="003332F1"/>
    <w:rsid w:val="0033334A"/>
    <w:rsid w:val="0033334C"/>
    <w:rsid w:val="003333E1"/>
    <w:rsid w:val="003336D9"/>
    <w:rsid w:val="00333737"/>
    <w:rsid w:val="00333C98"/>
    <w:rsid w:val="00333FA9"/>
    <w:rsid w:val="00334014"/>
    <w:rsid w:val="003340CA"/>
    <w:rsid w:val="003340EC"/>
    <w:rsid w:val="003343BD"/>
    <w:rsid w:val="003343C8"/>
    <w:rsid w:val="003344B2"/>
    <w:rsid w:val="00334645"/>
    <w:rsid w:val="003349EB"/>
    <w:rsid w:val="00334BC6"/>
    <w:rsid w:val="00334C67"/>
    <w:rsid w:val="00334DD2"/>
    <w:rsid w:val="00334F65"/>
    <w:rsid w:val="0033501B"/>
    <w:rsid w:val="003350CC"/>
    <w:rsid w:val="00335276"/>
    <w:rsid w:val="00335282"/>
    <w:rsid w:val="00335385"/>
    <w:rsid w:val="00335446"/>
    <w:rsid w:val="00335625"/>
    <w:rsid w:val="00335647"/>
    <w:rsid w:val="00335718"/>
    <w:rsid w:val="00335881"/>
    <w:rsid w:val="0033588E"/>
    <w:rsid w:val="00335BAA"/>
    <w:rsid w:val="00335E59"/>
    <w:rsid w:val="00335F89"/>
    <w:rsid w:val="00336241"/>
    <w:rsid w:val="003363F9"/>
    <w:rsid w:val="003365D3"/>
    <w:rsid w:val="00336623"/>
    <w:rsid w:val="00336737"/>
    <w:rsid w:val="00336849"/>
    <w:rsid w:val="00336860"/>
    <w:rsid w:val="003368E6"/>
    <w:rsid w:val="00336902"/>
    <w:rsid w:val="00336A48"/>
    <w:rsid w:val="00336CF4"/>
    <w:rsid w:val="00336DD0"/>
    <w:rsid w:val="00336E77"/>
    <w:rsid w:val="003370F1"/>
    <w:rsid w:val="00337156"/>
    <w:rsid w:val="003371AE"/>
    <w:rsid w:val="0033730A"/>
    <w:rsid w:val="003373CE"/>
    <w:rsid w:val="003376B9"/>
    <w:rsid w:val="003376F1"/>
    <w:rsid w:val="00337A46"/>
    <w:rsid w:val="00337C0E"/>
    <w:rsid w:val="00337DB6"/>
    <w:rsid w:val="00340232"/>
    <w:rsid w:val="003402E4"/>
    <w:rsid w:val="003404EA"/>
    <w:rsid w:val="0034068C"/>
    <w:rsid w:val="0034070A"/>
    <w:rsid w:val="003408A2"/>
    <w:rsid w:val="0034090C"/>
    <w:rsid w:val="00340916"/>
    <w:rsid w:val="00340C23"/>
    <w:rsid w:val="00340E4F"/>
    <w:rsid w:val="00340F30"/>
    <w:rsid w:val="00341348"/>
    <w:rsid w:val="00341956"/>
    <w:rsid w:val="00341A15"/>
    <w:rsid w:val="00341BEB"/>
    <w:rsid w:val="00341BEC"/>
    <w:rsid w:val="00341D5E"/>
    <w:rsid w:val="00341DD5"/>
    <w:rsid w:val="00341E30"/>
    <w:rsid w:val="00341E5A"/>
    <w:rsid w:val="003420C4"/>
    <w:rsid w:val="00342246"/>
    <w:rsid w:val="00342456"/>
    <w:rsid w:val="00342512"/>
    <w:rsid w:val="00342792"/>
    <w:rsid w:val="003427AF"/>
    <w:rsid w:val="00342AAD"/>
    <w:rsid w:val="00342BF0"/>
    <w:rsid w:val="00342C39"/>
    <w:rsid w:val="00342E22"/>
    <w:rsid w:val="00342F2B"/>
    <w:rsid w:val="003431DB"/>
    <w:rsid w:val="00343895"/>
    <w:rsid w:val="00343899"/>
    <w:rsid w:val="00343C9F"/>
    <w:rsid w:val="00343CE8"/>
    <w:rsid w:val="00343D64"/>
    <w:rsid w:val="00343DDD"/>
    <w:rsid w:val="00343EF6"/>
    <w:rsid w:val="00343F51"/>
    <w:rsid w:val="00344309"/>
    <w:rsid w:val="003443FC"/>
    <w:rsid w:val="003446A2"/>
    <w:rsid w:val="003446D4"/>
    <w:rsid w:val="003446EC"/>
    <w:rsid w:val="003447C2"/>
    <w:rsid w:val="00344817"/>
    <w:rsid w:val="00344C5F"/>
    <w:rsid w:val="00344F88"/>
    <w:rsid w:val="00345199"/>
    <w:rsid w:val="0034524A"/>
    <w:rsid w:val="003453E0"/>
    <w:rsid w:val="00345466"/>
    <w:rsid w:val="0034548E"/>
    <w:rsid w:val="003454C9"/>
    <w:rsid w:val="00345528"/>
    <w:rsid w:val="00345E26"/>
    <w:rsid w:val="00345F09"/>
    <w:rsid w:val="0034608E"/>
    <w:rsid w:val="0034614A"/>
    <w:rsid w:val="003462E8"/>
    <w:rsid w:val="003463B0"/>
    <w:rsid w:val="00346668"/>
    <w:rsid w:val="0034674E"/>
    <w:rsid w:val="0034675D"/>
    <w:rsid w:val="00346941"/>
    <w:rsid w:val="003469C0"/>
    <w:rsid w:val="003469DD"/>
    <w:rsid w:val="00346A8A"/>
    <w:rsid w:val="00346B4D"/>
    <w:rsid w:val="00346B4E"/>
    <w:rsid w:val="00346B85"/>
    <w:rsid w:val="00346BB1"/>
    <w:rsid w:val="00346C2C"/>
    <w:rsid w:val="00346CA1"/>
    <w:rsid w:val="00346D23"/>
    <w:rsid w:val="00347000"/>
    <w:rsid w:val="0034719F"/>
    <w:rsid w:val="003471BA"/>
    <w:rsid w:val="0034742E"/>
    <w:rsid w:val="003476DB"/>
    <w:rsid w:val="00347786"/>
    <w:rsid w:val="003478D3"/>
    <w:rsid w:val="003478D9"/>
    <w:rsid w:val="00347978"/>
    <w:rsid w:val="00347A59"/>
    <w:rsid w:val="00347AC4"/>
    <w:rsid w:val="00347CCD"/>
    <w:rsid w:val="00347E92"/>
    <w:rsid w:val="00347EDD"/>
    <w:rsid w:val="00350273"/>
    <w:rsid w:val="003506BA"/>
    <w:rsid w:val="003507F9"/>
    <w:rsid w:val="00350953"/>
    <w:rsid w:val="00350AD4"/>
    <w:rsid w:val="00350D75"/>
    <w:rsid w:val="00350DE0"/>
    <w:rsid w:val="00350E49"/>
    <w:rsid w:val="00350F26"/>
    <w:rsid w:val="00351117"/>
    <w:rsid w:val="0035117B"/>
    <w:rsid w:val="003511B1"/>
    <w:rsid w:val="00351229"/>
    <w:rsid w:val="0035143B"/>
    <w:rsid w:val="003515B0"/>
    <w:rsid w:val="0035176F"/>
    <w:rsid w:val="00351795"/>
    <w:rsid w:val="003517A9"/>
    <w:rsid w:val="00351C2E"/>
    <w:rsid w:val="00351C99"/>
    <w:rsid w:val="00351D13"/>
    <w:rsid w:val="00351D35"/>
    <w:rsid w:val="0035202E"/>
    <w:rsid w:val="003521B6"/>
    <w:rsid w:val="00352234"/>
    <w:rsid w:val="003523D1"/>
    <w:rsid w:val="003524E8"/>
    <w:rsid w:val="0035268E"/>
    <w:rsid w:val="003526B6"/>
    <w:rsid w:val="00352878"/>
    <w:rsid w:val="00352AFC"/>
    <w:rsid w:val="00352CA7"/>
    <w:rsid w:val="00352EE5"/>
    <w:rsid w:val="00353509"/>
    <w:rsid w:val="003536D0"/>
    <w:rsid w:val="0035383F"/>
    <w:rsid w:val="00353E1E"/>
    <w:rsid w:val="00353F7B"/>
    <w:rsid w:val="00353F85"/>
    <w:rsid w:val="00353FA2"/>
    <w:rsid w:val="0035410E"/>
    <w:rsid w:val="003541AA"/>
    <w:rsid w:val="00354449"/>
    <w:rsid w:val="003544CD"/>
    <w:rsid w:val="0035463D"/>
    <w:rsid w:val="003548B8"/>
    <w:rsid w:val="00354C57"/>
    <w:rsid w:val="00354D4B"/>
    <w:rsid w:val="00354F47"/>
    <w:rsid w:val="00355732"/>
    <w:rsid w:val="003557D5"/>
    <w:rsid w:val="0035582A"/>
    <w:rsid w:val="00355882"/>
    <w:rsid w:val="00355888"/>
    <w:rsid w:val="003559F8"/>
    <w:rsid w:val="00355B7F"/>
    <w:rsid w:val="00355CA6"/>
    <w:rsid w:val="00355D6A"/>
    <w:rsid w:val="00355DAE"/>
    <w:rsid w:val="00355E3E"/>
    <w:rsid w:val="00355F7D"/>
    <w:rsid w:val="00355F93"/>
    <w:rsid w:val="00355F99"/>
    <w:rsid w:val="003560BF"/>
    <w:rsid w:val="003561A8"/>
    <w:rsid w:val="00356541"/>
    <w:rsid w:val="0035654C"/>
    <w:rsid w:val="00356633"/>
    <w:rsid w:val="003566E7"/>
    <w:rsid w:val="00356C28"/>
    <w:rsid w:val="00356C4D"/>
    <w:rsid w:val="00356CF1"/>
    <w:rsid w:val="00356E56"/>
    <w:rsid w:val="00356EBC"/>
    <w:rsid w:val="00356F2D"/>
    <w:rsid w:val="00356F54"/>
    <w:rsid w:val="003570B3"/>
    <w:rsid w:val="00357248"/>
    <w:rsid w:val="00357307"/>
    <w:rsid w:val="003573D2"/>
    <w:rsid w:val="00357568"/>
    <w:rsid w:val="0035761C"/>
    <w:rsid w:val="00357B56"/>
    <w:rsid w:val="00357B8A"/>
    <w:rsid w:val="00357CF4"/>
    <w:rsid w:val="00357EA5"/>
    <w:rsid w:val="003600F0"/>
    <w:rsid w:val="00360109"/>
    <w:rsid w:val="003604AE"/>
    <w:rsid w:val="003605EB"/>
    <w:rsid w:val="00360616"/>
    <w:rsid w:val="003606A7"/>
    <w:rsid w:val="0036079F"/>
    <w:rsid w:val="0036081C"/>
    <w:rsid w:val="003609E9"/>
    <w:rsid w:val="00360B7D"/>
    <w:rsid w:val="00360D1F"/>
    <w:rsid w:val="00360E23"/>
    <w:rsid w:val="00360E5E"/>
    <w:rsid w:val="00360EA0"/>
    <w:rsid w:val="0036120C"/>
    <w:rsid w:val="003613D7"/>
    <w:rsid w:val="0036142A"/>
    <w:rsid w:val="00361457"/>
    <w:rsid w:val="0036151F"/>
    <w:rsid w:val="00361575"/>
    <w:rsid w:val="003615EF"/>
    <w:rsid w:val="00361985"/>
    <w:rsid w:val="003619B7"/>
    <w:rsid w:val="00361DD8"/>
    <w:rsid w:val="00361E08"/>
    <w:rsid w:val="00362172"/>
    <w:rsid w:val="00362318"/>
    <w:rsid w:val="00362735"/>
    <w:rsid w:val="0036295A"/>
    <w:rsid w:val="003629E4"/>
    <w:rsid w:val="00362E52"/>
    <w:rsid w:val="0036303A"/>
    <w:rsid w:val="0036320F"/>
    <w:rsid w:val="00363329"/>
    <w:rsid w:val="00363457"/>
    <w:rsid w:val="003634B7"/>
    <w:rsid w:val="003635AF"/>
    <w:rsid w:val="00363759"/>
    <w:rsid w:val="00363772"/>
    <w:rsid w:val="003639ED"/>
    <w:rsid w:val="00363B45"/>
    <w:rsid w:val="0036402E"/>
    <w:rsid w:val="00364128"/>
    <w:rsid w:val="003643A1"/>
    <w:rsid w:val="003646FF"/>
    <w:rsid w:val="003649CF"/>
    <w:rsid w:val="00364D11"/>
    <w:rsid w:val="00364D1C"/>
    <w:rsid w:val="00364D36"/>
    <w:rsid w:val="00364D47"/>
    <w:rsid w:val="00364F49"/>
    <w:rsid w:val="00364F86"/>
    <w:rsid w:val="00364FEB"/>
    <w:rsid w:val="003650A1"/>
    <w:rsid w:val="00365168"/>
    <w:rsid w:val="003651A9"/>
    <w:rsid w:val="003658F3"/>
    <w:rsid w:val="00365C42"/>
    <w:rsid w:val="00366001"/>
    <w:rsid w:val="00366775"/>
    <w:rsid w:val="00366884"/>
    <w:rsid w:val="00366A08"/>
    <w:rsid w:val="00366B95"/>
    <w:rsid w:val="00366C40"/>
    <w:rsid w:val="00366D6C"/>
    <w:rsid w:val="00366EA1"/>
    <w:rsid w:val="00366F92"/>
    <w:rsid w:val="00366FA2"/>
    <w:rsid w:val="00367016"/>
    <w:rsid w:val="0036704C"/>
    <w:rsid w:val="003670B6"/>
    <w:rsid w:val="003672BE"/>
    <w:rsid w:val="00367408"/>
    <w:rsid w:val="003675A9"/>
    <w:rsid w:val="003679D2"/>
    <w:rsid w:val="00367D33"/>
    <w:rsid w:val="00367D75"/>
    <w:rsid w:val="00367D87"/>
    <w:rsid w:val="00367E91"/>
    <w:rsid w:val="00367F7B"/>
    <w:rsid w:val="003702BA"/>
    <w:rsid w:val="003703E0"/>
    <w:rsid w:val="00370608"/>
    <w:rsid w:val="003706D8"/>
    <w:rsid w:val="00370830"/>
    <w:rsid w:val="003708EC"/>
    <w:rsid w:val="003709BE"/>
    <w:rsid w:val="00370DA6"/>
    <w:rsid w:val="003710E3"/>
    <w:rsid w:val="003715AB"/>
    <w:rsid w:val="0037170C"/>
    <w:rsid w:val="003719B4"/>
    <w:rsid w:val="00371BA5"/>
    <w:rsid w:val="00372078"/>
    <w:rsid w:val="003725BC"/>
    <w:rsid w:val="003725C1"/>
    <w:rsid w:val="003725ED"/>
    <w:rsid w:val="00372622"/>
    <w:rsid w:val="00372660"/>
    <w:rsid w:val="0037266D"/>
    <w:rsid w:val="003727BE"/>
    <w:rsid w:val="00372803"/>
    <w:rsid w:val="0037297A"/>
    <w:rsid w:val="00372D00"/>
    <w:rsid w:val="00372D1E"/>
    <w:rsid w:val="0037329C"/>
    <w:rsid w:val="00373304"/>
    <w:rsid w:val="0037341F"/>
    <w:rsid w:val="003738F3"/>
    <w:rsid w:val="0037397B"/>
    <w:rsid w:val="00373A1F"/>
    <w:rsid w:val="00373A6D"/>
    <w:rsid w:val="00373AB6"/>
    <w:rsid w:val="00373C73"/>
    <w:rsid w:val="00373D22"/>
    <w:rsid w:val="00373FD8"/>
    <w:rsid w:val="003740DD"/>
    <w:rsid w:val="003743E9"/>
    <w:rsid w:val="00374430"/>
    <w:rsid w:val="00374518"/>
    <w:rsid w:val="00374628"/>
    <w:rsid w:val="0037479E"/>
    <w:rsid w:val="003747CC"/>
    <w:rsid w:val="0037485D"/>
    <w:rsid w:val="00374D51"/>
    <w:rsid w:val="0037513B"/>
    <w:rsid w:val="003754A8"/>
    <w:rsid w:val="00375675"/>
    <w:rsid w:val="003758AF"/>
    <w:rsid w:val="00375C3B"/>
    <w:rsid w:val="00375CD1"/>
    <w:rsid w:val="00375D96"/>
    <w:rsid w:val="00376154"/>
    <w:rsid w:val="003762C4"/>
    <w:rsid w:val="0037651F"/>
    <w:rsid w:val="0037676C"/>
    <w:rsid w:val="00376922"/>
    <w:rsid w:val="003769D0"/>
    <w:rsid w:val="00376BEF"/>
    <w:rsid w:val="00376C6E"/>
    <w:rsid w:val="00376CA5"/>
    <w:rsid w:val="00377006"/>
    <w:rsid w:val="00377038"/>
    <w:rsid w:val="0037723D"/>
    <w:rsid w:val="0037731A"/>
    <w:rsid w:val="00377676"/>
    <w:rsid w:val="00377721"/>
    <w:rsid w:val="00377BAC"/>
    <w:rsid w:val="00377D7A"/>
    <w:rsid w:val="00377DC6"/>
    <w:rsid w:val="00377EB8"/>
    <w:rsid w:val="00377F10"/>
    <w:rsid w:val="00380057"/>
    <w:rsid w:val="0038029A"/>
    <w:rsid w:val="003803A7"/>
    <w:rsid w:val="00380421"/>
    <w:rsid w:val="003808DE"/>
    <w:rsid w:val="003809C4"/>
    <w:rsid w:val="00380B2D"/>
    <w:rsid w:val="00380DD7"/>
    <w:rsid w:val="00380F86"/>
    <w:rsid w:val="003810EC"/>
    <w:rsid w:val="003811A3"/>
    <w:rsid w:val="003812CE"/>
    <w:rsid w:val="00381300"/>
    <w:rsid w:val="00381402"/>
    <w:rsid w:val="00381447"/>
    <w:rsid w:val="00381688"/>
    <w:rsid w:val="003817B2"/>
    <w:rsid w:val="003817EE"/>
    <w:rsid w:val="00381BA2"/>
    <w:rsid w:val="00381CF2"/>
    <w:rsid w:val="00381D06"/>
    <w:rsid w:val="00381DA5"/>
    <w:rsid w:val="00381DDB"/>
    <w:rsid w:val="00381FD5"/>
    <w:rsid w:val="00381FD7"/>
    <w:rsid w:val="00382045"/>
    <w:rsid w:val="003820D7"/>
    <w:rsid w:val="003820ED"/>
    <w:rsid w:val="003822AE"/>
    <w:rsid w:val="00382412"/>
    <w:rsid w:val="00382604"/>
    <w:rsid w:val="00382B60"/>
    <w:rsid w:val="00382B7D"/>
    <w:rsid w:val="00382BFF"/>
    <w:rsid w:val="00382FDD"/>
    <w:rsid w:val="00383196"/>
    <w:rsid w:val="003831C0"/>
    <w:rsid w:val="0038367C"/>
    <w:rsid w:val="003837C0"/>
    <w:rsid w:val="00383816"/>
    <w:rsid w:val="003838CA"/>
    <w:rsid w:val="00383B48"/>
    <w:rsid w:val="00383CD4"/>
    <w:rsid w:val="00383D57"/>
    <w:rsid w:val="00383E91"/>
    <w:rsid w:val="0038402E"/>
    <w:rsid w:val="003842A6"/>
    <w:rsid w:val="003844F2"/>
    <w:rsid w:val="00384637"/>
    <w:rsid w:val="00384744"/>
    <w:rsid w:val="003847F6"/>
    <w:rsid w:val="00384AEB"/>
    <w:rsid w:val="00384B83"/>
    <w:rsid w:val="00384C39"/>
    <w:rsid w:val="003850B2"/>
    <w:rsid w:val="0038543D"/>
    <w:rsid w:val="003854D9"/>
    <w:rsid w:val="00385644"/>
    <w:rsid w:val="003858E5"/>
    <w:rsid w:val="00385903"/>
    <w:rsid w:val="003859DB"/>
    <w:rsid w:val="00385A2B"/>
    <w:rsid w:val="00385AE2"/>
    <w:rsid w:val="00385BF7"/>
    <w:rsid w:val="00385C1F"/>
    <w:rsid w:val="00385E9E"/>
    <w:rsid w:val="00385ED0"/>
    <w:rsid w:val="00385FA7"/>
    <w:rsid w:val="0038611C"/>
    <w:rsid w:val="0038644B"/>
    <w:rsid w:val="00386469"/>
    <w:rsid w:val="00386595"/>
    <w:rsid w:val="0038665A"/>
    <w:rsid w:val="003867F2"/>
    <w:rsid w:val="0038690F"/>
    <w:rsid w:val="003869E9"/>
    <w:rsid w:val="00386AF1"/>
    <w:rsid w:val="00386B80"/>
    <w:rsid w:val="00386C55"/>
    <w:rsid w:val="00386C7D"/>
    <w:rsid w:val="00386F35"/>
    <w:rsid w:val="00386F66"/>
    <w:rsid w:val="003870F7"/>
    <w:rsid w:val="0038727D"/>
    <w:rsid w:val="00387298"/>
    <w:rsid w:val="003875CF"/>
    <w:rsid w:val="0038772C"/>
    <w:rsid w:val="00387974"/>
    <w:rsid w:val="00387E69"/>
    <w:rsid w:val="0038A743"/>
    <w:rsid w:val="0039011E"/>
    <w:rsid w:val="00390297"/>
    <w:rsid w:val="003904CC"/>
    <w:rsid w:val="00390501"/>
    <w:rsid w:val="00390568"/>
    <w:rsid w:val="00390664"/>
    <w:rsid w:val="00390999"/>
    <w:rsid w:val="00390E99"/>
    <w:rsid w:val="00390FF2"/>
    <w:rsid w:val="003910A0"/>
    <w:rsid w:val="00391134"/>
    <w:rsid w:val="003913A9"/>
    <w:rsid w:val="00391404"/>
    <w:rsid w:val="003915C6"/>
    <w:rsid w:val="00391795"/>
    <w:rsid w:val="003917E1"/>
    <w:rsid w:val="003917F7"/>
    <w:rsid w:val="0039189F"/>
    <w:rsid w:val="003919DD"/>
    <w:rsid w:val="00391B19"/>
    <w:rsid w:val="00391B90"/>
    <w:rsid w:val="00391CFE"/>
    <w:rsid w:val="00391D25"/>
    <w:rsid w:val="00391D82"/>
    <w:rsid w:val="00391F4B"/>
    <w:rsid w:val="00391F69"/>
    <w:rsid w:val="00391FBB"/>
    <w:rsid w:val="0039201B"/>
    <w:rsid w:val="003920AE"/>
    <w:rsid w:val="00392151"/>
    <w:rsid w:val="00392172"/>
    <w:rsid w:val="00392511"/>
    <w:rsid w:val="00392513"/>
    <w:rsid w:val="003928AC"/>
    <w:rsid w:val="003928E8"/>
    <w:rsid w:val="00392A8B"/>
    <w:rsid w:val="00392DA1"/>
    <w:rsid w:val="00392E81"/>
    <w:rsid w:val="00392E92"/>
    <w:rsid w:val="00392FF1"/>
    <w:rsid w:val="0039305F"/>
    <w:rsid w:val="00393071"/>
    <w:rsid w:val="003930DF"/>
    <w:rsid w:val="0039316B"/>
    <w:rsid w:val="0039373E"/>
    <w:rsid w:val="003938A3"/>
    <w:rsid w:val="00393AC7"/>
    <w:rsid w:val="00393BEE"/>
    <w:rsid w:val="00393C7F"/>
    <w:rsid w:val="00393D0F"/>
    <w:rsid w:val="00393DE0"/>
    <w:rsid w:val="00393E9A"/>
    <w:rsid w:val="003940C4"/>
    <w:rsid w:val="003940E4"/>
    <w:rsid w:val="00394261"/>
    <w:rsid w:val="00394468"/>
    <w:rsid w:val="0039456F"/>
    <w:rsid w:val="00394641"/>
    <w:rsid w:val="0039484E"/>
    <w:rsid w:val="00394BC0"/>
    <w:rsid w:val="00394BFB"/>
    <w:rsid w:val="00394C77"/>
    <w:rsid w:val="003957CF"/>
    <w:rsid w:val="003958CB"/>
    <w:rsid w:val="00395919"/>
    <w:rsid w:val="0039595F"/>
    <w:rsid w:val="0039596D"/>
    <w:rsid w:val="00395ADC"/>
    <w:rsid w:val="00395BFA"/>
    <w:rsid w:val="00395E91"/>
    <w:rsid w:val="00396087"/>
    <w:rsid w:val="0039614A"/>
    <w:rsid w:val="00396644"/>
    <w:rsid w:val="00396691"/>
    <w:rsid w:val="00396878"/>
    <w:rsid w:val="00396C31"/>
    <w:rsid w:val="00396CB5"/>
    <w:rsid w:val="00396EE0"/>
    <w:rsid w:val="00396FB8"/>
    <w:rsid w:val="0039710E"/>
    <w:rsid w:val="0039715E"/>
    <w:rsid w:val="003973D6"/>
    <w:rsid w:val="0039749A"/>
    <w:rsid w:val="003975C7"/>
    <w:rsid w:val="00397BE7"/>
    <w:rsid w:val="00397EB6"/>
    <w:rsid w:val="00397F2B"/>
    <w:rsid w:val="003A00ED"/>
    <w:rsid w:val="003A0321"/>
    <w:rsid w:val="003A08C2"/>
    <w:rsid w:val="003A094A"/>
    <w:rsid w:val="003A0B05"/>
    <w:rsid w:val="003A0DB6"/>
    <w:rsid w:val="003A108D"/>
    <w:rsid w:val="003A11A0"/>
    <w:rsid w:val="003A12CF"/>
    <w:rsid w:val="003A132E"/>
    <w:rsid w:val="003A13D3"/>
    <w:rsid w:val="003A13E7"/>
    <w:rsid w:val="003A141A"/>
    <w:rsid w:val="003A1802"/>
    <w:rsid w:val="003A1835"/>
    <w:rsid w:val="003A1853"/>
    <w:rsid w:val="003A1925"/>
    <w:rsid w:val="003A1930"/>
    <w:rsid w:val="003A19D0"/>
    <w:rsid w:val="003A1C91"/>
    <w:rsid w:val="003A1CD7"/>
    <w:rsid w:val="003A1EC6"/>
    <w:rsid w:val="003A21CB"/>
    <w:rsid w:val="003A2272"/>
    <w:rsid w:val="003A2953"/>
    <w:rsid w:val="003A29D4"/>
    <w:rsid w:val="003A2C7D"/>
    <w:rsid w:val="003A32C4"/>
    <w:rsid w:val="003A33A8"/>
    <w:rsid w:val="003A3639"/>
    <w:rsid w:val="003A3790"/>
    <w:rsid w:val="003A3B0F"/>
    <w:rsid w:val="003A3C69"/>
    <w:rsid w:val="003A3D4D"/>
    <w:rsid w:val="003A3E9E"/>
    <w:rsid w:val="003A3FCA"/>
    <w:rsid w:val="003A4622"/>
    <w:rsid w:val="003A4653"/>
    <w:rsid w:val="003A466E"/>
    <w:rsid w:val="003A46C9"/>
    <w:rsid w:val="003A46DB"/>
    <w:rsid w:val="003A478E"/>
    <w:rsid w:val="003A4A1F"/>
    <w:rsid w:val="003A4B0B"/>
    <w:rsid w:val="003A4FCC"/>
    <w:rsid w:val="003A5018"/>
    <w:rsid w:val="003A5162"/>
    <w:rsid w:val="003A5555"/>
    <w:rsid w:val="003A5626"/>
    <w:rsid w:val="003A5A1B"/>
    <w:rsid w:val="003A5B93"/>
    <w:rsid w:val="003A5D87"/>
    <w:rsid w:val="003A5D94"/>
    <w:rsid w:val="003A5ED5"/>
    <w:rsid w:val="003A5F8A"/>
    <w:rsid w:val="003A5FEF"/>
    <w:rsid w:val="003A604F"/>
    <w:rsid w:val="003A6206"/>
    <w:rsid w:val="003A62AC"/>
    <w:rsid w:val="003A63DF"/>
    <w:rsid w:val="003A655E"/>
    <w:rsid w:val="003A6590"/>
    <w:rsid w:val="003A670C"/>
    <w:rsid w:val="003A6717"/>
    <w:rsid w:val="003A6787"/>
    <w:rsid w:val="003A6869"/>
    <w:rsid w:val="003A68D1"/>
    <w:rsid w:val="003A69B1"/>
    <w:rsid w:val="003A6A37"/>
    <w:rsid w:val="003A6B16"/>
    <w:rsid w:val="003A6B6F"/>
    <w:rsid w:val="003A6BD0"/>
    <w:rsid w:val="003A6BEA"/>
    <w:rsid w:val="003A6C59"/>
    <w:rsid w:val="003A6D24"/>
    <w:rsid w:val="003A7195"/>
    <w:rsid w:val="003A7197"/>
    <w:rsid w:val="003A79C1"/>
    <w:rsid w:val="003A79ED"/>
    <w:rsid w:val="003A7AF7"/>
    <w:rsid w:val="003A7C34"/>
    <w:rsid w:val="003A7C81"/>
    <w:rsid w:val="003A7D8B"/>
    <w:rsid w:val="003A7E9F"/>
    <w:rsid w:val="003A7F4C"/>
    <w:rsid w:val="003B01D1"/>
    <w:rsid w:val="003B02D6"/>
    <w:rsid w:val="003B0403"/>
    <w:rsid w:val="003B04D4"/>
    <w:rsid w:val="003B0679"/>
    <w:rsid w:val="003B0699"/>
    <w:rsid w:val="003B0752"/>
    <w:rsid w:val="003B07C8"/>
    <w:rsid w:val="003B0831"/>
    <w:rsid w:val="003B0C65"/>
    <w:rsid w:val="003B0E1B"/>
    <w:rsid w:val="003B0E29"/>
    <w:rsid w:val="003B0F3C"/>
    <w:rsid w:val="003B0F4B"/>
    <w:rsid w:val="003B10A6"/>
    <w:rsid w:val="003B1217"/>
    <w:rsid w:val="003B136F"/>
    <w:rsid w:val="003B1676"/>
    <w:rsid w:val="003B16AD"/>
    <w:rsid w:val="003B17EF"/>
    <w:rsid w:val="003B184E"/>
    <w:rsid w:val="003B19C5"/>
    <w:rsid w:val="003B1B38"/>
    <w:rsid w:val="003B1C9C"/>
    <w:rsid w:val="003B1EDE"/>
    <w:rsid w:val="003B2224"/>
    <w:rsid w:val="003B224B"/>
    <w:rsid w:val="003B22A4"/>
    <w:rsid w:val="003B22B4"/>
    <w:rsid w:val="003B2442"/>
    <w:rsid w:val="003B2587"/>
    <w:rsid w:val="003B2631"/>
    <w:rsid w:val="003B265D"/>
    <w:rsid w:val="003B2680"/>
    <w:rsid w:val="003B29B3"/>
    <w:rsid w:val="003B2FCF"/>
    <w:rsid w:val="003B3498"/>
    <w:rsid w:val="003B39C0"/>
    <w:rsid w:val="003B39FC"/>
    <w:rsid w:val="003B3BBB"/>
    <w:rsid w:val="003B3BCA"/>
    <w:rsid w:val="003B3C71"/>
    <w:rsid w:val="003B3DB1"/>
    <w:rsid w:val="003B3E6C"/>
    <w:rsid w:val="003B3F65"/>
    <w:rsid w:val="003B40DC"/>
    <w:rsid w:val="003B4193"/>
    <w:rsid w:val="003B421B"/>
    <w:rsid w:val="003B4456"/>
    <w:rsid w:val="003B45AF"/>
    <w:rsid w:val="003B48CB"/>
    <w:rsid w:val="003B4C0D"/>
    <w:rsid w:val="003B4C4D"/>
    <w:rsid w:val="003B4CB5"/>
    <w:rsid w:val="003B4F6A"/>
    <w:rsid w:val="003B500D"/>
    <w:rsid w:val="003B523D"/>
    <w:rsid w:val="003B56C5"/>
    <w:rsid w:val="003B58E9"/>
    <w:rsid w:val="003B5A29"/>
    <w:rsid w:val="003B5BA0"/>
    <w:rsid w:val="003B5E94"/>
    <w:rsid w:val="003B5EEF"/>
    <w:rsid w:val="003B5F6B"/>
    <w:rsid w:val="003B6199"/>
    <w:rsid w:val="003B6322"/>
    <w:rsid w:val="003B6414"/>
    <w:rsid w:val="003B65C2"/>
    <w:rsid w:val="003B6646"/>
    <w:rsid w:val="003B6745"/>
    <w:rsid w:val="003B6940"/>
    <w:rsid w:val="003B6AAF"/>
    <w:rsid w:val="003B6BDC"/>
    <w:rsid w:val="003B6CDD"/>
    <w:rsid w:val="003B70CA"/>
    <w:rsid w:val="003B71A6"/>
    <w:rsid w:val="003B721C"/>
    <w:rsid w:val="003B73AF"/>
    <w:rsid w:val="003B7475"/>
    <w:rsid w:val="003B74EE"/>
    <w:rsid w:val="003B7519"/>
    <w:rsid w:val="003B7774"/>
    <w:rsid w:val="003B77D2"/>
    <w:rsid w:val="003B7811"/>
    <w:rsid w:val="003B7868"/>
    <w:rsid w:val="003B7AA7"/>
    <w:rsid w:val="003B7ADA"/>
    <w:rsid w:val="003B7B62"/>
    <w:rsid w:val="003B7B66"/>
    <w:rsid w:val="003B7CDA"/>
    <w:rsid w:val="003B7D84"/>
    <w:rsid w:val="003B7D91"/>
    <w:rsid w:val="003B7E40"/>
    <w:rsid w:val="003B7ED1"/>
    <w:rsid w:val="003C0007"/>
    <w:rsid w:val="003C0085"/>
    <w:rsid w:val="003C00F7"/>
    <w:rsid w:val="003C02A3"/>
    <w:rsid w:val="003C0360"/>
    <w:rsid w:val="003C05A7"/>
    <w:rsid w:val="003C0758"/>
    <w:rsid w:val="003C07D7"/>
    <w:rsid w:val="003C093E"/>
    <w:rsid w:val="003C0C1C"/>
    <w:rsid w:val="003C0EA5"/>
    <w:rsid w:val="003C13B8"/>
    <w:rsid w:val="003C13D2"/>
    <w:rsid w:val="003C144D"/>
    <w:rsid w:val="003C14ED"/>
    <w:rsid w:val="003C168A"/>
    <w:rsid w:val="003C1820"/>
    <w:rsid w:val="003C1827"/>
    <w:rsid w:val="003C1937"/>
    <w:rsid w:val="003C19BA"/>
    <w:rsid w:val="003C19E4"/>
    <w:rsid w:val="003C1A6E"/>
    <w:rsid w:val="003C1AAE"/>
    <w:rsid w:val="003C1C2B"/>
    <w:rsid w:val="003C1DD1"/>
    <w:rsid w:val="003C1E55"/>
    <w:rsid w:val="003C20C4"/>
    <w:rsid w:val="003C244F"/>
    <w:rsid w:val="003C25DF"/>
    <w:rsid w:val="003C265D"/>
    <w:rsid w:val="003C2683"/>
    <w:rsid w:val="003C284A"/>
    <w:rsid w:val="003C2887"/>
    <w:rsid w:val="003C29C0"/>
    <w:rsid w:val="003C2A9E"/>
    <w:rsid w:val="003C2B48"/>
    <w:rsid w:val="003C2E24"/>
    <w:rsid w:val="003C2E2B"/>
    <w:rsid w:val="003C2FD4"/>
    <w:rsid w:val="003C2FF5"/>
    <w:rsid w:val="003C30B3"/>
    <w:rsid w:val="003C3213"/>
    <w:rsid w:val="003C3477"/>
    <w:rsid w:val="003C3608"/>
    <w:rsid w:val="003C3829"/>
    <w:rsid w:val="003C39BB"/>
    <w:rsid w:val="003C3A67"/>
    <w:rsid w:val="003C3E13"/>
    <w:rsid w:val="003C410D"/>
    <w:rsid w:val="003C45FE"/>
    <w:rsid w:val="003C4718"/>
    <w:rsid w:val="003C4765"/>
    <w:rsid w:val="003C4830"/>
    <w:rsid w:val="003C4864"/>
    <w:rsid w:val="003C4CCF"/>
    <w:rsid w:val="003C4DFA"/>
    <w:rsid w:val="003C5032"/>
    <w:rsid w:val="003C5174"/>
    <w:rsid w:val="003C5338"/>
    <w:rsid w:val="003C534A"/>
    <w:rsid w:val="003C538B"/>
    <w:rsid w:val="003C554C"/>
    <w:rsid w:val="003C554E"/>
    <w:rsid w:val="003C55C2"/>
    <w:rsid w:val="003C56B1"/>
    <w:rsid w:val="003C586B"/>
    <w:rsid w:val="003C5995"/>
    <w:rsid w:val="003C59A8"/>
    <w:rsid w:val="003C5B09"/>
    <w:rsid w:val="003C5C67"/>
    <w:rsid w:val="003C5D04"/>
    <w:rsid w:val="003C5E13"/>
    <w:rsid w:val="003C5E49"/>
    <w:rsid w:val="003C5FBA"/>
    <w:rsid w:val="003C60BB"/>
    <w:rsid w:val="003C6229"/>
    <w:rsid w:val="003C66CD"/>
    <w:rsid w:val="003C692E"/>
    <w:rsid w:val="003C69AA"/>
    <w:rsid w:val="003C6DFA"/>
    <w:rsid w:val="003C6E32"/>
    <w:rsid w:val="003C6E55"/>
    <w:rsid w:val="003C6EEA"/>
    <w:rsid w:val="003C70E3"/>
    <w:rsid w:val="003C71A0"/>
    <w:rsid w:val="003C753C"/>
    <w:rsid w:val="003C7735"/>
    <w:rsid w:val="003C7898"/>
    <w:rsid w:val="003C7A7B"/>
    <w:rsid w:val="003C7B15"/>
    <w:rsid w:val="003C7D02"/>
    <w:rsid w:val="003C7E69"/>
    <w:rsid w:val="003D000F"/>
    <w:rsid w:val="003D0017"/>
    <w:rsid w:val="003D0169"/>
    <w:rsid w:val="003D0294"/>
    <w:rsid w:val="003D03FA"/>
    <w:rsid w:val="003D0620"/>
    <w:rsid w:val="003D067B"/>
    <w:rsid w:val="003D0942"/>
    <w:rsid w:val="003D0A36"/>
    <w:rsid w:val="003D0A6F"/>
    <w:rsid w:val="003D0C05"/>
    <w:rsid w:val="003D0CD2"/>
    <w:rsid w:val="003D0FF8"/>
    <w:rsid w:val="003D10B6"/>
    <w:rsid w:val="003D1108"/>
    <w:rsid w:val="003D1420"/>
    <w:rsid w:val="003D1726"/>
    <w:rsid w:val="003D1734"/>
    <w:rsid w:val="003D177C"/>
    <w:rsid w:val="003D19CF"/>
    <w:rsid w:val="003D200C"/>
    <w:rsid w:val="003D203D"/>
    <w:rsid w:val="003D2128"/>
    <w:rsid w:val="003D23D5"/>
    <w:rsid w:val="003D24A0"/>
    <w:rsid w:val="003D24BB"/>
    <w:rsid w:val="003D2503"/>
    <w:rsid w:val="003D2526"/>
    <w:rsid w:val="003D252F"/>
    <w:rsid w:val="003D2AB7"/>
    <w:rsid w:val="003D2CBC"/>
    <w:rsid w:val="003D2ED7"/>
    <w:rsid w:val="003D2EE1"/>
    <w:rsid w:val="003D30BE"/>
    <w:rsid w:val="003D31B2"/>
    <w:rsid w:val="003D3325"/>
    <w:rsid w:val="003D344D"/>
    <w:rsid w:val="003D3462"/>
    <w:rsid w:val="003D3551"/>
    <w:rsid w:val="003D3738"/>
    <w:rsid w:val="003D39BA"/>
    <w:rsid w:val="003D3DD0"/>
    <w:rsid w:val="003D3E13"/>
    <w:rsid w:val="003D3E90"/>
    <w:rsid w:val="003D41A8"/>
    <w:rsid w:val="003D41CC"/>
    <w:rsid w:val="003D4436"/>
    <w:rsid w:val="003D459D"/>
    <w:rsid w:val="003D4642"/>
    <w:rsid w:val="003D4C00"/>
    <w:rsid w:val="003D4C53"/>
    <w:rsid w:val="003D4FFB"/>
    <w:rsid w:val="003D51C0"/>
    <w:rsid w:val="003D51D8"/>
    <w:rsid w:val="003D522C"/>
    <w:rsid w:val="003D52A8"/>
    <w:rsid w:val="003D565D"/>
    <w:rsid w:val="003D56AB"/>
    <w:rsid w:val="003D5798"/>
    <w:rsid w:val="003D5B6E"/>
    <w:rsid w:val="003D5D1A"/>
    <w:rsid w:val="003D5DF6"/>
    <w:rsid w:val="003D6081"/>
    <w:rsid w:val="003D6178"/>
    <w:rsid w:val="003D656A"/>
    <w:rsid w:val="003D6572"/>
    <w:rsid w:val="003D67B4"/>
    <w:rsid w:val="003D69A2"/>
    <w:rsid w:val="003D6E32"/>
    <w:rsid w:val="003D6F1B"/>
    <w:rsid w:val="003D711A"/>
    <w:rsid w:val="003D7140"/>
    <w:rsid w:val="003D71F3"/>
    <w:rsid w:val="003D74F0"/>
    <w:rsid w:val="003D754A"/>
    <w:rsid w:val="003D7BAF"/>
    <w:rsid w:val="003D7BB5"/>
    <w:rsid w:val="003D7FEE"/>
    <w:rsid w:val="003E02E3"/>
    <w:rsid w:val="003E0348"/>
    <w:rsid w:val="003E03FB"/>
    <w:rsid w:val="003E040B"/>
    <w:rsid w:val="003E0429"/>
    <w:rsid w:val="003E0474"/>
    <w:rsid w:val="003E0496"/>
    <w:rsid w:val="003E04D1"/>
    <w:rsid w:val="003E058C"/>
    <w:rsid w:val="003E06E8"/>
    <w:rsid w:val="003E07B0"/>
    <w:rsid w:val="003E083A"/>
    <w:rsid w:val="003E0A11"/>
    <w:rsid w:val="003E0A91"/>
    <w:rsid w:val="003E0BDE"/>
    <w:rsid w:val="003E0D4D"/>
    <w:rsid w:val="003E0E1D"/>
    <w:rsid w:val="003E0E3B"/>
    <w:rsid w:val="003E0E8F"/>
    <w:rsid w:val="003E105D"/>
    <w:rsid w:val="003E108F"/>
    <w:rsid w:val="003E11EA"/>
    <w:rsid w:val="003E1247"/>
    <w:rsid w:val="003E1248"/>
    <w:rsid w:val="003E1282"/>
    <w:rsid w:val="003E1584"/>
    <w:rsid w:val="003E1612"/>
    <w:rsid w:val="003E188B"/>
    <w:rsid w:val="003E18AA"/>
    <w:rsid w:val="003E199F"/>
    <w:rsid w:val="003E1A34"/>
    <w:rsid w:val="003E1ABE"/>
    <w:rsid w:val="003E1D15"/>
    <w:rsid w:val="003E1D37"/>
    <w:rsid w:val="003E1EF7"/>
    <w:rsid w:val="003E219B"/>
    <w:rsid w:val="003E229B"/>
    <w:rsid w:val="003E2583"/>
    <w:rsid w:val="003E291E"/>
    <w:rsid w:val="003E2AD2"/>
    <w:rsid w:val="003E2BD9"/>
    <w:rsid w:val="003E2D15"/>
    <w:rsid w:val="003E2D86"/>
    <w:rsid w:val="003E2ED6"/>
    <w:rsid w:val="003E32B9"/>
    <w:rsid w:val="003E330F"/>
    <w:rsid w:val="003E354F"/>
    <w:rsid w:val="003E35CE"/>
    <w:rsid w:val="003E3736"/>
    <w:rsid w:val="003E381C"/>
    <w:rsid w:val="003E3B30"/>
    <w:rsid w:val="003E3B44"/>
    <w:rsid w:val="003E3EC0"/>
    <w:rsid w:val="003E41D9"/>
    <w:rsid w:val="003E436B"/>
    <w:rsid w:val="003E4498"/>
    <w:rsid w:val="003E478B"/>
    <w:rsid w:val="003E4BA4"/>
    <w:rsid w:val="003E4C62"/>
    <w:rsid w:val="003E4E26"/>
    <w:rsid w:val="003E5040"/>
    <w:rsid w:val="003E511E"/>
    <w:rsid w:val="003E51A2"/>
    <w:rsid w:val="003E52BA"/>
    <w:rsid w:val="003E52E3"/>
    <w:rsid w:val="003E53CC"/>
    <w:rsid w:val="003E56D1"/>
    <w:rsid w:val="003E5726"/>
    <w:rsid w:val="003E57EE"/>
    <w:rsid w:val="003E5C4A"/>
    <w:rsid w:val="003E5D1A"/>
    <w:rsid w:val="003E5DC4"/>
    <w:rsid w:val="003E5F72"/>
    <w:rsid w:val="003E6304"/>
    <w:rsid w:val="003E67BF"/>
    <w:rsid w:val="003E68EF"/>
    <w:rsid w:val="003E691C"/>
    <w:rsid w:val="003E6A6F"/>
    <w:rsid w:val="003E6D72"/>
    <w:rsid w:val="003E7015"/>
    <w:rsid w:val="003E706E"/>
    <w:rsid w:val="003E7076"/>
    <w:rsid w:val="003E7861"/>
    <w:rsid w:val="003E78B6"/>
    <w:rsid w:val="003E7ABC"/>
    <w:rsid w:val="003E7C42"/>
    <w:rsid w:val="003E7C54"/>
    <w:rsid w:val="003E7D61"/>
    <w:rsid w:val="003E7DBD"/>
    <w:rsid w:val="003E7E80"/>
    <w:rsid w:val="003F03E4"/>
    <w:rsid w:val="003F046A"/>
    <w:rsid w:val="003F05FD"/>
    <w:rsid w:val="003F0652"/>
    <w:rsid w:val="003F0700"/>
    <w:rsid w:val="003F0766"/>
    <w:rsid w:val="003F09A2"/>
    <w:rsid w:val="003F0CC0"/>
    <w:rsid w:val="003F0E9F"/>
    <w:rsid w:val="003F10E4"/>
    <w:rsid w:val="003F156E"/>
    <w:rsid w:val="003F15B0"/>
    <w:rsid w:val="003F15E5"/>
    <w:rsid w:val="003F15EA"/>
    <w:rsid w:val="003F1B84"/>
    <w:rsid w:val="003F1C25"/>
    <w:rsid w:val="003F2105"/>
    <w:rsid w:val="003F21AE"/>
    <w:rsid w:val="003F23D6"/>
    <w:rsid w:val="003F258E"/>
    <w:rsid w:val="003F26B6"/>
    <w:rsid w:val="003F2863"/>
    <w:rsid w:val="003F2A77"/>
    <w:rsid w:val="003F2D1F"/>
    <w:rsid w:val="003F2DAB"/>
    <w:rsid w:val="003F2E79"/>
    <w:rsid w:val="003F30DB"/>
    <w:rsid w:val="003F339B"/>
    <w:rsid w:val="003F3500"/>
    <w:rsid w:val="003F364F"/>
    <w:rsid w:val="003F36E8"/>
    <w:rsid w:val="003F380C"/>
    <w:rsid w:val="003F3952"/>
    <w:rsid w:val="003F3DE8"/>
    <w:rsid w:val="003F3DF4"/>
    <w:rsid w:val="003F3E1B"/>
    <w:rsid w:val="003F3EB2"/>
    <w:rsid w:val="003F4019"/>
    <w:rsid w:val="003F4470"/>
    <w:rsid w:val="003F4776"/>
    <w:rsid w:val="003F47C0"/>
    <w:rsid w:val="003F493D"/>
    <w:rsid w:val="003F4A92"/>
    <w:rsid w:val="003F4AA8"/>
    <w:rsid w:val="003F4E00"/>
    <w:rsid w:val="003F5001"/>
    <w:rsid w:val="003F5121"/>
    <w:rsid w:val="003F5196"/>
    <w:rsid w:val="003F524B"/>
    <w:rsid w:val="003F52F0"/>
    <w:rsid w:val="003F5347"/>
    <w:rsid w:val="003F5427"/>
    <w:rsid w:val="003F55D1"/>
    <w:rsid w:val="003F562E"/>
    <w:rsid w:val="003F565F"/>
    <w:rsid w:val="003F5C15"/>
    <w:rsid w:val="003F5C2C"/>
    <w:rsid w:val="003F5C77"/>
    <w:rsid w:val="003F5D8D"/>
    <w:rsid w:val="003F5EC9"/>
    <w:rsid w:val="003F5F0E"/>
    <w:rsid w:val="003F5F72"/>
    <w:rsid w:val="003F60FD"/>
    <w:rsid w:val="003F62B1"/>
    <w:rsid w:val="003F6317"/>
    <w:rsid w:val="003F636B"/>
    <w:rsid w:val="003F657D"/>
    <w:rsid w:val="003F6612"/>
    <w:rsid w:val="003F66E2"/>
    <w:rsid w:val="003F6721"/>
    <w:rsid w:val="003F68CC"/>
    <w:rsid w:val="003F6A1D"/>
    <w:rsid w:val="003F6B12"/>
    <w:rsid w:val="003F6F74"/>
    <w:rsid w:val="003F7398"/>
    <w:rsid w:val="003F7443"/>
    <w:rsid w:val="003F750A"/>
    <w:rsid w:val="003F75A9"/>
    <w:rsid w:val="003F779C"/>
    <w:rsid w:val="003F7823"/>
    <w:rsid w:val="003F7916"/>
    <w:rsid w:val="003F7BC2"/>
    <w:rsid w:val="003F7D0C"/>
    <w:rsid w:val="003F7D53"/>
    <w:rsid w:val="00400232"/>
    <w:rsid w:val="00400261"/>
    <w:rsid w:val="004004B8"/>
    <w:rsid w:val="0040087D"/>
    <w:rsid w:val="00400884"/>
    <w:rsid w:val="0040095F"/>
    <w:rsid w:val="00400A20"/>
    <w:rsid w:val="00400A23"/>
    <w:rsid w:val="00400A6F"/>
    <w:rsid w:val="00400ACE"/>
    <w:rsid w:val="00400B72"/>
    <w:rsid w:val="00400D0C"/>
    <w:rsid w:val="00400F8E"/>
    <w:rsid w:val="004012B5"/>
    <w:rsid w:val="00401360"/>
    <w:rsid w:val="00401572"/>
    <w:rsid w:val="004015E6"/>
    <w:rsid w:val="00401AF9"/>
    <w:rsid w:val="00401B82"/>
    <w:rsid w:val="00401C09"/>
    <w:rsid w:val="00401D00"/>
    <w:rsid w:val="00401D50"/>
    <w:rsid w:val="00401DA1"/>
    <w:rsid w:val="00401FB2"/>
    <w:rsid w:val="0040202C"/>
    <w:rsid w:val="004020DE"/>
    <w:rsid w:val="0040222A"/>
    <w:rsid w:val="00402263"/>
    <w:rsid w:val="004023B1"/>
    <w:rsid w:val="004024E2"/>
    <w:rsid w:val="00402516"/>
    <w:rsid w:val="004025D5"/>
    <w:rsid w:val="00402675"/>
    <w:rsid w:val="0040293E"/>
    <w:rsid w:val="004029A3"/>
    <w:rsid w:val="00402AAD"/>
    <w:rsid w:val="00402B45"/>
    <w:rsid w:val="00402E00"/>
    <w:rsid w:val="00402E22"/>
    <w:rsid w:val="00402EBF"/>
    <w:rsid w:val="00403444"/>
    <w:rsid w:val="00403468"/>
    <w:rsid w:val="00403568"/>
    <w:rsid w:val="00403698"/>
    <w:rsid w:val="004038DD"/>
    <w:rsid w:val="00403CA2"/>
    <w:rsid w:val="00403CF6"/>
    <w:rsid w:val="00403E51"/>
    <w:rsid w:val="00403FC0"/>
    <w:rsid w:val="00404030"/>
    <w:rsid w:val="0040421D"/>
    <w:rsid w:val="00404425"/>
    <w:rsid w:val="00404593"/>
    <w:rsid w:val="004046FF"/>
    <w:rsid w:val="00404783"/>
    <w:rsid w:val="004049D9"/>
    <w:rsid w:val="00404A12"/>
    <w:rsid w:val="00404C94"/>
    <w:rsid w:val="00404E69"/>
    <w:rsid w:val="00404F1B"/>
    <w:rsid w:val="00404F81"/>
    <w:rsid w:val="004051DC"/>
    <w:rsid w:val="0040530D"/>
    <w:rsid w:val="00405478"/>
    <w:rsid w:val="004055C4"/>
    <w:rsid w:val="004055EA"/>
    <w:rsid w:val="00405628"/>
    <w:rsid w:val="00405A9F"/>
    <w:rsid w:val="00405CDC"/>
    <w:rsid w:val="00405D38"/>
    <w:rsid w:val="00405DA3"/>
    <w:rsid w:val="00406187"/>
    <w:rsid w:val="004065E8"/>
    <w:rsid w:val="004067E8"/>
    <w:rsid w:val="00406889"/>
    <w:rsid w:val="00406A94"/>
    <w:rsid w:val="00406AB6"/>
    <w:rsid w:val="00406B44"/>
    <w:rsid w:val="00406BEE"/>
    <w:rsid w:val="00406C26"/>
    <w:rsid w:val="00406E97"/>
    <w:rsid w:val="00406EEA"/>
    <w:rsid w:val="00406FCA"/>
    <w:rsid w:val="004071F1"/>
    <w:rsid w:val="0040760A"/>
    <w:rsid w:val="004079AF"/>
    <w:rsid w:val="004079D1"/>
    <w:rsid w:val="00407D43"/>
    <w:rsid w:val="00407EAA"/>
    <w:rsid w:val="0041002E"/>
    <w:rsid w:val="004100E9"/>
    <w:rsid w:val="00410117"/>
    <w:rsid w:val="004101DD"/>
    <w:rsid w:val="004107A7"/>
    <w:rsid w:val="00410B10"/>
    <w:rsid w:val="00410B42"/>
    <w:rsid w:val="00410CC6"/>
    <w:rsid w:val="00410F2E"/>
    <w:rsid w:val="00410F8F"/>
    <w:rsid w:val="004110A7"/>
    <w:rsid w:val="00411202"/>
    <w:rsid w:val="00411772"/>
    <w:rsid w:val="004119A3"/>
    <w:rsid w:val="00411C0F"/>
    <w:rsid w:val="00411C32"/>
    <w:rsid w:val="00411C88"/>
    <w:rsid w:val="00411D34"/>
    <w:rsid w:val="004120B5"/>
    <w:rsid w:val="00412372"/>
    <w:rsid w:val="004123A3"/>
    <w:rsid w:val="00412538"/>
    <w:rsid w:val="00412AC3"/>
    <w:rsid w:val="00412B11"/>
    <w:rsid w:val="00412CD6"/>
    <w:rsid w:val="00412D31"/>
    <w:rsid w:val="00412F49"/>
    <w:rsid w:val="004130CD"/>
    <w:rsid w:val="004130F6"/>
    <w:rsid w:val="0041311C"/>
    <w:rsid w:val="00413576"/>
    <w:rsid w:val="004135C7"/>
    <w:rsid w:val="004139C4"/>
    <w:rsid w:val="00413ABB"/>
    <w:rsid w:val="00413B7A"/>
    <w:rsid w:val="00413BFE"/>
    <w:rsid w:val="00413C56"/>
    <w:rsid w:val="00413C67"/>
    <w:rsid w:val="00413D84"/>
    <w:rsid w:val="00413DB8"/>
    <w:rsid w:val="00413FF3"/>
    <w:rsid w:val="00414189"/>
    <w:rsid w:val="004141D0"/>
    <w:rsid w:val="004143C9"/>
    <w:rsid w:val="00414414"/>
    <w:rsid w:val="00414488"/>
    <w:rsid w:val="0041479E"/>
    <w:rsid w:val="004147AB"/>
    <w:rsid w:val="00414AE7"/>
    <w:rsid w:val="00414D56"/>
    <w:rsid w:val="00414DFF"/>
    <w:rsid w:val="00415029"/>
    <w:rsid w:val="00415467"/>
    <w:rsid w:val="004155A7"/>
    <w:rsid w:val="00415752"/>
    <w:rsid w:val="00415964"/>
    <w:rsid w:val="00415A36"/>
    <w:rsid w:val="00415AD6"/>
    <w:rsid w:val="00415B58"/>
    <w:rsid w:val="00415D68"/>
    <w:rsid w:val="00415DD7"/>
    <w:rsid w:val="00415F45"/>
    <w:rsid w:val="004164D1"/>
    <w:rsid w:val="004164DB"/>
    <w:rsid w:val="004165A1"/>
    <w:rsid w:val="004165BB"/>
    <w:rsid w:val="0041670B"/>
    <w:rsid w:val="004167A9"/>
    <w:rsid w:val="0041686A"/>
    <w:rsid w:val="00416C55"/>
    <w:rsid w:val="00416DA8"/>
    <w:rsid w:val="00416DCB"/>
    <w:rsid w:val="00417222"/>
    <w:rsid w:val="0041732C"/>
    <w:rsid w:val="00417372"/>
    <w:rsid w:val="004176E4"/>
    <w:rsid w:val="0041784C"/>
    <w:rsid w:val="00417A2C"/>
    <w:rsid w:val="00417ABC"/>
    <w:rsid w:val="00417B82"/>
    <w:rsid w:val="00417CE0"/>
    <w:rsid w:val="00417D43"/>
    <w:rsid w:val="00420130"/>
    <w:rsid w:val="00420148"/>
    <w:rsid w:val="004202C4"/>
    <w:rsid w:val="004203C3"/>
    <w:rsid w:val="0042040D"/>
    <w:rsid w:val="00420503"/>
    <w:rsid w:val="00420640"/>
    <w:rsid w:val="004206B7"/>
    <w:rsid w:val="004208A6"/>
    <w:rsid w:val="0042095D"/>
    <w:rsid w:val="00420A77"/>
    <w:rsid w:val="00420A81"/>
    <w:rsid w:val="00420CBB"/>
    <w:rsid w:val="00420D71"/>
    <w:rsid w:val="004210D3"/>
    <w:rsid w:val="00421206"/>
    <w:rsid w:val="004212F3"/>
    <w:rsid w:val="0042171E"/>
    <w:rsid w:val="004217F5"/>
    <w:rsid w:val="00421960"/>
    <w:rsid w:val="00421A7F"/>
    <w:rsid w:val="00421CCD"/>
    <w:rsid w:val="00421ED2"/>
    <w:rsid w:val="00421F85"/>
    <w:rsid w:val="0042209A"/>
    <w:rsid w:val="004220B5"/>
    <w:rsid w:val="0042210D"/>
    <w:rsid w:val="004222BD"/>
    <w:rsid w:val="004223A9"/>
    <w:rsid w:val="004225E1"/>
    <w:rsid w:val="004228ED"/>
    <w:rsid w:val="00422982"/>
    <w:rsid w:val="00422BB0"/>
    <w:rsid w:val="00422BC1"/>
    <w:rsid w:val="00422F97"/>
    <w:rsid w:val="00422FE4"/>
    <w:rsid w:val="0042303D"/>
    <w:rsid w:val="00423175"/>
    <w:rsid w:val="00423288"/>
    <w:rsid w:val="00423407"/>
    <w:rsid w:val="004234D2"/>
    <w:rsid w:val="00423576"/>
    <w:rsid w:val="0042364E"/>
    <w:rsid w:val="00423686"/>
    <w:rsid w:val="00423770"/>
    <w:rsid w:val="004238FE"/>
    <w:rsid w:val="0042393D"/>
    <w:rsid w:val="00423C96"/>
    <w:rsid w:val="00423F0B"/>
    <w:rsid w:val="00423FB8"/>
    <w:rsid w:val="004241D4"/>
    <w:rsid w:val="0042431A"/>
    <w:rsid w:val="0042449D"/>
    <w:rsid w:val="004244EA"/>
    <w:rsid w:val="00424574"/>
    <w:rsid w:val="004245A7"/>
    <w:rsid w:val="004245E5"/>
    <w:rsid w:val="004246BF"/>
    <w:rsid w:val="004246FA"/>
    <w:rsid w:val="00424792"/>
    <w:rsid w:val="0042484B"/>
    <w:rsid w:val="0042486C"/>
    <w:rsid w:val="00424878"/>
    <w:rsid w:val="004248A0"/>
    <w:rsid w:val="0042495E"/>
    <w:rsid w:val="00424A2C"/>
    <w:rsid w:val="00424A98"/>
    <w:rsid w:val="00424F78"/>
    <w:rsid w:val="004251E9"/>
    <w:rsid w:val="0042521D"/>
    <w:rsid w:val="0042528D"/>
    <w:rsid w:val="00425382"/>
    <w:rsid w:val="004254B6"/>
    <w:rsid w:val="00425529"/>
    <w:rsid w:val="00425541"/>
    <w:rsid w:val="00425880"/>
    <w:rsid w:val="00425AC3"/>
    <w:rsid w:val="00425DF6"/>
    <w:rsid w:val="00425EDA"/>
    <w:rsid w:val="00425F81"/>
    <w:rsid w:val="00426041"/>
    <w:rsid w:val="004261DA"/>
    <w:rsid w:val="004262C1"/>
    <w:rsid w:val="0042638A"/>
    <w:rsid w:val="004263C7"/>
    <w:rsid w:val="00426427"/>
    <w:rsid w:val="0042651F"/>
    <w:rsid w:val="004267FA"/>
    <w:rsid w:val="00426850"/>
    <w:rsid w:val="0042688E"/>
    <w:rsid w:val="004268BB"/>
    <w:rsid w:val="004269BA"/>
    <w:rsid w:val="00426A13"/>
    <w:rsid w:val="00426A8F"/>
    <w:rsid w:val="00426B0A"/>
    <w:rsid w:val="00426B17"/>
    <w:rsid w:val="00426D28"/>
    <w:rsid w:val="00426D64"/>
    <w:rsid w:val="00426D6A"/>
    <w:rsid w:val="00426DC2"/>
    <w:rsid w:val="00426EEB"/>
    <w:rsid w:val="00426F51"/>
    <w:rsid w:val="004271CE"/>
    <w:rsid w:val="00427244"/>
    <w:rsid w:val="0042734E"/>
    <w:rsid w:val="004274DD"/>
    <w:rsid w:val="004274EA"/>
    <w:rsid w:val="004279BA"/>
    <w:rsid w:val="00427A95"/>
    <w:rsid w:val="00427B09"/>
    <w:rsid w:val="00427B18"/>
    <w:rsid w:val="00427B6B"/>
    <w:rsid w:val="00427E1F"/>
    <w:rsid w:val="00427E63"/>
    <w:rsid w:val="00427E6A"/>
    <w:rsid w:val="004301BC"/>
    <w:rsid w:val="00430273"/>
    <w:rsid w:val="004305AF"/>
    <w:rsid w:val="00430638"/>
    <w:rsid w:val="00430796"/>
    <w:rsid w:val="00430984"/>
    <w:rsid w:val="004309AB"/>
    <w:rsid w:val="004309B2"/>
    <w:rsid w:val="00430A1D"/>
    <w:rsid w:val="00430AE3"/>
    <w:rsid w:val="00430B26"/>
    <w:rsid w:val="00430B8F"/>
    <w:rsid w:val="00430E86"/>
    <w:rsid w:val="00431045"/>
    <w:rsid w:val="004310F8"/>
    <w:rsid w:val="004311AF"/>
    <w:rsid w:val="00431320"/>
    <w:rsid w:val="00431453"/>
    <w:rsid w:val="004315CC"/>
    <w:rsid w:val="00431700"/>
    <w:rsid w:val="00431957"/>
    <w:rsid w:val="00431995"/>
    <w:rsid w:val="004319D4"/>
    <w:rsid w:val="004319F9"/>
    <w:rsid w:val="00431CA2"/>
    <w:rsid w:val="00431D19"/>
    <w:rsid w:val="00431D3A"/>
    <w:rsid w:val="00432538"/>
    <w:rsid w:val="00432563"/>
    <w:rsid w:val="004326F7"/>
    <w:rsid w:val="004327A5"/>
    <w:rsid w:val="0043288A"/>
    <w:rsid w:val="00432B00"/>
    <w:rsid w:val="00432B81"/>
    <w:rsid w:val="00432F4B"/>
    <w:rsid w:val="00432FD8"/>
    <w:rsid w:val="004330C8"/>
    <w:rsid w:val="004330E7"/>
    <w:rsid w:val="004331FE"/>
    <w:rsid w:val="004333DF"/>
    <w:rsid w:val="004333F8"/>
    <w:rsid w:val="0043342B"/>
    <w:rsid w:val="00433455"/>
    <w:rsid w:val="00433616"/>
    <w:rsid w:val="0043389E"/>
    <w:rsid w:val="004339D6"/>
    <w:rsid w:val="00433D85"/>
    <w:rsid w:val="00433E00"/>
    <w:rsid w:val="00433F2F"/>
    <w:rsid w:val="004340EC"/>
    <w:rsid w:val="0043410E"/>
    <w:rsid w:val="004341F4"/>
    <w:rsid w:val="00434590"/>
    <w:rsid w:val="004345A1"/>
    <w:rsid w:val="00434D76"/>
    <w:rsid w:val="00434DDC"/>
    <w:rsid w:val="00434EA1"/>
    <w:rsid w:val="00435058"/>
    <w:rsid w:val="00435067"/>
    <w:rsid w:val="0043506A"/>
    <w:rsid w:val="004352B8"/>
    <w:rsid w:val="004353EC"/>
    <w:rsid w:val="0043540D"/>
    <w:rsid w:val="0043546D"/>
    <w:rsid w:val="00435524"/>
    <w:rsid w:val="004359D6"/>
    <w:rsid w:val="00435A08"/>
    <w:rsid w:val="00435C6C"/>
    <w:rsid w:val="00435FF5"/>
    <w:rsid w:val="00436105"/>
    <w:rsid w:val="004361A5"/>
    <w:rsid w:val="004362F9"/>
    <w:rsid w:val="0043632B"/>
    <w:rsid w:val="00436343"/>
    <w:rsid w:val="004363A8"/>
    <w:rsid w:val="00436499"/>
    <w:rsid w:val="00436937"/>
    <w:rsid w:val="00436ECE"/>
    <w:rsid w:val="00436FB0"/>
    <w:rsid w:val="00436FE2"/>
    <w:rsid w:val="004373B6"/>
    <w:rsid w:val="004375D0"/>
    <w:rsid w:val="0043768E"/>
    <w:rsid w:val="00437852"/>
    <w:rsid w:val="00437A3C"/>
    <w:rsid w:val="00437A50"/>
    <w:rsid w:val="00437ED6"/>
    <w:rsid w:val="00437F08"/>
    <w:rsid w:val="00440104"/>
    <w:rsid w:val="004406BA"/>
    <w:rsid w:val="00440749"/>
    <w:rsid w:val="004409B7"/>
    <w:rsid w:val="00440B3B"/>
    <w:rsid w:val="00440B55"/>
    <w:rsid w:val="00440C52"/>
    <w:rsid w:val="00440DE4"/>
    <w:rsid w:val="00440E5C"/>
    <w:rsid w:val="00440EE7"/>
    <w:rsid w:val="00440FA2"/>
    <w:rsid w:val="004410F5"/>
    <w:rsid w:val="004411CF"/>
    <w:rsid w:val="0044120E"/>
    <w:rsid w:val="00441403"/>
    <w:rsid w:val="00441446"/>
    <w:rsid w:val="004415B9"/>
    <w:rsid w:val="0044171D"/>
    <w:rsid w:val="004418B6"/>
    <w:rsid w:val="004418D3"/>
    <w:rsid w:val="00441951"/>
    <w:rsid w:val="00441E6D"/>
    <w:rsid w:val="00441EDE"/>
    <w:rsid w:val="00441F41"/>
    <w:rsid w:val="00441FEF"/>
    <w:rsid w:val="004420E0"/>
    <w:rsid w:val="004423B2"/>
    <w:rsid w:val="004423E4"/>
    <w:rsid w:val="004426E1"/>
    <w:rsid w:val="004426E7"/>
    <w:rsid w:val="004426EB"/>
    <w:rsid w:val="004427A6"/>
    <w:rsid w:val="00442A2D"/>
    <w:rsid w:val="00442A58"/>
    <w:rsid w:val="00442AE7"/>
    <w:rsid w:val="00442B1F"/>
    <w:rsid w:val="00442B81"/>
    <w:rsid w:val="00442C7C"/>
    <w:rsid w:val="00442D65"/>
    <w:rsid w:val="00442E1B"/>
    <w:rsid w:val="00443252"/>
    <w:rsid w:val="004433A8"/>
    <w:rsid w:val="004433F1"/>
    <w:rsid w:val="004435B1"/>
    <w:rsid w:val="00443655"/>
    <w:rsid w:val="00443AA6"/>
    <w:rsid w:val="00443C0D"/>
    <w:rsid w:val="00443CC4"/>
    <w:rsid w:val="00443EE4"/>
    <w:rsid w:val="00443EFE"/>
    <w:rsid w:val="00443F98"/>
    <w:rsid w:val="00444002"/>
    <w:rsid w:val="0044435A"/>
    <w:rsid w:val="004444A6"/>
    <w:rsid w:val="0044457F"/>
    <w:rsid w:val="004448B3"/>
    <w:rsid w:val="00444AB7"/>
    <w:rsid w:val="00444B8C"/>
    <w:rsid w:val="004450EF"/>
    <w:rsid w:val="00445163"/>
    <w:rsid w:val="00445589"/>
    <w:rsid w:val="00445765"/>
    <w:rsid w:val="00445ABF"/>
    <w:rsid w:val="00445B3A"/>
    <w:rsid w:val="00445C57"/>
    <w:rsid w:val="00445E1D"/>
    <w:rsid w:val="00445EF8"/>
    <w:rsid w:val="004461FD"/>
    <w:rsid w:val="004462A4"/>
    <w:rsid w:val="00446359"/>
    <w:rsid w:val="00446497"/>
    <w:rsid w:val="00446515"/>
    <w:rsid w:val="00446790"/>
    <w:rsid w:val="004469CD"/>
    <w:rsid w:val="00446CAB"/>
    <w:rsid w:val="00446CD3"/>
    <w:rsid w:val="00446E4E"/>
    <w:rsid w:val="00446EEA"/>
    <w:rsid w:val="00446FA1"/>
    <w:rsid w:val="00446FD4"/>
    <w:rsid w:val="004472C5"/>
    <w:rsid w:val="00447355"/>
    <w:rsid w:val="004474E5"/>
    <w:rsid w:val="00447503"/>
    <w:rsid w:val="00447513"/>
    <w:rsid w:val="004477D1"/>
    <w:rsid w:val="00447880"/>
    <w:rsid w:val="00447E57"/>
    <w:rsid w:val="00447E80"/>
    <w:rsid w:val="00447EAD"/>
    <w:rsid w:val="00447F31"/>
    <w:rsid w:val="00447FF3"/>
    <w:rsid w:val="00450138"/>
    <w:rsid w:val="004502C3"/>
    <w:rsid w:val="0045035D"/>
    <w:rsid w:val="00450549"/>
    <w:rsid w:val="00450785"/>
    <w:rsid w:val="00450840"/>
    <w:rsid w:val="00450BD1"/>
    <w:rsid w:val="00450C79"/>
    <w:rsid w:val="0045101D"/>
    <w:rsid w:val="00451491"/>
    <w:rsid w:val="0045152F"/>
    <w:rsid w:val="004515D6"/>
    <w:rsid w:val="00451606"/>
    <w:rsid w:val="004516EA"/>
    <w:rsid w:val="004518B4"/>
    <w:rsid w:val="0045197C"/>
    <w:rsid w:val="004519E5"/>
    <w:rsid w:val="00451A3E"/>
    <w:rsid w:val="00451BA0"/>
    <w:rsid w:val="00451DB7"/>
    <w:rsid w:val="00451E57"/>
    <w:rsid w:val="00451E6A"/>
    <w:rsid w:val="004525BA"/>
    <w:rsid w:val="004526D4"/>
    <w:rsid w:val="004529B1"/>
    <w:rsid w:val="00452A0B"/>
    <w:rsid w:val="00452BB5"/>
    <w:rsid w:val="00452BCB"/>
    <w:rsid w:val="00452D82"/>
    <w:rsid w:val="00452D8D"/>
    <w:rsid w:val="004530C3"/>
    <w:rsid w:val="004532FB"/>
    <w:rsid w:val="004534E5"/>
    <w:rsid w:val="0045359B"/>
    <w:rsid w:val="00453605"/>
    <w:rsid w:val="00453630"/>
    <w:rsid w:val="00453696"/>
    <w:rsid w:val="00453EFE"/>
    <w:rsid w:val="00453F7C"/>
    <w:rsid w:val="004542CC"/>
    <w:rsid w:val="0045457B"/>
    <w:rsid w:val="004547D7"/>
    <w:rsid w:val="00454907"/>
    <w:rsid w:val="004549B1"/>
    <w:rsid w:val="00454B85"/>
    <w:rsid w:val="00454BB2"/>
    <w:rsid w:val="00454C51"/>
    <w:rsid w:val="00454C84"/>
    <w:rsid w:val="00454DAD"/>
    <w:rsid w:val="00454E6D"/>
    <w:rsid w:val="00454EDA"/>
    <w:rsid w:val="00455459"/>
    <w:rsid w:val="004554D4"/>
    <w:rsid w:val="004556E5"/>
    <w:rsid w:val="00455B02"/>
    <w:rsid w:val="00455D6E"/>
    <w:rsid w:val="00455E7F"/>
    <w:rsid w:val="00455EEE"/>
    <w:rsid w:val="00455FB1"/>
    <w:rsid w:val="00456382"/>
    <w:rsid w:val="004563A7"/>
    <w:rsid w:val="004567A0"/>
    <w:rsid w:val="00456828"/>
    <w:rsid w:val="00456A25"/>
    <w:rsid w:val="00456AFF"/>
    <w:rsid w:val="00456B2E"/>
    <w:rsid w:val="00456B42"/>
    <w:rsid w:val="00456DF7"/>
    <w:rsid w:val="00456F31"/>
    <w:rsid w:val="004570D0"/>
    <w:rsid w:val="00457266"/>
    <w:rsid w:val="004577CA"/>
    <w:rsid w:val="004577FD"/>
    <w:rsid w:val="00457A68"/>
    <w:rsid w:val="00457B48"/>
    <w:rsid w:val="00457B7B"/>
    <w:rsid w:val="00457C27"/>
    <w:rsid w:val="00457C45"/>
    <w:rsid w:val="00457CF4"/>
    <w:rsid w:val="004604D9"/>
    <w:rsid w:val="004605E6"/>
    <w:rsid w:val="00460642"/>
    <w:rsid w:val="00460675"/>
    <w:rsid w:val="004607EB"/>
    <w:rsid w:val="0046083C"/>
    <w:rsid w:val="00460951"/>
    <w:rsid w:val="00460978"/>
    <w:rsid w:val="00460B8F"/>
    <w:rsid w:val="00460D74"/>
    <w:rsid w:val="00460E2B"/>
    <w:rsid w:val="00460E2C"/>
    <w:rsid w:val="0046120D"/>
    <w:rsid w:val="0046127F"/>
    <w:rsid w:val="004613E0"/>
    <w:rsid w:val="0046147F"/>
    <w:rsid w:val="00461538"/>
    <w:rsid w:val="0046154D"/>
    <w:rsid w:val="004618EF"/>
    <w:rsid w:val="00461A41"/>
    <w:rsid w:val="00461ABA"/>
    <w:rsid w:val="00461C2D"/>
    <w:rsid w:val="00461D5B"/>
    <w:rsid w:val="00461DF8"/>
    <w:rsid w:val="00461E3F"/>
    <w:rsid w:val="00461F9C"/>
    <w:rsid w:val="0046208C"/>
    <w:rsid w:val="004622B9"/>
    <w:rsid w:val="004622E4"/>
    <w:rsid w:val="0046245E"/>
    <w:rsid w:val="00462521"/>
    <w:rsid w:val="004625BD"/>
    <w:rsid w:val="00462776"/>
    <w:rsid w:val="004627A5"/>
    <w:rsid w:val="00462852"/>
    <w:rsid w:val="004629D4"/>
    <w:rsid w:val="00462C52"/>
    <w:rsid w:val="00462CFD"/>
    <w:rsid w:val="00462D61"/>
    <w:rsid w:val="00462E54"/>
    <w:rsid w:val="00462EAF"/>
    <w:rsid w:val="004632A8"/>
    <w:rsid w:val="00463375"/>
    <w:rsid w:val="004635C7"/>
    <w:rsid w:val="00463811"/>
    <w:rsid w:val="00463E4A"/>
    <w:rsid w:val="00464051"/>
    <w:rsid w:val="0046414C"/>
    <w:rsid w:val="00464281"/>
    <w:rsid w:val="00464705"/>
    <w:rsid w:val="00464757"/>
    <w:rsid w:val="00464C15"/>
    <w:rsid w:val="00464C2D"/>
    <w:rsid w:val="00464D80"/>
    <w:rsid w:val="00464E8C"/>
    <w:rsid w:val="00465022"/>
    <w:rsid w:val="0046512D"/>
    <w:rsid w:val="004651E0"/>
    <w:rsid w:val="0046549E"/>
    <w:rsid w:val="00465565"/>
    <w:rsid w:val="00465621"/>
    <w:rsid w:val="0046594A"/>
    <w:rsid w:val="00465ADD"/>
    <w:rsid w:val="00465E60"/>
    <w:rsid w:val="00465EEC"/>
    <w:rsid w:val="00466113"/>
    <w:rsid w:val="00466446"/>
    <w:rsid w:val="0046659E"/>
    <w:rsid w:val="0046661C"/>
    <w:rsid w:val="004666AA"/>
    <w:rsid w:val="004666F4"/>
    <w:rsid w:val="00466766"/>
    <w:rsid w:val="0046688E"/>
    <w:rsid w:val="004668C6"/>
    <w:rsid w:val="00466A81"/>
    <w:rsid w:val="00466A98"/>
    <w:rsid w:val="00466B06"/>
    <w:rsid w:val="00466CE6"/>
    <w:rsid w:val="00466D10"/>
    <w:rsid w:val="00466E2C"/>
    <w:rsid w:val="00466F2E"/>
    <w:rsid w:val="00466F7C"/>
    <w:rsid w:val="00467147"/>
    <w:rsid w:val="0046724F"/>
    <w:rsid w:val="0046739B"/>
    <w:rsid w:val="0046749B"/>
    <w:rsid w:val="00467562"/>
    <w:rsid w:val="004675E7"/>
    <w:rsid w:val="004676EA"/>
    <w:rsid w:val="0046773B"/>
    <w:rsid w:val="004677CF"/>
    <w:rsid w:val="00467A54"/>
    <w:rsid w:val="00467A66"/>
    <w:rsid w:val="00467A83"/>
    <w:rsid w:val="00467E40"/>
    <w:rsid w:val="0047034A"/>
    <w:rsid w:val="00470384"/>
    <w:rsid w:val="004704A9"/>
    <w:rsid w:val="004707C2"/>
    <w:rsid w:val="004708AC"/>
    <w:rsid w:val="004708C6"/>
    <w:rsid w:val="00470AB0"/>
    <w:rsid w:val="00470D22"/>
    <w:rsid w:val="00470ED0"/>
    <w:rsid w:val="0047105E"/>
    <w:rsid w:val="004710CA"/>
    <w:rsid w:val="00471132"/>
    <w:rsid w:val="00471148"/>
    <w:rsid w:val="004713FA"/>
    <w:rsid w:val="0047172F"/>
    <w:rsid w:val="0047192A"/>
    <w:rsid w:val="00471993"/>
    <w:rsid w:val="00471B41"/>
    <w:rsid w:val="00471C03"/>
    <w:rsid w:val="00471DCB"/>
    <w:rsid w:val="00471E57"/>
    <w:rsid w:val="00471F00"/>
    <w:rsid w:val="00471F05"/>
    <w:rsid w:val="00471F8B"/>
    <w:rsid w:val="00472549"/>
    <w:rsid w:val="0047255B"/>
    <w:rsid w:val="0047276D"/>
    <w:rsid w:val="004728CC"/>
    <w:rsid w:val="00472C48"/>
    <w:rsid w:val="00472EC2"/>
    <w:rsid w:val="00472ECF"/>
    <w:rsid w:val="00472F8F"/>
    <w:rsid w:val="004730C4"/>
    <w:rsid w:val="00473125"/>
    <w:rsid w:val="0047325A"/>
    <w:rsid w:val="00473968"/>
    <w:rsid w:val="00473AF5"/>
    <w:rsid w:val="00473E17"/>
    <w:rsid w:val="0047410F"/>
    <w:rsid w:val="004741BA"/>
    <w:rsid w:val="00474205"/>
    <w:rsid w:val="0047420F"/>
    <w:rsid w:val="00474254"/>
    <w:rsid w:val="00474334"/>
    <w:rsid w:val="004744EF"/>
    <w:rsid w:val="00474831"/>
    <w:rsid w:val="00474844"/>
    <w:rsid w:val="00474865"/>
    <w:rsid w:val="0047493C"/>
    <w:rsid w:val="00474AFB"/>
    <w:rsid w:val="00474B9B"/>
    <w:rsid w:val="00474C88"/>
    <w:rsid w:val="00474DF7"/>
    <w:rsid w:val="00474E62"/>
    <w:rsid w:val="0047510B"/>
    <w:rsid w:val="004751C9"/>
    <w:rsid w:val="0047539C"/>
    <w:rsid w:val="0047555B"/>
    <w:rsid w:val="00475AC1"/>
    <w:rsid w:val="00475C37"/>
    <w:rsid w:val="00475E1E"/>
    <w:rsid w:val="00475E3A"/>
    <w:rsid w:val="00475F76"/>
    <w:rsid w:val="00476066"/>
    <w:rsid w:val="00476339"/>
    <w:rsid w:val="00476609"/>
    <w:rsid w:val="004766F9"/>
    <w:rsid w:val="00476888"/>
    <w:rsid w:val="00476BED"/>
    <w:rsid w:val="00476BF3"/>
    <w:rsid w:val="00476D76"/>
    <w:rsid w:val="00476DB5"/>
    <w:rsid w:val="00476E32"/>
    <w:rsid w:val="00476E8D"/>
    <w:rsid w:val="00476FB5"/>
    <w:rsid w:val="00476FDA"/>
    <w:rsid w:val="004770DB"/>
    <w:rsid w:val="004771A9"/>
    <w:rsid w:val="0047723A"/>
    <w:rsid w:val="00477296"/>
    <w:rsid w:val="00477346"/>
    <w:rsid w:val="00477504"/>
    <w:rsid w:val="004777A0"/>
    <w:rsid w:val="00477C57"/>
    <w:rsid w:val="00477F89"/>
    <w:rsid w:val="00480098"/>
    <w:rsid w:val="0048015D"/>
    <w:rsid w:val="0048019B"/>
    <w:rsid w:val="004801DC"/>
    <w:rsid w:val="004802B7"/>
    <w:rsid w:val="004803F3"/>
    <w:rsid w:val="00480465"/>
    <w:rsid w:val="0048060A"/>
    <w:rsid w:val="004806C6"/>
    <w:rsid w:val="00480869"/>
    <w:rsid w:val="004809D8"/>
    <w:rsid w:val="00480B2E"/>
    <w:rsid w:val="00481216"/>
    <w:rsid w:val="00481250"/>
    <w:rsid w:val="004812A8"/>
    <w:rsid w:val="00481407"/>
    <w:rsid w:val="00481576"/>
    <w:rsid w:val="00481638"/>
    <w:rsid w:val="0048165C"/>
    <w:rsid w:val="00481904"/>
    <w:rsid w:val="00481942"/>
    <w:rsid w:val="00481C09"/>
    <w:rsid w:val="00481CCF"/>
    <w:rsid w:val="00481DBB"/>
    <w:rsid w:val="00481F9D"/>
    <w:rsid w:val="00481FE2"/>
    <w:rsid w:val="0048229E"/>
    <w:rsid w:val="004822CD"/>
    <w:rsid w:val="004823C9"/>
    <w:rsid w:val="004824EA"/>
    <w:rsid w:val="00482687"/>
    <w:rsid w:val="00482715"/>
    <w:rsid w:val="00482815"/>
    <w:rsid w:val="00482879"/>
    <w:rsid w:val="004828A2"/>
    <w:rsid w:val="00482ADE"/>
    <w:rsid w:val="00482DA6"/>
    <w:rsid w:val="00482E75"/>
    <w:rsid w:val="00482ED9"/>
    <w:rsid w:val="00482FD3"/>
    <w:rsid w:val="004830D7"/>
    <w:rsid w:val="00483101"/>
    <w:rsid w:val="00483195"/>
    <w:rsid w:val="004835A7"/>
    <w:rsid w:val="0048370D"/>
    <w:rsid w:val="00483972"/>
    <w:rsid w:val="00483981"/>
    <w:rsid w:val="004839B0"/>
    <w:rsid w:val="00483BAF"/>
    <w:rsid w:val="00483DB6"/>
    <w:rsid w:val="00483E1C"/>
    <w:rsid w:val="00483E59"/>
    <w:rsid w:val="00483EAE"/>
    <w:rsid w:val="00483F4D"/>
    <w:rsid w:val="004840E8"/>
    <w:rsid w:val="0048411C"/>
    <w:rsid w:val="004841E5"/>
    <w:rsid w:val="0048425D"/>
    <w:rsid w:val="004842E6"/>
    <w:rsid w:val="00484487"/>
    <w:rsid w:val="004844BC"/>
    <w:rsid w:val="004845D9"/>
    <w:rsid w:val="00484681"/>
    <w:rsid w:val="004847BA"/>
    <w:rsid w:val="004847ED"/>
    <w:rsid w:val="00484A72"/>
    <w:rsid w:val="00484CE5"/>
    <w:rsid w:val="00484FE7"/>
    <w:rsid w:val="004850E1"/>
    <w:rsid w:val="00485178"/>
    <w:rsid w:val="0048526D"/>
    <w:rsid w:val="004852C6"/>
    <w:rsid w:val="004852F5"/>
    <w:rsid w:val="0048541A"/>
    <w:rsid w:val="004854E3"/>
    <w:rsid w:val="004856EF"/>
    <w:rsid w:val="00485804"/>
    <w:rsid w:val="00485BEA"/>
    <w:rsid w:val="00485CE4"/>
    <w:rsid w:val="00486548"/>
    <w:rsid w:val="00486553"/>
    <w:rsid w:val="004866BA"/>
    <w:rsid w:val="00486795"/>
    <w:rsid w:val="00486828"/>
    <w:rsid w:val="00486835"/>
    <w:rsid w:val="004868AC"/>
    <w:rsid w:val="00486B59"/>
    <w:rsid w:val="00486BD4"/>
    <w:rsid w:val="00486E01"/>
    <w:rsid w:val="00486E58"/>
    <w:rsid w:val="00486F22"/>
    <w:rsid w:val="00487056"/>
    <w:rsid w:val="004871A5"/>
    <w:rsid w:val="004871C7"/>
    <w:rsid w:val="00487225"/>
    <w:rsid w:val="00487566"/>
    <w:rsid w:val="00487600"/>
    <w:rsid w:val="00487746"/>
    <w:rsid w:val="00487C7E"/>
    <w:rsid w:val="00487D8E"/>
    <w:rsid w:val="00487E4A"/>
    <w:rsid w:val="00487FC5"/>
    <w:rsid w:val="0049012C"/>
    <w:rsid w:val="004902CF"/>
    <w:rsid w:val="00490365"/>
    <w:rsid w:val="0049040A"/>
    <w:rsid w:val="00490452"/>
    <w:rsid w:val="004905B3"/>
    <w:rsid w:val="00490783"/>
    <w:rsid w:val="00490C78"/>
    <w:rsid w:val="00490C86"/>
    <w:rsid w:val="00490EB5"/>
    <w:rsid w:val="00490F7F"/>
    <w:rsid w:val="00491103"/>
    <w:rsid w:val="00491140"/>
    <w:rsid w:val="004911D5"/>
    <w:rsid w:val="0049136F"/>
    <w:rsid w:val="00491439"/>
    <w:rsid w:val="00491463"/>
    <w:rsid w:val="0049153F"/>
    <w:rsid w:val="004915A4"/>
    <w:rsid w:val="004915BF"/>
    <w:rsid w:val="00491899"/>
    <w:rsid w:val="00491942"/>
    <w:rsid w:val="00491966"/>
    <w:rsid w:val="00491A4D"/>
    <w:rsid w:val="00491BDD"/>
    <w:rsid w:val="00491D9D"/>
    <w:rsid w:val="0049219C"/>
    <w:rsid w:val="00492635"/>
    <w:rsid w:val="004926CC"/>
    <w:rsid w:val="00492982"/>
    <w:rsid w:val="004929F0"/>
    <w:rsid w:val="00492A85"/>
    <w:rsid w:val="00492ADC"/>
    <w:rsid w:val="00492DD3"/>
    <w:rsid w:val="00492E40"/>
    <w:rsid w:val="00492E88"/>
    <w:rsid w:val="00492EA7"/>
    <w:rsid w:val="00492F52"/>
    <w:rsid w:val="00492F5D"/>
    <w:rsid w:val="00493079"/>
    <w:rsid w:val="004931AA"/>
    <w:rsid w:val="0049322D"/>
    <w:rsid w:val="004932C3"/>
    <w:rsid w:val="0049379F"/>
    <w:rsid w:val="0049394F"/>
    <w:rsid w:val="00493D9F"/>
    <w:rsid w:val="00493F2B"/>
    <w:rsid w:val="004945AD"/>
    <w:rsid w:val="0049469B"/>
    <w:rsid w:val="00494735"/>
    <w:rsid w:val="004948AB"/>
    <w:rsid w:val="004949CE"/>
    <w:rsid w:val="00494A31"/>
    <w:rsid w:val="00494B0F"/>
    <w:rsid w:val="00494B48"/>
    <w:rsid w:val="00494BCF"/>
    <w:rsid w:val="00494D6E"/>
    <w:rsid w:val="00494E57"/>
    <w:rsid w:val="00495169"/>
    <w:rsid w:val="0049516E"/>
    <w:rsid w:val="004952A2"/>
    <w:rsid w:val="004954B2"/>
    <w:rsid w:val="00495765"/>
    <w:rsid w:val="0049587A"/>
    <w:rsid w:val="00495937"/>
    <w:rsid w:val="0049596C"/>
    <w:rsid w:val="00495B25"/>
    <w:rsid w:val="00495B56"/>
    <w:rsid w:val="00495BEB"/>
    <w:rsid w:val="00495DDC"/>
    <w:rsid w:val="00495F80"/>
    <w:rsid w:val="004961D1"/>
    <w:rsid w:val="004962BC"/>
    <w:rsid w:val="0049651E"/>
    <w:rsid w:val="004965AB"/>
    <w:rsid w:val="004969A1"/>
    <w:rsid w:val="00496B90"/>
    <w:rsid w:val="00496BAB"/>
    <w:rsid w:val="00496BEC"/>
    <w:rsid w:val="00496EFD"/>
    <w:rsid w:val="00496F1C"/>
    <w:rsid w:val="0049711C"/>
    <w:rsid w:val="004973CE"/>
    <w:rsid w:val="004974C6"/>
    <w:rsid w:val="0049757B"/>
    <w:rsid w:val="004976C9"/>
    <w:rsid w:val="00497A0A"/>
    <w:rsid w:val="00497C3C"/>
    <w:rsid w:val="00497C99"/>
    <w:rsid w:val="00497C9D"/>
    <w:rsid w:val="00497CAE"/>
    <w:rsid w:val="00497DD2"/>
    <w:rsid w:val="004A005E"/>
    <w:rsid w:val="004A03AC"/>
    <w:rsid w:val="004A04C9"/>
    <w:rsid w:val="004A054E"/>
    <w:rsid w:val="004A0554"/>
    <w:rsid w:val="004A05AA"/>
    <w:rsid w:val="004A05FF"/>
    <w:rsid w:val="004A088A"/>
    <w:rsid w:val="004A09EC"/>
    <w:rsid w:val="004A0A90"/>
    <w:rsid w:val="004A0BF3"/>
    <w:rsid w:val="004A0D7F"/>
    <w:rsid w:val="004A0E7F"/>
    <w:rsid w:val="004A0E99"/>
    <w:rsid w:val="004A121F"/>
    <w:rsid w:val="004A124E"/>
    <w:rsid w:val="004A1363"/>
    <w:rsid w:val="004A17A8"/>
    <w:rsid w:val="004A17E4"/>
    <w:rsid w:val="004A1A6B"/>
    <w:rsid w:val="004A1C15"/>
    <w:rsid w:val="004A1FD0"/>
    <w:rsid w:val="004A2051"/>
    <w:rsid w:val="004A243F"/>
    <w:rsid w:val="004A269C"/>
    <w:rsid w:val="004A26D7"/>
    <w:rsid w:val="004A2D31"/>
    <w:rsid w:val="004A2D49"/>
    <w:rsid w:val="004A2F55"/>
    <w:rsid w:val="004A3047"/>
    <w:rsid w:val="004A30DD"/>
    <w:rsid w:val="004A3203"/>
    <w:rsid w:val="004A34B0"/>
    <w:rsid w:val="004A372F"/>
    <w:rsid w:val="004A3951"/>
    <w:rsid w:val="004A3D30"/>
    <w:rsid w:val="004A3E1F"/>
    <w:rsid w:val="004A40A9"/>
    <w:rsid w:val="004A4417"/>
    <w:rsid w:val="004A4422"/>
    <w:rsid w:val="004A451F"/>
    <w:rsid w:val="004A46A4"/>
    <w:rsid w:val="004A4A23"/>
    <w:rsid w:val="004A4BA6"/>
    <w:rsid w:val="004A504B"/>
    <w:rsid w:val="004A5067"/>
    <w:rsid w:val="004A51E6"/>
    <w:rsid w:val="004A522E"/>
    <w:rsid w:val="004A58B7"/>
    <w:rsid w:val="004A58E2"/>
    <w:rsid w:val="004A5A5D"/>
    <w:rsid w:val="004A5A8A"/>
    <w:rsid w:val="004A5ADE"/>
    <w:rsid w:val="004A5FA6"/>
    <w:rsid w:val="004A5FFC"/>
    <w:rsid w:val="004A607E"/>
    <w:rsid w:val="004A6083"/>
    <w:rsid w:val="004A6165"/>
    <w:rsid w:val="004A635B"/>
    <w:rsid w:val="004A6437"/>
    <w:rsid w:val="004A6946"/>
    <w:rsid w:val="004A6953"/>
    <w:rsid w:val="004A6999"/>
    <w:rsid w:val="004A6A62"/>
    <w:rsid w:val="004A6AE5"/>
    <w:rsid w:val="004A6B25"/>
    <w:rsid w:val="004A6DFF"/>
    <w:rsid w:val="004A6E52"/>
    <w:rsid w:val="004A6FB0"/>
    <w:rsid w:val="004A70C5"/>
    <w:rsid w:val="004A7149"/>
    <w:rsid w:val="004A7156"/>
    <w:rsid w:val="004A71FD"/>
    <w:rsid w:val="004A747C"/>
    <w:rsid w:val="004A77C7"/>
    <w:rsid w:val="004A79E3"/>
    <w:rsid w:val="004A7A9B"/>
    <w:rsid w:val="004A7BCB"/>
    <w:rsid w:val="004A7E15"/>
    <w:rsid w:val="004A7F5A"/>
    <w:rsid w:val="004A7FDE"/>
    <w:rsid w:val="004B0099"/>
    <w:rsid w:val="004B0233"/>
    <w:rsid w:val="004B0407"/>
    <w:rsid w:val="004B0516"/>
    <w:rsid w:val="004B0631"/>
    <w:rsid w:val="004B07FA"/>
    <w:rsid w:val="004B080E"/>
    <w:rsid w:val="004B092F"/>
    <w:rsid w:val="004B09C5"/>
    <w:rsid w:val="004B0A23"/>
    <w:rsid w:val="004B0AC5"/>
    <w:rsid w:val="004B0B7F"/>
    <w:rsid w:val="004B0C72"/>
    <w:rsid w:val="004B0C89"/>
    <w:rsid w:val="004B0DBE"/>
    <w:rsid w:val="004B0EBB"/>
    <w:rsid w:val="004B122F"/>
    <w:rsid w:val="004B12FE"/>
    <w:rsid w:val="004B14BC"/>
    <w:rsid w:val="004B15E3"/>
    <w:rsid w:val="004B16B9"/>
    <w:rsid w:val="004B190F"/>
    <w:rsid w:val="004B19F6"/>
    <w:rsid w:val="004B1E58"/>
    <w:rsid w:val="004B1EA1"/>
    <w:rsid w:val="004B1F1B"/>
    <w:rsid w:val="004B20C0"/>
    <w:rsid w:val="004B2545"/>
    <w:rsid w:val="004B279B"/>
    <w:rsid w:val="004B2814"/>
    <w:rsid w:val="004B282A"/>
    <w:rsid w:val="004B29B2"/>
    <w:rsid w:val="004B29C4"/>
    <w:rsid w:val="004B29F9"/>
    <w:rsid w:val="004B2A2A"/>
    <w:rsid w:val="004B2A73"/>
    <w:rsid w:val="004B2AD1"/>
    <w:rsid w:val="004B2C1F"/>
    <w:rsid w:val="004B2EFA"/>
    <w:rsid w:val="004B32C2"/>
    <w:rsid w:val="004B33C9"/>
    <w:rsid w:val="004B34A3"/>
    <w:rsid w:val="004B3854"/>
    <w:rsid w:val="004B3948"/>
    <w:rsid w:val="004B3A50"/>
    <w:rsid w:val="004B3A7F"/>
    <w:rsid w:val="004B3B95"/>
    <w:rsid w:val="004B3DB2"/>
    <w:rsid w:val="004B3F09"/>
    <w:rsid w:val="004B3F64"/>
    <w:rsid w:val="004B3F9E"/>
    <w:rsid w:val="004B3FE6"/>
    <w:rsid w:val="004B4284"/>
    <w:rsid w:val="004B43C5"/>
    <w:rsid w:val="004B440D"/>
    <w:rsid w:val="004B442B"/>
    <w:rsid w:val="004B4652"/>
    <w:rsid w:val="004B4CFD"/>
    <w:rsid w:val="004B4DBF"/>
    <w:rsid w:val="004B4DF0"/>
    <w:rsid w:val="004B4DFF"/>
    <w:rsid w:val="004B4E43"/>
    <w:rsid w:val="004B549C"/>
    <w:rsid w:val="004B5514"/>
    <w:rsid w:val="004B5591"/>
    <w:rsid w:val="004B5682"/>
    <w:rsid w:val="004B57F4"/>
    <w:rsid w:val="004B5A9F"/>
    <w:rsid w:val="004B5D67"/>
    <w:rsid w:val="004B5E69"/>
    <w:rsid w:val="004B5EB9"/>
    <w:rsid w:val="004B5F3B"/>
    <w:rsid w:val="004B6172"/>
    <w:rsid w:val="004B6297"/>
    <w:rsid w:val="004B665A"/>
    <w:rsid w:val="004B66E3"/>
    <w:rsid w:val="004B6860"/>
    <w:rsid w:val="004B6883"/>
    <w:rsid w:val="004B69AD"/>
    <w:rsid w:val="004B6A4D"/>
    <w:rsid w:val="004B6BCF"/>
    <w:rsid w:val="004B6EA8"/>
    <w:rsid w:val="004B6EB1"/>
    <w:rsid w:val="004B700E"/>
    <w:rsid w:val="004B7169"/>
    <w:rsid w:val="004B7258"/>
    <w:rsid w:val="004B7331"/>
    <w:rsid w:val="004B736F"/>
    <w:rsid w:val="004B746D"/>
    <w:rsid w:val="004B74AA"/>
    <w:rsid w:val="004B788E"/>
    <w:rsid w:val="004B78A1"/>
    <w:rsid w:val="004B7974"/>
    <w:rsid w:val="004B7A25"/>
    <w:rsid w:val="004B7D21"/>
    <w:rsid w:val="004B7D53"/>
    <w:rsid w:val="004B7DB2"/>
    <w:rsid w:val="004B7E6A"/>
    <w:rsid w:val="004C0045"/>
    <w:rsid w:val="004C0579"/>
    <w:rsid w:val="004C05D2"/>
    <w:rsid w:val="004C088A"/>
    <w:rsid w:val="004C0A21"/>
    <w:rsid w:val="004C0AF1"/>
    <w:rsid w:val="004C0E45"/>
    <w:rsid w:val="004C0EF9"/>
    <w:rsid w:val="004C0FAD"/>
    <w:rsid w:val="004C10ED"/>
    <w:rsid w:val="004C12B5"/>
    <w:rsid w:val="004C1366"/>
    <w:rsid w:val="004C1405"/>
    <w:rsid w:val="004C1412"/>
    <w:rsid w:val="004C14D5"/>
    <w:rsid w:val="004C1651"/>
    <w:rsid w:val="004C1736"/>
    <w:rsid w:val="004C1863"/>
    <w:rsid w:val="004C1C64"/>
    <w:rsid w:val="004C1C97"/>
    <w:rsid w:val="004C1DF7"/>
    <w:rsid w:val="004C1FF8"/>
    <w:rsid w:val="004C22E8"/>
    <w:rsid w:val="004C238C"/>
    <w:rsid w:val="004C2441"/>
    <w:rsid w:val="004C28D8"/>
    <w:rsid w:val="004C2955"/>
    <w:rsid w:val="004C2986"/>
    <w:rsid w:val="004C2AE2"/>
    <w:rsid w:val="004C2C81"/>
    <w:rsid w:val="004C2D07"/>
    <w:rsid w:val="004C2EBF"/>
    <w:rsid w:val="004C31C4"/>
    <w:rsid w:val="004C32D9"/>
    <w:rsid w:val="004C33D6"/>
    <w:rsid w:val="004C33F1"/>
    <w:rsid w:val="004C38B3"/>
    <w:rsid w:val="004C3911"/>
    <w:rsid w:val="004C3A27"/>
    <w:rsid w:val="004C3B23"/>
    <w:rsid w:val="004C3B7F"/>
    <w:rsid w:val="004C3F64"/>
    <w:rsid w:val="004C4101"/>
    <w:rsid w:val="004C411C"/>
    <w:rsid w:val="004C4443"/>
    <w:rsid w:val="004C459D"/>
    <w:rsid w:val="004C459F"/>
    <w:rsid w:val="004C470A"/>
    <w:rsid w:val="004C473C"/>
    <w:rsid w:val="004C47BB"/>
    <w:rsid w:val="004C47FC"/>
    <w:rsid w:val="004C495F"/>
    <w:rsid w:val="004C4B24"/>
    <w:rsid w:val="004C4CCD"/>
    <w:rsid w:val="004C4DB2"/>
    <w:rsid w:val="004C4FAA"/>
    <w:rsid w:val="004C50B7"/>
    <w:rsid w:val="004C514A"/>
    <w:rsid w:val="004C51B3"/>
    <w:rsid w:val="004C5333"/>
    <w:rsid w:val="004C5848"/>
    <w:rsid w:val="004C5962"/>
    <w:rsid w:val="004C59AC"/>
    <w:rsid w:val="004C59F2"/>
    <w:rsid w:val="004C5A1A"/>
    <w:rsid w:val="004C5AAC"/>
    <w:rsid w:val="004C5B2A"/>
    <w:rsid w:val="004C5D2E"/>
    <w:rsid w:val="004C5D47"/>
    <w:rsid w:val="004C6186"/>
    <w:rsid w:val="004C61A3"/>
    <w:rsid w:val="004C631B"/>
    <w:rsid w:val="004C64B7"/>
    <w:rsid w:val="004C6580"/>
    <w:rsid w:val="004C6662"/>
    <w:rsid w:val="004C6737"/>
    <w:rsid w:val="004C67C8"/>
    <w:rsid w:val="004C6B8F"/>
    <w:rsid w:val="004C6ED4"/>
    <w:rsid w:val="004C6EE8"/>
    <w:rsid w:val="004C6FA5"/>
    <w:rsid w:val="004C72AE"/>
    <w:rsid w:val="004C72E5"/>
    <w:rsid w:val="004C732C"/>
    <w:rsid w:val="004C75B7"/>
    <w:rsid w:val="004C7AE9"/>
    <w:rsid w:val="004D0031"/>
    <w:rsid w:val="004D0069"/>
    <w:rsid w:val="004D0331"/>
    <w:rsid w:val="004D036D"/>
    <w:rsid w:val="004D0796"/>
    <w:rsid w:val="004D0860"/>
    <w:rsid w:val="004D086C"/>
    <w:rsid w:val="004D0871"/>
    <w:rsid w:val="004D08A2"/>
    <w:rsid w:val="004D0A9C"/>
    <w:rsid w:val="004D0C11"/>
    <w:rsid w:val="004D0EF2"/>
    <w:rsid w:val="004D10C4"/>
    <w:rsid w:val="004D113F"/>
    <w:rsid w:val="004D13BA"/>
    <w:rsid w:val="004D13FE"/>
    <w:rsid w:val="004D144E"/>
    <w:rsid w:val="004D1620"/>
    <w:rsid w:val="004D17B4"/>
    <w:rsid w:val="004D17DE"/>
    <w:rsid w:val="004D1881"/>
    <w:rsid w:val="004D18C0"/>
    <w:rsid w:val="004D1A0D"/>
    <w:rsid w:val="004D1A86"/>
    <w:rsid w:val="004D1AC0"/>
    <w:rsid w:val="004D1AD2"/>
    <w:rsid w:val="004D1CA0"/>
    <w:rsid w:val="004D1D03"/>
    <w:rsid w:val="004D208E"/>
    <w:rsid w:val="004D21D3"/>
    <w:rsid w:val="004D2223"/>
    <w:rsid w:val="004D23B3"/>
    <w:rsid w:val="004D23BA"/>
    <w:rsid w:val="004D262B"/>
    <w:rsid w:val="004D27C0"/>
    <w:rsid w:val="004D27D6"/>
    <w:rsid w:val="004D28D8"/>
    <w:rsid w:val="004D294D"/>
    <w:rsid w:val="004D295B"/>
    <w:rsid w:val="004D2B23"/>
    <w:rsid w:val="004D2B2C"/>
    <w:rsid w:val="004D2C40"/>
    <w:rsid w:val="004D2CA2"/>
    <w:rsid w:val="004D2DE8"/>
    <w:rsid w:val="004D2DE9"/>
    <w:rsid w:val="004D2E75"/>
    <w:rsid w:val="004D30E4"/>
    <w:rsid w:val="004D312E"/>
    <w:rsid w:val="004D337F"/>
    <w:rsid w:val="004D33AB"/>
    <w:rsid w:val="004D346D"/>
    <w:rsid w:val="004D36A0"/>
    <w:rsid w:val="004D36CF"/>
    <w:rsid w:val="004D3929"/>
    <w:rsid w:val="004D396A"/>
    <w:rsid w:val="004D3A98"/>
    <w:rsid w:val="004D3CAE"/>
    <w:rsid w:val="004D3F71"/>
    <w:rsid w:val="004D3F96"/>
    <w:rsid w:val="004D42BE"/>
    <w:rsid w:val="004D43A7"/>
    <w:rsid w:val="004D4483"/>
    <w:rsid w:val="004D4685"/>
    <w:rsid w:val="004D47C6"/>
    <w:rsid w:val="004D481D"/>
    <w:rsid w:val="004D482C"/>
    <w:rsid w:val="004D4A11"/>
    <w:rsid w:val="004D4C91"/>
    <w:rsid w:val="004D4D3C"/>
    <w:rsid w:val="004D4E6D"/>
    <w:rsid w:val="004D4E9F"/>
    <w:rsid w:val="004D5019"/>
    <w:rsid w:val="004D5071"/>
    <w:rsid w:val="004D507C"/>
    <w:rsid w:val="004D5304"/>
    <w:rsid w:val="004D5455"/>
    <w:rsid w:val="004D54DB"/>
    <w:rsid w:val="004D568E"/>
    <w:rsid w:val="004D5786"/>
    <w:rsid w:val="004D5859"/>
    <w:rsid w:val="004D5887"/>
    <w:rsid w:val="004D59BA"/>
    <w:rsid w:val="004D5AAD"/>
    <w:rsid w:val="004D5B7A"/>
    <w:rsid w:val="004D5BD4"/>
    <w:rsid w:val="004D5C1A"/>
    <w:rsid w:val="004D5C23"/>
    <w:rsid w:val="004D5C89"/>
    <w:rsid w:val="004D5CA7"/>
    <w:rsid w:val="004D5D06"/>
    <w:rsid w:val="004D5D7E"/>
    <w:rsid w:val="004D5DE2"/>
    <w:rsid w:val="004D5F44"/>
    <w:rsid w:val="004D5FB6"/>
    <w:rsid w:val="004D6016"/>
    <w:rsid w:val="004D60EB"/>
    <w:rsid w:val="004D6182"/>
    <w:rsid w:val="004D618D"/>
    <w:rsid w:val="004D66B6"/>
    <w:rsid w:val="004D6A55"/>
    <w:rsid w:val="004D6AD7"/>
    <w:rsid w:val="004D6B67"/>
    <w:rsid w:val="004D6DC0"/>
    <w:rsid w:val="004D6E88"/>
    <w:rsid w:val="004D6EB9"/>
    <w:rsid w:val="004D70A7"/>
    <w:rsid w:val="004D7118"/>
    <w:rsid w:val="004D727C"/>
    <w:rsid w:val="004D7B15"/>
    <w:rsid w:val="004D7C5E"/>
    <w:rsid w:val="004D7F74"/>
    <w:rsid w:val="004E0225"/>
    <w:rsid w:val="004E046A"/>
    <w:rsid w:val="004E0533"/>
    <w:rsid w:val="004E0539"/>
    <w:rsid w:val="004E05FA"/>
    <w:rsid w:val="004E073D"/>
    <w:rsid w:val="004E08F8"/>
    <w:rsid w:val="004E0B15"/>
    <w:rsid w:val="004E0BA7"/>
    <w:rsid w:val="004E1152"/>
    <w:rsid w:val="004E14EE"/>
    <w:rsid w:val="004E1564"/>
    <w:rsid w:val="004E167E"/>
    <w:rsid w:val="004E16A3"/>
    <w:rsid w:val="004E17DF"/>
    <w:rsid w:val="004E1933"/>
    <w:rsid w:val="004E1D4E"/>
    <w:rsid w:val="004E1FAD"/>
    <w:rsid w:val="004E2119"/>
    <w:rsid w:val="004E2125"/>
    <w:rsid w:val="004E2164"/>
    <w:rsid w:val="004E224B"/>
    <w:rsid w:val="004E241C"/>
    <w:rsid w:val="004E267F"/>
    <w:rsid w:val="004E2720"/>
    <w:rsid w:val="004E2C4D"/>
    <w:rsid w:val="004E2C59"/>
    <w:rsid w:val="004E2FED"/>
    <w:rsid w:val="004E325E"/>
    <w:rsid w:val="004E3562"/>
    <w:rsid w:val="004E3893"/>
    <w:rsid w:val="004E3A71"/>
    <w:rsid w:val="004E3D3F"/>
    <w:rsid w:val="004E3D87"/>
    <w:rsid w:val="004E3F79"/>
    <w:rsid w:val="004E4038"/>
    <w:rsid w:val="004E4346"/>
    <w:rsid w:val="004E4434"/>
    <w:rsid w:val="004E44BC"/>
    <w:rsid w:val="004E455A"/>
    <w:rsid w:val="004E4774"/>
    <w:rsid w:val="004E4A06"/>
    <w:rsid w:val="004E4E73"/>
    <w:rsid w:val="004E4EA9"/>
    <w:rsid w:val="004E4F89"/>
    <w:rsid w:val="004E4F95"/>
    <w:rsid w:val="004E50F5"/>
    <w:rsid w:val="004E533C"/>
    <w:rsid w:val="004E57F0"/>
    <w:rsid w:val="004E58B8"/>
    <w:rsid w:val="004E59C2"/>
    <w:rsid w:val="004E5C7D"/>
    <w:rsid w:val="004E5DBA"/>
    <w:rsid w:val="004E5E2E"/>
    <w:rsid w:val="004E5FAB"/>
    <w:rsid w:val="004E6354"/>
    <w:rsid w:val="004E6523"/>
    <w:rsid w:val="004E670B"/>
    <w:rsid w:val="004E6CFE"/>
    <w:rsid w:val="004E6DD5"/>
    <w:rsid w:val="004E6F87"/>
    <w:rsid w:val="004E7037"/>
    <w:rsid w:val="004E7220"/>
    <w:rsid w:val="004E766C"/>
    <w:rsid w:val="004E7697"/>
    <w:rsid w:val="004E76CC"/>
    <w:rsid w:val="004E788E"/>
    <w:rsid w:val="004E793A"/>
    <w:rsid w:val="004E7A80"/>
    <w:rsid w:val="004E7AC9"/>
    <w:rsid w:val="004E7DDC"/>
    <w:rsid w:val="004F003B"/>
    <w:rsid w:val="004F00B7"/>
    <w:rsid w:val="004F0206"/>
    <w:rsid w:val="004F0484"/>
    <w:rsid w:val="004F04B2"/>
    <w:rsid w:val="004F04EC"/>
    <w:rsid w:val="004F06B5"/>
    <w:rsid w:val="004F06CF"/>
    <w:rsid w:val="004F0AAE"/>
    <w:rsid w:val="004F0AC5"/>
    <w:rsid w:val="004F0C2F"/>
    <w:rsid w:val="004F0F70"/>
    <w:rsid w:val="004F10F8"/>
    <w:rsid w:val="004F1145"/>
    <w:rsid w:val="004F118E"/>
    <w:rsid w:val="004F11B1"/>
    <w:rsid w:val="004F122C"/>
    <w:rsid w:val="004F14B0"/>
    <w:rsid w:val="004F1632"/>
    <w:rsid w:val="004F16F3"/>
    <w:rsid w:val="004F1740"/>
    <w:rsid w:val="004F1AF8"/>
    <w:rsid w:val="004F1C4A"/>
    <w:rsid w:val="004F1C94"/>
    <w:rsid w:val="004F1CDD"/>
    <w:rsid w:val="004F245C"/>
    <w:rsid w:val="004F2467"/>
    <w:rsid w:val="004F2472"/>
    <w:rsid w:val="004F2568"/>
    <w:rsid w:val="004F26E8"/>
    <w:rsid w:val="004F27D1"/>
    <w:rsid w:val="004F27F6"/>
    <w:rsid w:val="004F2847"/>
    <w:rsid w:val="004F297A"/>
    <w:rsid w:val="004F2A77"/>
    <w:rsid w:val="004F2F35"/>
    <w:rsid w:val="004F2F42"/>
    <w:rsid w:val="004F30AF"/>
    <w:rsid w:val="004F329C"/>
    <w:rsid w:val="004F32EC"/>
    <w:rsid w:val="004F3468"/>
    <w:rsid w:val="004F34ED"/>
    <w:rsid w:val="004F3681"/>
    <w:rsid w:val="004F36A2"/>
    <w:rsid w:val="004F3D14"/>
    <w:rsid w:val="004F3E15"/>
    <w:rsid w:val="004F3FA6"/>
    <w:rsid w:val="004F411C"/>
    <w:rsid w:val="004F44B9"/>
    <w:rsid w:val="004F45D5"/>
    <w:rsid w:val="004F4926"/>
    <w:rsid w:val="004F4928"/>
    <w:rsid w:val="004F498F"/>
    <w:rsid w:val="004F4B9E"/>
    <w:rsid w:val="004F4BCD"/>
    <w:rsid w:val="004F50E5"/>
    <w:rsid w:val="004F51F7"/>
    <w:rsid w:val="004F5220"/>
    <w:rsid w:val="004F5262"/>
    <w:rsid w:val="004F52A1"/>
    <w:rsid w:val="004F53B4"/>
    <w:rsid w:val="004F5410"/>
    <w:rsid w:val="004F558E"/>
    <w:rsid w:val="004F5596"/>
    <w:rsid w:val="004F55FA"/>
    <w:rsid w:val="004F5725"/>
    <w:rsid w:val="004F5817"/>
    <w:rsid w:val="004F5931"/>
    <w:rsid w:val="004F5F9D"/>
    <w:rsid w:val="004F6083"/>
    <w:rsid w:val="004F60A5"/>
    <w:rsid w:val="004F620B"/>
    <w:rsid w:val="004F6604"/>
    <w:rsid w:val="004F6784"/>
    <w:rsid w:val="004F6856"/>
    <w:rsid w:val="004F6B66"/>
    <w:rsid w:val="004F6C51"/>
    <w:rsid w:val="004F6C90"/>
    <w:rsid w:val="004F6E50"/>
    <w:rsid w:val="004F7088"/>
    <w:rsid w:val="004F70EE"/>
    <w:rsid w:val="004F7146"/>
    <w:rsid w:val="004F7417"/>
    <w:rsid w:val="004F7476"/>
    <w:rsid w:val="004F752F"/>
    <w:rsid w:val="004F77ED"/>
    <w:rsid w:val="004F781E"/>
    <w:rsid w:val="004F7B1A"/>
    <w:rsid w:val="004F7E48"/>
    <w:rsid w:val="004F7FE5"/>
    <w:rsid w:val="004F7FE8"/>
    <w:rsid w:val="005000F6"/>
    <w:rsid w:val="00500164"/>
    <w:rsid w:val="00500340"/>
    <w:rsid w:val="00500420"/>
    <w:rsid w:val="00500700"/>
    <w:rsid w:val="0050079B"/>
    <w:rsid w:val="005007AC"/>
    <w:rsid w:val="0050081E"/>
    <w:rsid w:val="005008AB"/>
    <w:rsid w:val="0050094A"/>
    <w:rsid w:val="005009A9"/>
    <w:rsid w:val="00500C32"/>
    <w:rsid w:val="00500E83"/>
    <w:rsid w:val="00500F36"/>
    <w:rsid w:val="00501110"/>
    <w:rsid w:val="0050112A"/>
    <w:rsid w:val="005014FA"/>
    <w:rsid w:val="0050153D"/>
    <w:rsid w:val="00501541"/>
    <w:rsid w:val="005016DC"/>
    <w:rsid w:val="00501867"/>
    <w:rsid w:val="00501910"/>
    <w:rsid w:val="0050192B"/>
    <w:rsid w:val="00501941"/>
    <w:rsid w:val="00501C0B"/>
    <w:rsid w:val="00501D67"/>
    <w:rsid w:val="00502058"/>
    <w:rsid w:val="00502140"/>
    <w:rsid w:val="005027C0"/>
    <w:rsid w:val="00502880"/>
    <w:rsid w:val="005028CF"/>
    <w:rsid w:val="00502C41"/>
    <w:rsid w:val="00502ECE"/>
    <w:rsid w:val="0050314E"/>
    <w:rsid w:val="0050316E"/>
    <w:rsid w:val="00503221"/>
    <w:rsid w:val="005033A5"/>
    <w:rsid w:val="005034A7"/>
    <w:rsid w:val="005037D1"/>
    <w:rsid w:val="00503A05"/>
    <w:rsid w:val="00503BA3"/>
    <w:rsid w:val="00503C14"/>
    <w:rsid w:val="00503C3F"/>
    <w:rsid w:val="00503D30"/>
    <w:rsid w:val="00503D8B"/>
    <w:rsid w:val="00503E98"/>
    <w:rsid w:val="0050408A"/>
    <w:rsid w:val="005040EE"/>
    <w:rsid w:val="005041A2"/>
    <w:rsid w:val="00504415"/>
    <w:rsid w:val="0050446D"/>
    <w:rsid w:val="005044A9"/>
    <w:rsid w:val="005047B6"/>
    <w:rsid w:val="0050480B"/>
    <w:rsid w:val="00504929"/>
    <w:rsid w:val="0050498B"/>
    <w:rsid w:val="00504A1F"/>
    <w:rsid w:val="00504A27"/>
    <w:rsid w:val="00504AD0"/>
    <w:rsid w:val="00504BC3"/>
    <w:rsid w:val="00504C03"/>
    <w:rsid w:val="00504C9E"/>
    <w:rsid w:val="00504CFF"/>
    <w:rsid w:val="00504D59"/>
    <w:rsid w:val="00504F3B"/>
    <w:rsid w:val="00504F85"/>
    <w:rsid w:val="00505028"/>
    <w:rsid w:val="0050512C"/>
    <w:rsid w:val="00505288"/>
    <w:rsid w:val="00505358"/>
    <w:rsid w:val="005053E3"/>
    <w:rsid w:val="0050543B"/>
    <w:rsid w:val="005055A4"/>
    <w:rsid w:val="00505606"/>
    <w:rsid w:val="00505746"/>
    <w:rsid w:val="005057ED"/>
    <w:rsid w:val="005058C9"/>
    <w:rsid w:val="005058CB"/>
    <w:rsid w:val="00505901"/>
    <w:rsid w:val="00505ACA"/>
    <w:rsid w:val="00505ACD"/>
    <w:rsid w:val="00505B74"/>
    <w:rsid w:val="00505C26"/>
    <w:rsid w:val="00505D75"/>
    <w:rsid w:val="00505E9A"/>
    <w:rsid w:val="005060A0"/>
    <w:rsid w:val="00506169"/>
    <w:rsid w:val="005061A4"/>
    <w:rsid w:val="0050623F"/>
    <w:rsid w:val="0050624B"/>
    <w:rsid w:val="005063B7"/>
    <w:rsid w:val="00506442"/>
    <w:rsid w:val="00506555"/>
    <w:rsid w:val="00506778"/>
    <w:rsid w:val="005068D1"/>
    <w:rsid w:val="00506ADF"/>
    <w:rsid w:val="00506B48"/>
    <w:rsid w:val="00506C5B"/>
    <w:rsid w:val="00506E3B"/>
    <w:rsid w:val="00506E6A"/>
    <w:rsid w:val="00506F31"/>
    <w:rsid w:val="00507028"/>
    <w:rsid w:val="005070EF"/>
    <w:rsid w:val="0050730C"/>
    <w:rsid w:val="0050748C"/>
    <w:rsid w:val="005075F1"/>
    <w:rsid w:val="00507625"/>
    <w:rsid w:val="005077FC"/>
    <w:rsid w:val="0050785E"/>
    <w:rsid w:val="00507955"/>
    <w:rsid w:val="00507BED"/>
    <w:rsid w:val="00507BEE"/>
    <w:rsid w:val="00507C5B"/>
    <w:rsid w:val="00507E65"/>
    <w:rsid w:val="00507F78"/>
    <w:rsid w:val="00507F8F"/>
    <w:rsid w:val="005101F6"/>
    <w:rsid w:val="005102C1"/>
    <w:rsid w:val="005108C7"/>
    <w:rsid w:val="005108D1"/>
    <w:rsid w:val="00510AC8"/>
    <w:rsid w:val="00510B94"/>
    <w:rsid w:val="00510CF4"/>
    <w:rsid w:val="00510D68"/>
    <w:rsid w:val="00510D93"/>
    <w:rsid w:val="00510E5C"/>
    <w:rsid w:val="00511075"/>
    <w:rsid w:val="0051134A"/>
    <w:rsid w:val="00511458"/>
    <w:rsid w:val="00511581"/>
    <w:rsid w:val="0051162F"/>
    <w:rsid w:val="005117AA"/>
    <w:rsid w:val="00511896"/>
    <w:rsid w:val="0051196A"/>
    <w:rsid w:val="005119A6"/>
    <w:rsid w:val="005119EF"/>
    <w:rsid w:val="00511A5B"/>
    <w:rsid w:val="00511C3B"/>
    <w:rsid w:val="00511C4E"/>
    <w:rsid w:val="00511CD6"/>
    <w:rsid w:val="00511D1E"/>
    <w:rsid w:val="00511D8F"/>
    <w:rsid w:val="00511F3D"/>
    <w:rsid w:val="00511F93"/>
    <w:rsid w:val="00511FCB"/>
    <w:rsid w:val="0051208F"/>
    <w:rsid w:val="00512317"/>
    <w:rsid w:val="005124FD"/>
    <w:rsid w:val="0051283E"/>
    <w:rsid w:val="00512921"/>
    <w:rsid w:val="00512961"/>
    <w:rsid w:val="00512A81"/>
    <w:rsid w:val="00512BEF"/>
    <w:rsid w:val="00512D02"/>
    <w:rsid w:val="00512E6B"/>
    <w:rsid w:val="00512F35"/>
    <w:rsid w:val="00512FFA"/>
    <w:rsid w:val="00513015"/>
    <w:rsid w:val="005130CA"/>
    <w:rsid w:val="005131A8"/>
    <w:rsid w:val="005132BD"/>
    <w:rsid w:val="00513324"/>
    <w:rsid w:val="005133BE"/>
    <w:rsid w:val="00513422"/>
    <w:rsid w:val="00513620"/>
    <w:rsid w:val="00513660"/>
    <w:rsid w:val="00513666"/>
    <w:rsid w:val="00513763"/>
    <w:rsid w:val="0051380E"/>
    <w:rsid w:val="005138C9"/>
    <w:rsid w:val="0051395F"/>
    <w:rsid w:val="0051399A"/>
    <w:rsid w:val="005139F5"/>
    <w:rsid w:val="00513B7C"/>
    <w:rsid w:val="00513CB7"/>
    <w:rsid w:val="005140B8"/>
    <w:rsid w:val="005140FC"/>
    <w:rsid w:val="0051416F"/>
    <w:rsid w:val="0051421B"/>
    <w:rsid w:val="005143BE"/>
    <w:rsid w:val="00514483"/>
    <w:rsid w:val="00514518"/>
    <w:rsid w:val="0051479D"/>
    <w:rsid w:val="005148B7"/>
    <w:rsid w:val="00514958"/>
    <w:rsid w:val="00514967"/>
    <w:rsid w:val="005149F7"/>
    <w:rsid w:val="00514AFB"/>
    <w:rsid w:val="00514B37"/>
    <w:rsid w:val="00514D7A"/>
    <w:rsid w:val="00514D93"/>
    <w:rsid w:val="00514DED"/>
    <w:rsid w:val="00514FB0"/>
    <w:rsid w:val="00515080"/>
    <w:rsid w:val="00515376"/>
    <w:rsid w:val="00515443"/>
    <w:rsid w:val="00515456"/>
    <w:rsid w:val="00515504"/>
    <w:rsid w:val="005156C4"/>
    <w:rsid w:val="005156FB"/>
    <w:rsid w:val="00515EC0"/>
    <w:rsid w:val="005160D9"/>
    <w:rsid w:val="00516210"/>
    <w:rsid w:val="0051634C"/>
    <w:rsid w:val="005163E9"/>
    <w:rsid w:val="00516670"/>
    <w:rsid w:val="005166F9"/>
    <w:rsid w:val="00516CD1"/>
    <w:rsid w:val="00516E04"/>
    <w:rsid w:val="00516F96"/>
    <w:rsid w:val="005171A1"/>
    <w:rsid w:val="0051723D"/>
    <w:rsid w:val="005172FF"/>
    <w:rsid w:val="005174D1"/>
    <w:rsid w:val="00517708"/>
    <w:rsid w:val="005178A1"/>
    <w:rsid w:val="005178B1"/>
    <w:rsid w:val="0051795D"/>
    <w:rsid w:val="00517B3E"/>
    <w:rsid w:val="00517F63"/>
    <w:rsid w:val="0052008D"/>
    <w:rsid w:val="005200BE"/>
    <w:rsid w:val="005200D9"/>
    <w:rsid w:val="005202EE"/>
    <w:rsid w:val="005203DF"/>
    <w:rsid w:val="005205C3"/>
    <w:rsid w:val="005206FD"/>
    <w:rsid w:val="005207B1"/>
    <w:rsid w:val="005207B4"/>
    <w:rsid w:val="00520872"/>
    <w:rsid w:val="00520913"/>
    <w:rsid w:val="00520973"/>
    <w:rsid w:val="00520DDC"/>
    <w:rsid w:val="00520EB1"/>
    <w:rsid w:val="00520EF8"/>
    <w:rsid w:val="0052177E"/>
    <w:rsid w:val="00521B1A"/>
    <w:rsid w:val="005220F3"/>
    <w:rsid w:val="005221E8"/>
    <w:rsid w:val="0052228C"/>
    <w:rsid w:val="005222E2"/>
    <w:rsid w:val="00522582"/>
    <w:rsid w:val="005225BC"/>
    <w:rsid w:val="005227A0"/>
    <w:rsid w:val="00522880"/>
    <w:rsid w:val="005228E2"/>
    <w:rsid w:val="00522970"/>
    <w:rsid w:val="0052298E"/>
    <w:rsid w:val="00522A0D"/>
    <w:rsid w:val="00522B17"/>
    <w:rsid w:val="00522DF5"/>
    <w:rsid w:val="005231C2"/>
    <w:rsid w:val="0052332C"/>
    <w:rsid w:val="00523366"/>
    <w:rsid w:val="005234F3"/>
    <w:rsid w:val="00523546"/>
    <w:rsid w:val="005237C7"/>
    <w:rsid w:val="00523800"/>
    <w:rsid w:val="00523847"/>
    <w:rsid w:val="00523861"/>
    <w:rsid w:val="00523906"/>
    <w:rsid w:val="00523B4D"/>
    <w:rsid w:val="00523BC9"/>
    <w:rsid w:val="00523F81"/>
    <w:rsid w:val="00523FF6"/>
    <w:rsid w:val="00524047"/>
    <w:rsid w:val="0052422C"/>
    <w:rsid w:val="00524562"/>
    <w:rsid w:val="0052480F"/>
    <w:rsid w:val="0052482C"/>
    <w:rsid w:val="0052486E"/>
    <w:rsid w:val="00524936"/>
    <w:rsid w:val="005249F6"/>
    <w:rsid w:val="00524A92"/>
    <w:rsid w:val="00524AA3"/>
    <w:rsid w:val="00524C67"/>
    <w:rsid w:val="00524D4C"/>
    <w:rsid w:val="00524E24"/>
    <w:rsid w:val="00524FCD"/>
    <w:rsid w:val="00525139"/>
    <w:rsid w:val="00525174"/>
    <w:rsid w:val="0052522D"/>
    <w:rsid w:val="0052531A"/>
    <w:rsid w:val="00525345"/>
    <w:rsid w:val="005253D7"/>
    <w:rsid w:val="005254DD"/>
    <w:rsid w:val="005255A4"/>
    <w:rsid w:val="005255C0"/>
    <w:rsid w:val="0052562D"/>
    <w:rsid w:val="00525870"/>
    <w:rsid w:val="00525B41"/>
    <w:rsid w:val="00525E36"/>
    <w:rsid w:val="00525FBF"/>
    <w:rsid w:val="00525FC8"/>
    <w:rsid w:val="0052613A"/>
    <w:rsid w:val="0052614B"/>
    <w:rsid w:val="0052631D"/>
    <w:rsid w:val="00526431"/>
    <w:rsid w:val="005265BE"/>
    <w:rsid w:val="0052690F"/>
    <w:rsid w:val="0052698C"/>
    <w:rsid w:val="00526FC7"/>
    <w:rsid w:val="00526FE0"/>
    <w:rsid w:val="00526FE5"/>
    <w:rsid w:val="005271D5"/>
    <w:rsid w:val="005271ED"/>
    <w:rsid w:val="0052729B"/>
    <w:rsid w:val="0052741F"/>
    <w:rsid w:val="005274C1"/>
    <w:rsid w:val="00527526"/>
    <w:rsid w:val="005277D0"/>
    <w:rsid w:val="005278F0"/>
    <w:rsid w:val="00527CC5"/>
    <w:rsid w:val="00530169"/>
    <w:rsid w:val="00530320"/>
    <w:rsid w:val="005303DA"/>
    <w:rsid w:val="0053044D"/>
    <w:rsid w:val="005304BD"/>
    <w:rsid w:val="0053058F"/>
    <w:rsid w:val="005307D5"/>
    <w:rsid w:val="00530B97"/>
    <w:rsid w:val="00530EC5"/>
    <w:rsid w:val="00530FA1"/>
    <w:rsid w:val="00531310"/>
    <w:rsid w:val="0053133E"/>
    <w:rsid w:val="00531611"/>
    <w:rsid w:val="00531815"/>
    <w:rsid w:val="00531986"/>
    <w:rsid w:val="00531AA2"/>
    <w:rsid w:val="00531BAF"/>
    <w:rsid w:val="00531CAF"/>
    <w:rsid w:val="00531DE8"/>
    <w:rsid w:val="00531E60"/>
    <w:rsid w:val="0053249E"/>
    <w:rsid w:val="005327CE"/>
    <w:rsid w:val="0053281F"/>
    <w:rsid w:val="00532A9F"/>
    <w:rsid w:val="00532B64"/>
    <w:rsid w:val="00532B71"/>
    <w:rsid w:val="00532C40"/>
    <w:rsid w:val="00532C6A"/>
    <w:rsid w:val="00532F69"/>
    <w:rsid w:val="00532FD7"/>
    <w:rsid w:val="0053309B"/>
    <w:rsid w:val="00533207"/>
    <w:rsid w:val="00533257"/>
    <w:rsid w:val="0053353B"/>
    <w:rsid w:val="005335FC"/>
    <w:rsid w:val="005336D7"/>
    <w:rsid w:val="00533A36"/>
    <w:rsid w:val="00533A6E"/>
    <w:rsid w:val="00533AEF"/>
    <w:rsid w:val="00533BA3"/>
    <w:rsid w:val="00533D06"/>
    <w:rsid w:val="00533E6D"/>
    <w:rsid w:val="005342C5"/>
    <w:rsid w:val="005342D6"/>
    <w:rsid w:val="005343E8"/>
    <w:rsid w:val="00534497"/>
    <w:rsid w:val="00534573"/>
    <w:rsid w:val="005347A7"/>
    <w:rsid w:val="005348CE"/>
    <w:rsid w:val="0053491F"/>
    <w:rsid w:val="00534946"/>
    <w:rsid w:val="00534A5E"/>
    <w:rsid w:val="00534AFC"/>
    <w:rsid w:val="00534BAC"/>
    <w:rsid w:val="00534BBD"/>
    <w:rsid w:val="005352B3"/>
    <w:rsid w:val="00535462"/>
    <w:rsid w:val="00535470"/>
    <w:rsid w:val="005356B9"/>
    <w:rsid w:val="00535801"/>
    <w:rsid w:val="005359D4"/>
    <w:rsid w:val="00535AD6"/>
    <w:rsid w:val="00535C1D"/>
    <w:rsid w:val="00535C7C"/>
    <w:rsid w:val="00535D22"/>
    <w:rsid w:val="00535DBE"/>
    <w:rsid w:val="00535FDA"/>
    <w:rsid w:val="00536099"/>
    <w:rsid w:val="0053610C"/>
    <w:rsid w:val="005361A1"/>
    <w:rsid w:val="00536240"/>
    <w:rsid w:val="005362EB"/>
    <w:rsid w:val="005363E3"/>
    <w:rsid w:val="005364A7"/>
    <w:rsid w:val="0053668B"/>
    <w:rsid w:val="00536B18"/>
    <w:rsid w:val="005370E0"/>
    <w:rsid w:val="005372A9"/>
    <w:rsid w:val="00537378"/>
    <w:rsid w:val="005373C5"/>
    <w:rsid w:val="005374CB"/>
    <w:rsid w:val="005374DB"/>
    <w:rsid w:val="00537608"/>
    <w:rsid w:val="005376C7"/>
    <w:rsid w:val="005377F5"/>
    <w:rsid w:val="0053785D"/>
    <w:rsid w:val="00537992"/>
    <w:rsid w:val="00537AC5"/>
    <w:rsid w:val="00537CFE"/>
    <w:rsid w:val="0054043E"/>
    <w:rsid w:val="0054071E"/>
    <w:rsid w:val="0054082F"/>
    <w:rsid w:val="00540937"/>
    <w:rsid w:val="00540A7B"/>
    <w:rsid w:val="00540BB5"/>
    <w:rsid w:val="00540C0F"/>
    <w:rsid w:val="00540CB5"/>
    <w:rsid w:val="00541305"/>
    <w:rsid w:val="00541661"/>
    <w:rsid w:val="005416DE"/>
    <w:rsid w:val="005416EA"/>
    <w:rsid w:val="005417C8"/>
    <w:rsid w:val="005419F1"/>
    <w:rsid w:val="00541A23"/>
    <w:rsid w:val="00541B64"/>
    <w:rsid w:val="00541BBD"/>
    <w:rsid w:val="00541CC7"/>
    <w:rsid w:val="00541E75"/>
    <w:rsid w:val="0054223B"/>
    <w:rsid w:val="00542455"/>
    <w:rsid w:val="00542897"/>
    <w:rsid w:val="0054291F"/>
    <w:rsid w:val="00542BB1"/>
    <w:rsid w:val="00542D16"/>
    <w:rsid w:val="00542F23"/>
    <w:rsid w:val="00543002"/>
    <w:rsid w:val="005430A3"/>
    <w:rsid w:val="0054316F"/>
    <w:rsid w:val="005433CC"/>
    <w:rsid w:val="00543445"/>
    <w:rsid w:val="005435D7"/>
    <w:rsid w:val="005439C9"/>
    <w:rsid w:val="00543A78"/>
    <w:rsid w:val="00543AEE"/>
    <w:rsid w:val="00543C5B"/>
    <w:rsid w:val="00543CE7"/>
    <w:rsid w:val="00543E0A"/>
    <w:rsid w:val="00543F82"/>
    <w:rsid w:val="005440F7"/>
    <w:rsid w:val="0054415C"/>
    <w:rsid w:val="005441DE"/>
    <w:rsid w:val="005441F8"/>
    <w:rsid w:val="0054431F"/>
    <w:rsid w:val="00544335"/>
    <w:rsid w:val="005444FE"/>
    <w:rsid w:val="00544555"/>
    <w:rsid w:val="0054463B"/>
    <w:rsid w:val="00544962"/>
    <w:rsid w:val="00544C77"/>
    <w:rsid w:val="00544D36"/>
    <w:rsid w:val="00544DC1"/>
    <w:rsid w:val="00544F3D"/>
    <w:rsid w:val="00545144"/>
    <w:rsid w:val="00545633"/>
    <w:rsid w:val="005456BE"/>
    <w:rsid w:val="0054572A"/>
    <w:rsid w:val="0054575F"/>
    <w:rsid w:val="005457C7"/>
    <w:rsid w:val="00545847"/>
    <w:rsid w:val="00545A3B"/>
    <w:rsid w:val="00545B38"/>
    <w:rsid w:val="00545CDA"/>
    <w:rsid w:val="00545D58"/>
    <w:rsid w:val="00545D68"/>
    <w:rsid w:val="00545D93"/>
    <w:rsid w:val="00545F9F"/>
    <w:rsid w:val="005461C4"/>
    <w:rsid w:val="00546224"/>
    <w:rsid w:val="00546611"/>
    <w:rsid w:val="00546A9D"/>
    <w:rsid w:val="00546AC3"/>
    <w:rsid w:val="00546ACC"/>
    <w:rsid w:val="00546B07"/>
    <w:rsid w:val="00546BFA"/>
    <w:rsid w:val="00546E2B"/>
    <w:rsid w:val="00546FBD"/>
    <w:rsid w:val="005471C7"/>
    <w:rsid w:val="005472A0"/>
    <w:rsid w:val="005476B7"/>
    <w:rsid w:val="005477AD"/>
    <w:rsid w:val="0054799F"/>
    <w:rsid w:val="005479AE"/>
    <w:rsid w:val="00547B71"/>
    <w:rsid w:val="00547D10"/>
    <w:rsid w:val="00547D2D"/>
    <w:rsid w:val="00547E20"/>
    <w:rsid w:val="00547E5F"/>
    <w:rsid w:val="00550092"/>
    <w:rsid w:val="0055047A"/>
    <w:rsid w:val="005505D8"/>
    <w:rsid w:val="00550A68"/>
    <w:rsid w:val="00550AC5"/>
    <w:rsid w:val="00550BFC"/>
    <w:rsid w:val="00550D8F"/>
    <w:rsid w:val="00550DB2"/>
    <w:rsid w:val="00550F81"/>
    <w:rsid w:val="005513B8"/>
    <w:rsid w:val="0055143A"/>
    <w:rsid w:val="005514FF"/>
    <w:rsid w:val="0055151A"/>
    <w:rsid w:val="005518B5"/>
    <w:rsid w:val="005518FF"/>
    <w:rsid w:val="00551AF0"/>
    <w:rsid w:val="00551BAC"/>
    <w:rsid w:val="00551D3E"/>
    <w:rsid w:val="00551E2D"/>
    <w:rsid w:val="00551F7F"/>
    <w:rsid w:val="00551FA7"/>
    <w:rsid w:val="0055255E"/>
    <w:rsid w:val="00552586"/>
    <w:rsid w:val="0055279B"/>
    <w:rsid w:val="00552AD8"/>
    <w:rsid w:val="00552C04"/>
    <w:rsid w:val="00552C1F"/>
    <w:rsid w:val="00552C55"/>
    <w:rsid w:val="00552E69"/>
    <w:rsid w:val="00552F93"/>
    <w:rsid w:val="00552FE7"/>
    <w:rsid w:val="00553018"/>
    <w:rsid w:val="005531AA"/>
    <w:rsid w:val="005532FE"/>
    <w:rsid w:val="00553367"/>
    <w:rsid w:val="005533FB"/>
    <w:rsid w:val="0055351A"/>
    <w:rsid w:val="00553524"/>
    <w:rsid w:val="0055375F"/>
    <w:rsid w:val="005538C9"/>
    <w:rsid w:val="00553924"/>
    <w:rsid w:val="00553BF6"/>
    <w:rsid w:val="00553CA1"/>
    <w:rsid w:val="00553D45"/>
    <w:rsid w:val="00553D63"/>
    <w:rsid w:val="00554202"/>
    <w:rsid w:val="00554332"/>
    <w:rsid w:val="005543ED"/>
    <w:rsid w:val="0055443D"/>
    <w:rsid w:val="0055454F"/>
    <w:rsid w:val="0055457F"/>
    <w:rsid w:val="0055475E"/>
    <w:rsid w:val="005547C3"/>
    <w:rsid w:val="00554A3B"/>
    <w:rsid w:val="00554B0C"/>
    <w:rsid w:val="00554BFB"/>
    <w:rsid w:val="00554C10"/>
    <w:rsid w:val="00554DF8"/>
    <w:rsid w:val="00554F67"/>
    <w:rsid w:val="00554F86"/>
    <w:rsid w:val="00554FC5"/>
    <w:rsid w:val="0055508C"/>
    <w:rsid w:val="00555273"/>
    <w:rsid w:val="00555393"/>
    <w:rsid w:val="0055574B"/>
    <w:rsid w:val="00555942"/>
    <w:rsid w:val="005559AC"/>
    <w:rsid w:val="00555A0A"/>
    <w:rsid w:val="00555B2F"/>
    <w:rsid w:val="00555DCB"/>
    <w:rsid w:val="00555E99"/>
    <w:rsid w:val="00555ECA"/>
    <w:rsid w:val="00555F5C"/>
    <w:rsid w:val="00556442"/>
    <w:rsid w:val="005564E1"/>
    <w:rsid w:val="0055665A"/>
    <w:rsid w:val="0055667E"/>
    <w:rsid w:val="005566BF"/>
    <w:rsid w:val="005566FB"/>
    <w:rsid w:val="00556747"/>
    <w:rsid w:val="00556895"/>
    <w:rsid w:val="005568C2"/>
    <w:rsid w:val="00556A09"/>
    <w:rsid w:val="00556BA1"/>
    <w:rsid w:val="00556E23"/>
    <w:rsid w:val="00556E83"/>
    <w:rsid w:val="00556E97"/>
    <w:rsid w:val="00556FCB"/>
    <w:rsid w:val="0055704F"/>
    <w:rsid w:val="005571F2"/>
    <w:rsid w:val="0055722C"/>
    <w:rsid w:val="005572F2"/>
    <w:rsid w:val="00557337"/>
    <w:rsid w:val="0055752C"/>
    <w:rsid w:val="0055766E"/>
    <w:rsid w:val="00557738"/>
    <w:rsid w:val="005577BB"/>
    <w:rsid w:val="005579BB"/>
    <w:rsid w:val="00557A14"/>
    <w:rsid w:val="00557BD5"/>
    <w:rsid w:val="00557C71"/>
    <w:rsid w:val="00557DAC"/>
    <w:rsid w:val="00557DB9"/>
    <w:rsid w:val="00557F73"/>
    <w:rsid w:val="005600DC"/>
    <w:rsid w:val="0056010F"/>
    <w:rsid w:val="0056019C"/>
    <w:rsid w:val="0056033F"/>
    <w:rsid w:val="00560569"/>
    <w:rsid w:val="00560720"/>
    <w:rsid w:val="00560751"/>
    <w:rsid w:val="00560900"/>
    <w:rsid w:val="00560A06"/>
    <w:rsid w:val="00560E2C"/>
    <w:rsid w:val="00560FE4"/>
    <w:rsid w:val="00561017"/>
    <w:rsid w:val="005611A8"/>
    <w:rsid w:val="005612B9"/>
    <w:rsid w:val="0056137E"/>
    <w:rsid w:val="005616A7"/>
    <w:rsid w:val="005616C6"/>
    <w:rsid w:val="00561712"/>
    <w:rsid w:val="0056186F"/>
    <w:rsid w:val="005618C5"/>
    <w:rsid w:val="00561932"/>
    <w:rsid w:val="00561A3D"/>
    <w:rsid w:val="00561BFA"/>
    <w:rsid w:val="00561C96"/>
    <w:rsid w:val="00561E97"/>
    <w:rsid w:val="00561EAC"/>
    <w:rsid w:val="005622B7"/>
    <w:rsid w:val="005626C8"/>
    <w:rsid w:val="00562758"/>
    <w:rsid w:val="00562A0F"/>
    <w:rsid w:val="00562B21"/>
    <w:rsid w:val="00562CFF"/>
    <w:rsid w:val="0056317B"/>
    <w:rsid w:val="00563430"/>
    <w:rsid w:val="00563449"/>
    <w:rsid w:val="0056362E"/>
    <w:rsid w:val="00563A45"/>
    <w:rsid w:val="00563A7C"/>
    <w:rsid w:val="00563D4B"/>
    <w:rsid w:val="00563FBC"/>
    <w:rsid w:val="005641E3"/>
    <w:rsid w:val="00564294"/>
    <w:rsid w:val="005642CA"/>
    <w:rsid w:val="00564305"/>
    <w:rsid w:val="0056452B"/>
    <w:rsid w:val="005646D8"/>
    <w:rsid w:val="00564712"/>
    <w:rsid w:val="005648A9"/>
    <w:rsid w:val="005650E0"/>
    <w:rsid w:val="0056550C"/>
    <w:rsid w:val="005655F0"/>
    <w:rsid w:val="005656C2"/>
    <w:rsid w:val="00565823"/>
    <w:rsid w:val="00565836"/>
    <w:rsid w:val="005659D2"/>
    <w:rsid w:val="00565B77"/>
    <w:rsid w:val="00565BCA"/>
    <w:rsid w:val="00565D95"/>
    <w:rsid w:val="00565DC4"/>
    <w:rsid w:val="0056629B"/>
    <w:rsid w:val="005664F7"/>
    <w:rsid w:val="00566C37"/>
    <w:rsid w:val="00566C4E"/>
    <w:rsid w:val="00566EAB"/>
    <w:rsid w:val="00566F54"/>
    <w:rsid w:val="00567183"/>
    <w:rsid w:val="00567241"/>
    <w:rsid w:val="005674EC"/>
    <w:rsid w:val="00567554"/>
    <w:rsid w:val="00567573"/>
    <w:rsid w:val="00567634"/>
    <w:rsid w:val="00567A13"/>
    <w:rsid w:val="00570244"/>
    <w:rsid w:val="005702F7"/>
    <w:rsid w:val="00570340"/>
    <w:rsid w:val="005703EE"/>
    <w:rsid w:val="0057045E"/>
    <w:rsid w:val="005704F1"/>
    <w:rsid w:val="0057055E"/>
    <w:rsid w:val="005706C4"/>
    <w:rsid w:val="00570703"/>
    <w:rsid w:val="0057077F"/>
    <w:rsid w:val="00570827"/>
    <w:rsid w:val="00570957"/>
    <w:rsid w:val="00570995"/>
    <w:rsid w:val="005709AE"/>
    <w:rsid w:val="00570B0E"/>
    <w:rsid w:val="00570FD3"/>
    <w:rsid w:val="0057127A"/>
    <w:rsid w:val="00571394"/>
    <w:rsid w:val="005714FC"/>
    <w:rsid w:val="005715E6"/>
    <w:rsid w:val="005715FD"/>
    <w:rsid w:val="005716F2"/>
    <w:rsid w:val="00571941"/>
    <w:rsid w:val="00571C24"/>
    <w:rsid w:val="00571C82"/>
    <w:rsid w:val="00571CD2"/>
    <w:rsid w:val="00571F89"/>
    <w:rsid w:val="0057211B"/>
    <w:rsid w:val="0057219F"/>
    <w:rsid w:val="005722BE"/>
    <w:rsid w:val="005724DB"/>
    <w:rsid w:val="0057251C"/>
    <w:rsid w:val="0057263B"/>
    <w:rsid w:val="005727AE"/>
    <w:rsid w:val="00572935"/>
    <w:rsid w:val="00572C13"/>
    <w:rsid w:val="00572DB6"/>
    <w:rsid w:val="00573055"/>
    <w:rsid w:val="005730D0"/>
    <w:rsid w:val="005733A7"/>
    <w:rsid w:val="0057395D"/>
    <w:rsid w:val="00573C0F"/>
    <w:rsid w:val="00573EBB"/>
    <w:rsid w:val="005744AF"/>
    <w:rsid w:val="005745F2"/>
    <w:rsid w:val="00574674"/>
    <w:rsid w:val="005746DB"/>
    <w:rsid w:val="0057482F"/>
    <w:rsid w:val="00574A43"/>
    <w:rsid w:val="00574A79"/>
    <w:rsid w:val="00574C05"/>
    <w:rsid w:val="00574ED2"/>
    <w:rsid w:val="00574ED3"/>
    <w:rsid w:val="0057503A"/>
    <w:rsid w:val="00575644"/>
    <w:rsid w:val="005756A9"/>
    <w:rsid w:val="005757AB"/>
    <w:rsid w:val="00575879"/>
    <w:rsid w:val="00575966"/>
    <w:rsid w:val="00575B7B"/>
    <w:rsid w:val="00575BF6"/>
    <w:rsid w:val="00575C06"/>
    <w:rsid w:val="00575D2A"/>
    <w:rsid w:val="00575DBB"/>
    <w:rsid w:val="00575DD7"/>
    <w:rsid w:val="00575F2F"/>
    <w:rsid w:val="00575F9B"/>
    <w:rsid w:val="00576170"/>
    <w:rsid w:val="00576241"/>
    <w:rsid w:val="005763F8"/>
    <w:rsid w:val="005764BF"/>
    <w:rsid w:val="0057650A"/>
    <w:rsid w:val="00576706"/>
    <w:rsid w:val="005767E2"/>
    <w:rsid w:val="005769CE"/>
    <w:rsid w:val="00576B4F"/>
    <w:rsid w:val="00576B7E"/>
    <w:rsid w:val="00576CBD"/>
    <w:rsid w:val="00576EE3"/>
    <w:rsid w:val="00576F6E"/>
    <w:rsid w:val="00576FBF"/>
    <w:rsid w:val="005771F9"/>
    <w:rsid w:val="00577309"/>
    <w:rsid w:val="00577390"/>
    <w:rsid w:val="00577436"/>
    <w:rsid w:val="00577790"/>
    <w:rsid w:val="0057781A"/>
    <w:rsid w:val="00577922"/>
    <w:rsid w:val="005779C9"/>
    <w:rsid w:val="00577AAF"/>
    <w:rsid w:val="00577B5A"/>
    <w:rsid w:val="00577BA1"/>
    <w:rsid w:val="00577C0A"/>
    <w:rsid w:val="00577D5A"/>
    <w:rsid w:val="00577F90"/>
    <w:rsid w:val="0058008A"/>
    <w:rsid w:val="005800A3"/>
    <w:rsid w:val="005802D4"/>
    <w:rsid w:val="005803C1"/>
    <w:rsid w:val="005803EB"/>
    <w:rsid w:val="00580498"/>
    <w:rsid w:val="0058060E"/>
    <w:rsid w:val="0058063B"/>
    <w:rsid w:val="0058071A"/>
    <w:rsid w:val="0058079A"/>
    <w:rsid w:val="00580BA6"/>
    <w:rsid w:val="00580BC9"/>
    <w:rsid w:val="00580E9E"/>
    <w:rsid w:val="00580EB5"/>
    <w:rsid w:val="00580F49"/>
    <w:rsid w:val="00581092"/>
    <w:rsid w:val="00581262"/>
    <w:rsid w:val="0058137A"/>
    <w:rsid w:val="0058139B"/>
    <w:rsid w:val="00581402"/>
    <w:rsid w:val="00581488"/>
    <w:rsid w:val="005817A6"/>
    <w:rsid w:val="005817AF"/>
    <w:rsid w:val="0058189E"/>
    <w:rsid w:val="00581A90"/>
    <w:rsid w:val="00582127"/>
    <w:rsid w:val="005821FA"/>
    <w:rsid w:val="00582545"/>
    <w:rsid w:val="00582558"/>
    <w:rsid w:val="005825D2"/>
    <w:rsid w:val="0058268F"/>
    <w:rsid w:val="00582716"/>
    <w:rsid w:val="00582A7E"/>
    <w:rsid w:val="00582C52"/>
    <w:rsid w:val="00582ED9"/>
    <w:rsid w:val="0058309A"/>
    <w:rsid w:val="0058336E"/>
    <w:rsid w:val="0058365B"/>
    <w:rsid w:val="00583732"/>
    <w:rsid w:val="005837E7"/>
    <w:rsid w:val="005837FE"/>
    <w:rsid w:val="0058397D"/>
    <w:rsid w:val="00583A11"/>
    <w:rsid w:val="00583B00"/>
    <w:rsid w:val="00583BCC"/>
    <w:rsid w:val="00583BDA"/>
    <w:rsid w:val="00583C94"/>
    <w:rsid w:val="00583F71"/>
    <w:rsid w:val="00583F8D"/>
    <w:rsid w:val="00583FFC"/>
    <w:rsid w:val="00584061"/>
    <w:rsid w:val="00584074"/>
    <w:rsid w:val="005844CF"/>
    <w:rsid w:val="0058451C"/>
    <w:rsid w:val="005846AA"/>
    <w:rsid w:val="00584885"/>
    <w:rsid w:val="00584895"/>
    <w:rsid w:val="005848AB"/>
    <w:rsid w:val="00584A03"/>
    <w:rsid w:val="00584A5D"/>
    <w:rsid w:val="00584C3F"/>
    <w:rsid w:val="00584D2A"/>
    <w:rsid w:val="00584F6B"/>
    <w:rsid w:val="00585157"/>
    <w:rsid w:val="0058521B"/>
    <w:rsid w:val="005852B7"/>
    <w:rsid w:val="00585303"/>
    <w:rsid w:val="005853E5"/>
    <w:rsid w:val="00585405"/>
    <w:rsid w:val="00585463"/>
    <w:rsid w:val="00585465"/>
    <w:rsid w:val="00585822"/>
    <w:rsid w:val="00585842"/>
    <w:rsid w:val="00585B26"/>
    <w:rsid w:val="00585B9A"/>
    <w:rsid w:val="00585D7B"/>
    <w:rsid w:val="00585E47"/>
    <w:rsid w:val="00585E9A"/>
    <w:rsid w:val="00586159"/>
    <w:rsid w:val="00586299"/>
    <w:rsid w:val="0058634E"/>
    <w:rsid w:val="00586430"/>
    <w:rsid w:val="005866EC"/>
    <w:rsid w:val="00586720"/>
    <w:rsid w:val="0058673E"/>
    <w:rsid w:val="00586753"/>
    <w:rsid w:val="0058682C"/>
    <w:rsid w:val="005868AF"/>
    <w:rsid w:val="00586A1C"/>
    <w:rsid w:val="00586AC6"/>
    <w:rsid w:val="00586D61"/>
    <w:rsid w:val="00586F8A"/>
    <w:rsid w:val="00586FAE"/>
    <w:rsid w:val="0058713D"/>
    <w:rsid w:val="005871FA"/>
    <w:rsid w:val="0058766A"/>
    <w:rsid w:val="00587894"/>
    <w:rsid w:val="00587A54"/>
    <w:rsid w:val="00587C4C"/>
    <w:rsid w:val="00587C85"/>
    <w:rsid w:val="00590242"/>
    <w:rsid w:val="00590292"/>
    <w:rsid w:val="005902DA"/>
    <w:rsid w:val="005902E4"/>
    <w:rsid w:val="005904B0"/>
    <w:rsid w:val="0059057F"/>
    <w:rsid w:val="0059087A"/>
    <w:rsid w:val="00590907"/>
    <w:rsid w:val="00590AEC"/>
    <w:rsid w:val="00590AFA"/>
    <w:rsid w:val="0059101E"/>
    <w:rsid w:val="0059111C"/>
    <w:rsid w:val="00591177"/>
    <w:rsid w:val="005913B7"/>
    <w:rsid w:val="005914D7"/>
    <w:rsid w:val="005917CB"/>
    <w:rsid w:val="0059191E"/>
    <w:rsid w:val="0059191F"/>
    <w:rsid w:val="00591A6A"/>
    <w:rsid w:val="00591EEF"/>
    <w:rsid w:val="00592092"/>
    <w:rsid w:val="005922E9"/>
    <w:rsid w:val="005924A2"/>
    <w:rsid w:val="00592928"/>
    <w:rsid w:val="00592D55"/>
    <w:rsid w:val="00592DDB"/>
    <w:rsid w:val="00592E3A"/>
    <w:rsid w:val="00592EE7"/>
    <w:rsid w:val="0059318E"/>
    <w:rsid w:val="00593632"/>
    <w:rsid w:val="00593735"/>
    <w:rsid w:val="00593834"/>
    <w:rsid w:val="00593D04"/>
    <w:rsid w:val="00593F23"/>
    <w:rsid w:val="005941B1"/>
    <w:rsid w:val="0059423C"/>
    <w:rsid w:val="0059425A"/>
    <w:rsid w:val="0059437C"/>
    <w:rsid w:val="005946B5"/>
    <w:rsid w:val="005946BC"/>
    <w:rsid w:val="00594771"/>
    <w:rsid w:val="0059481A"/>
    <w:rsid w:val="0059497F"/>
    <w:rsid w:val="00594B93"/>
    <w:rsid w:val="00594E73"/>
    <w:rsid w:val="00594E9F"/>
    <w:rsid w:val="00594ED5"/>
    <w:rsid w:val="00594F04"/>
    <w:rsid w:val="005950D0"/>
    <w:rsid w:val="005954C9"/>
    <w:rsid w:val="00595896"/>
    <w:rsid w:val="005958D3"/>
    <w:rsid w:val="00595D29"/>
    <w:rsid w:val="00595D49"/>
    <w:rsid w:val="00595E38"/>
    <w:rsid w:val="0059623F"/>
    <w:rsid w:val="00596296"/>
    <w:rsid w:val="0059652A"/>
    <w:rsid w:val="00596553"/>
    <w:rsid w:val="00596666"/>
    <w:rsid w:val="0059690E"/>
    <w:rsid w:val="005969F5"/>
    <w:rsid w:val="0059718B"/>
    <w:rsid w:val="005972B3"/>
    <w:rsid w:val="005972EB"/>
    <w:rsid w:val="005973A7"/>
    <w:rsid w:val="00597566"/>
    <w:rsid w:val="0059779C"/>
    <w:rsid w:val="0059789D"/>
    <w:rsid w:val="005978C3"/>
    <w:rsid w:val="00597962"/>
    <w:rsid w:val="0059798F"/>
    <w:rsid w:val="00597DDA"/>
    <w:rsid w:val="00597E47"/>
    <w:rsid w:val="005A035F"/>
    <w:rsid w:val="005A0425"/>
    <w:rsid w:val="005A0917"/>
    <w:rsid w:val="005A09D5"/>
    <w:rsid w:val="005A0A18"/>
    <w:rsid w:val="005A0B93"/>
    <w:rsid w:val="005A0BBA"/>
    <w:rsid w:val="005A0C5E"/>
    <w:rsid w:val="005A0C9A"/>
    <w:rsid w:val="005A0D6D"/>
    <w:rsid w:val="005A0E52"/>
    <w:rsid w:val="005A0F59"/>
    <w:rsid w:val="005A105E"/>
    <w:rsid w:val="005A1068"/>
    <w:rsid w:val="005A1351"/>
    <w:rsid w:val="005A136B"/>
    <w:rsid w:val="005A1371"/>
    <w:rsid w:val="005A14B9"/>
    <w:rsid w:val="005A14D2"/>
    <w:rsid w:val="005A1680"/>
    <w:rsid w:val="005A16B7"/>
    <w:rsid w:val="005A174F"/>
    <w:rsid w:val="005A1799"/>
    <w:rsid w:val="005A1850"/>
    <w:rsid w:val="005A1E2D"/>
    <w:rsid w:val="005A1F06"/>
    <w:rsid w:val="005A1FA9"/>
    <w:rsid w:val="005A20E5"/>
    <w:rsid w:val="005A222F"/>
    <w:rsid w:val="005A244A"/>
    <w:rsid w:val="005A2481"/>
    <w:rsid w:val="005A24C0"/>
    <w:rsid w:val="005A2572"/>
    <w:rsid w:val="005A2608"/>
    <w:rsid w:val="005A2965"/>
    <w:rsid w:val="005A2D84"/>
    <w:rsid w:val="005A2E2E"/>
    <w:rsid w:val="005A2EA8"/>
    <w:rsid w:val="005A2EB1"/>
    <w:rsid w:val="005A312E"/>
    <w:rsid w:val="005A3149"/>
    <w:rsid w:val="005A31FA"/>
    <w:rsid w:val="005A3526"/>
    <w:rsid w:val="005A3650"/>
    <w:rsid w:val="005A3758"/>
    <w:rsid w:val="005A38B3"/>
    <w:rsid w:val="005A3A3F"/>
    <w:rsid w:val="005A3A85"/>
    <w:rsid w:val="005A3AFB"/>
    <w:rsid w:val="005A3B02"/>
    <w:rsid w:val="005A3D4B"/>
    <w:rsid w:val="005A3DDC"/>
    <w:rsid w:val="005A4130"/>
    <w:rsid w:val="005A41F6"/>
    <w:rsid w:val="005A45A5"/>
    <w:rsid w:val="005A45D2"/>
    <w:rsid w:val="005A45E4"/>
    <w:rsid w:val="005A4A01"/>
    <w:rsid w:val="005A4BDF"/>
    <w:rsid w:val="005A4EA8"/>
    <w:rsid w:val="005A52AC"/>
    <w:rsid w:val="005A5384"/>
    <w:rsid w:val="005A547C"/>
    <w:rsid w:val="005A56E0"/>
    <w:rsid w:val="005A5870"/>
    <w:rsid w:val="005A5A44"/>
    <w:rsid w:val="005A6046"/>
    <w:rsid w:val="005A62E6"/>
    <w:rsid w:val="005A64CB"/>
    <w:rsid w:val="005A65FD"/>
    <w:rsid w:val="005A6772"/>
    <w:rsid w:val="005A6835"/>
    <w:rsid w:val="005A6836"/>
    <w:rsid w:val="005A6974"/>
    <w:rsid w:val="005A6AB0"/>
    <w:rsid w:val="005A6BC6"/>
    <w:rsid w:val="005A6CFD"/>
    <w:rsid w:val="005A70F3"/>
    <w:rsid w:val="005A761D"/>
    <w:rsid w:val="005A765C"/>
    <w:rsid w:val="005A767C"/>
    <w:rsid w:val="005A7958"/>
    <w:rsid w:val="005B001C"/>
    <w:rsid w:val="005B0253"/>
    <w:rsid w:val="005B04BB"/>
    <w:rsid w:val="005B0860"/>
    <w:rsid w:val="005B0890"/>
    <w:rsid w:val="005B0A79"/>
    <w:rsid w:val="005B0B1F"/>
    <w:rsid w:val="005B0C26"/>
    <w:rsid w:val="005B0D0D"/>
    <w:rsid w:val="005B14BE"/>
    <w:rsid w:val="005B168C"/>
    <w:rsid w:val="005B17B7"/>
    <w:rsid w:val="005B19FF"/>
    <w:rsid w:val="005B1A8B"/>
    <w:rsid w:val="005B1AC8"/>
    <w:rsid w:val="005B1B48"/>
    <w:rsid w:val="005B1ED3"/>
    <w:rsid w:val="005B2046"/>
    <w:rsid w:val="005B20C0"/>
    <w:rsid w:val="005B21F2"/>
    <w:rsid w:val="005B257E"/>
    <w:rsid w:val="005B2583"/>
    <w:rsid w:val="005B26B4"/>
    <w:rsid w:val="005B26DD"/>
    <w:rsid w:val="005B2B9D"/>
    <w:rsid w:val="005B2E40"/>
    <w:rsid w:val="005B2F8B"/>
    <w:rsid w:val="005B3115"/>
    <w:rsid w:val="005B31D4"/>
    <w:rsid w:val="005B3283"/>
    <w:rsid w:val="005B32B5"/>
    <w:rsid w:val="005B34AF"/>
    <w:rsid w:val="005B35BF"/>
    <w:rsid w:val="005B35E9"/>
    <w:rsid w:val="005B35ED"/>
    <w:rsid w:val="005B3758"/>
    <w:rsid w:val="005B38B1"/>
    <w:rsid w:val="005B3C04"/>
    <w:rsid w:val="005B4013"/>
    <w:rsid w:val="005B40A4"/>
    <w:rsid w:val="005B412A"/>
    <w:rsid w:val="005B421F"/>
    <w:rsid w:val="005B425D"/>
    <w:rsid w:val="005B428B"/>
    <w:rsid w:val="005B4374"/>
    <w:rsid w:val="005B4538"/>
    <w:rsid w:val="005B4676"/>
    <w:rsid w:val="005B4732"/>
    <w:rsid w:val="005B4763"/>
    <w:rsid w:val="005B48C1"/>
    <w:rsid w:val="005B4A5F"/>
    <w:rsid w:val="005B4B01"/>
    <w:rsid w:val="005B4CAA"/>
    <w:rsid w:val="005B4D4E"/>
    <w:rsid w:val="005B4DFA"/>
    <w:rsid w:val="005B4EFA"/>
    <w:rsid w:val="005B4FAE"/>
    <w:rsid w:val="005B50F7"/>
    <w:rsid w:val="005B5210"/>
    <w:rsid w:val="005B5348"/>
    <w:rsid w:val="005B56F6"/>
    <w:rsid w:val="005B5764"/>
    <w:rsid w:val="005B59E4"/>
    <w:rsid w:val="005B5A07"/>
    <w:rsid w:val="005B5BC0"/>
    <w:rsid w:val="005B5DE3"/>
    <w:rsid w:val="005B5E1B"/>
    <w:rsid w:val="005B5EE4"/>
    <w:rsid w:val="005B5FC5"/>
    <w:rsid w:val="005B60CB"/>
    <w:rsid w:val="005B641B"/>
    <w:rsid w:val="005B657A"/>
    <w:rsid w:val="005B674E"/>
    <w:rsid w:val="005B6772"/>
    <w:rsid w:val="005B684E"/>
    <w:rsid w:val="005B69EC"/>
    <w:rsid w:val="005B6AAF"/>
    <w:rsid w:val="005B6AF8"/>
    <w:rsid w:val="005B6E2A"/>
    <w:rsid w:val="005B71C2"/>
    <w:rsid w:val="005B727E"/>
    <w:rsid w:val="005B77C3"/>
    <w:rsid w:val="005B79AB"/>
    <w:rsid w:val="005B7A0B"/>
    <w:rsid w:val="005B7AF5"/>
    <w:rsid w:val="005B7B5B"/>
    <w:rsid w:val="005B7C3C"/>
    <w:rsid w:val="005B7DFD"/>
    <w:rsid w:val="005C00E6"/>
    <w:rsid w:val="005C040F"/>
    <w:rsid w:val="005C0989"/>
    <w:rsid w:val="005C0AEE"/>
    <w:rsid w:val="005C0D1D"/>
    <w:rsid w:val="005C10B0"/>
    <w:rsid w:val="005C1559"/>
    <w:rsid w:val="005C15ED"/>
    <w:rsid w:val="005C1691"/>
    <w:rsid w:val="005C1702"/>
    <w:rsid w:val="005C175B"/>
    <w:rsid w:val="005C191C"/>
    <w:rsid w:val="005C1965"/>
    <w:rsid w:val="005C1BB6"/>
    <w:rsid w:val="005C1C63"/>
    <w:rsid w:val="005C1CAE"/>
    <w:rsid w:val="005C21AB"/>
    <w:rsid w:val="005C22D7"/>
    <w:rsid w:val="005C2386"/>
    <w:rsid w:val="005C24DB"/>
    <w:rsid w:val="005C261C"/>
    <w:rsid w:val="005C26BF"/>
    <w:rsid w:val="005C27E2"/>
    <w:rsid w:val="005C2B87"/>
    <w:rsid w:val="005C2BEE"/>
    <w:rsid w:val="005C2CE0"/>
    <w:rsid w:val="005C2DC7"/>
    <w:rsid w:val="005C2E92"/>
    <w:rsid w:val="005C301F"/>
    <w:rsid w:val="005C3220"/>
    <w:rsid w:val="005C34E9"/>
    <w:rsid w:val="005C363F"/>
    <w:rsid w:val="005C380E"/>
    <w:rsid w:val="005C3854"/>
    <w:rsid w:val="005C3AF7"/>
    <w:rsid w:val="005C3B28"/>
    <w:rsid w:val="005C3C4E"/>
    <w:rsid w:val="005C3C5E"/>
    <w:rsid w:val="005C3E73"/>
    <w:rsid w:val="005C3EB3"/>
    <w:rsid w:val="005C3FC1"/>
    <w:rsid w:val="005C416F"/>
    <w:rsid w:val="005C4234"/>
    <w:rsid w:val="005C4378"/>
    <w:rsid w:val="005C4707"/>
    <w:rsid w:val="005C4818"/>
    <w:rsid w:val="005C4907"/>
    <w:rsid w:val="005C49A0"/>
    <w:rsid w:val="005C4BA9"/>
    <w:rsid w:val="005C4CF7"/>
    <w:rsid w:val="005C4D07"/>
    <w:rsid w:val="005C52D1"/>
    <w:rsid w:val="005C5377"/>
    <w:rsid w:val="005C553B"/>
    <w:rsid w:val="005C55AA"/>
    <w:rsid w:val="005C587A"/>
    <w:rsid w:val="005C59E1"/>
    <w:rsid w:val="005C5CA2"/>
    <w:rsid w:val="005C5D9C"/>
    <w:rsid w:val="005C5E91"/>
    <w:rsid w:val="005C5F7C"/>
    <w:rsid w:val="005C5F87"/>
    <w:rsid w:val="005C601C"/>
    <w:rsid w:val="005C61AC"/>
    <w:rsid w:val="005C6258"/>
    <w:rsid w:val="005C63AB"/>
    <w:rsid w:val="005C64FA"/>
    <w:rsid w:val="005C6537"/>
    <w:rsid w:val="005C6D91"/>
    <w:rsid w:val="005C6E90"/>
    <w:rsid w:val="005C7099"/>
    <w:rsid w:val="005C7174"/>
    <w:rsid w:val="005C7179"/>
    <w:rsid w:val="005C7412"/>
    <w:rsid w:val="005C76A3"/>
    <w:rsid w:val="005C7798"/>
    <w:rsid w:val="005C78E2"/>
    <w:rsid w:val="005C79F9"/>
    <w:rsid w:val="005C7AAD"/>
    <w:rsid w:val="005C7AC2"/>
    <w:rsid w:val="005C7B54"/>
    <w:rsid w:val="005C7CAB"/>
    <w:rsid w:val="005C7D6B"/>
    <w:rsid w:val="005C7DA7"/>
    <w:rsid w:val="005D00CD"/>
    <w:rsid w:val="005D0112"/>
    <w:rsid w:val="005D0394"/>
    <w:rsid w:val="005D0544"/>
    <w:rsid w:val="005D0693"/>
    <w:rsid w:val="005D07C7"/>
    <w:rsid w:val="005D08C5"/>
    <w:rsid w:val="005D09DA"/>
    <w:rsid w:val="005D0A21"/>
    <w:rsid w:val="005D0E24"/>
    <w:rsid w:val="005D0E9F"/>
    <w:rsid w:val="005D0F7E"/>
    <w:rsid w:val="005D0FF5"/>
    <w:rsid w:val="005D1221"/>
    <w:rsid w:val="005D138B"/>
    <w:rsid w:val="005D15CD"/>
    <w:rsid w:val="005D1628"/>
    <w:rsid w:val="005D16A0"/>
    <w:rsid w:val="005D16D8"/>
    <w:rsid w:val="005D171F"/>
    <w:rsid w:val="005D17B4"/>
    <w:rsid w:val="005D17BD"/>
    <w:rsid w:val="005D192E"/>
    <w:rsid w:val="005D19E4"/>
    <w:rsid w:val="005D1A78"/>
    <w:rsid w:val="005D1E2E"/>
    <w:rsid w:val="005D20CC"/>
    <w:rsid w:val="005D21CE"/>
    <w:rsid w:val="005D224D"/>
    <w:rsid w:val="005D2302"/>
    <w:rsid w:val="005D2342"/>
    <w:rsid w:val="005D2690"/>
    <w:rsid w:val="005D28B6"/>
    <w:rsid w:val="005D28C4"/>
    <w:rsid w:val="005D2A98"/>
    <w:rsid w:val="005D2E75"/>
    <w:rsid w:val="005D3053"/>
    <w:rsid w:val="005D3186"/>
    <w:rsid w:val="005D31C3"/>
    <w:rsid w:val="005D31D9"/>
    <w:rsid w:val="005D327D"/>
    <w:rsid w:val="005D32E5"/>
    <w:rsid w:val="005D33C0"/>
    <w:rsid w:val="005D3481"/>
    <w:rsid w:val="005D3547"/>
    <w:rsid w:val="005D358C"/>
    <w:rsid w:val="005D392E"/>
    <w:rsid w:val="005D3AA9"/>
    <w:rsid w:val="005D4010"/>
    <w:rsid w:val="005D4132"/>
    <w:rsid w:val="005D4491"/>
    <w:rsid w:val="005D461A"/>
    <w:rsid w:val="005D4742"/>
    <w:rsid w:val="005D4762"/>
    <w:rsid w:val="005D477F"/>
    <w:rsid w:val="005D487A"/>
    <w:rsid w:val="005D4987"/>
    <w:rsid w:val="005D498C"/>
    <w:rsid w:val="005D4A2D"/>
    <w:rsid w:val="005D4AEC"/>
    <w:rsid w:val="005D4CFD"/>
    <w:rsid w:val="005D4EFB"/>
    <w:rsid w:val="005D5215"/>
    <w:rsid w:val="005D532E"/>
    <w:rsid w:val="005D5814"/>
    <w:rsid w:val="005D5ED6"/>
    <w:rsid w:val="005D5F8B"/>
    <w:rsid w:val="005D6039"/>
    <w:rsid w:val="005D605F"/>
    <w:rsid w:val="005D6214"/>
    <w:rsid w:val="005D62CC"/>
    <w:rsid w:val="005D640A"/>
    <w:rsid w:val="005D66FF"/>
    <w:rsid w:val="005D6BE0"/>
    <w:rsid w:val="005D6C90"/>
    <w:rsid w:val="005D6EAA"/>
    <w:rsid w:val="005D7537"/>
    <w:rsid w:val="005D75EF"/>
    <w:rsid w:val="005D780B"/>
    <w:rsid w:val="005D7A83"/>
    <w:rsid w:val="005D7C53"/>
    <w:rsid w:val="005D7D1E"/>
    <w:rsid w:val="005D7DAB"/>
    <w:rsid w:val="005D7EA9"/>
    <w:rsid w:val="005D7EF1"/>
    <w:rsid w:val="005E0289"/>
    <w:rsid w:val="005E0494"/>
    <w:rsid w:val="005E04F8"/>
    <w:rsid w:val="005E052E"/>
    <w:rsid w:val="005E07AC"/>
    <w:rsid w:val="005E07AE"/>
    <w:rsid w:val="005E089D"/>
    <w:rsid w:val="005E0B6B"/>
    <w:rsid w:val="005E0BD8"/>
    <w:rsid w:val="005E0D78"/>
    <w:rsid w:val="005E0DDF"/>
    <w:rsid w:val="005E0FC2"/>
    <w:rsid w:val="005E10F2"/>
    <w:rsid w:val="005E121F"/>
    <w:rsid w:val="005E1258"/>
    <w:rsid w:val="005E1378"/>
    <w:rsid w:val="005E14FC"/>
    <w:rsid w:val="005E1A41"/>
    <w:rsid w:val="005E1C7E"/>
    <w:rsid w:val="005E1EBA"/>
    <w:rsid w:val="005E2040"/>
    <w:rsid w:val="005E211E"/>
    <w:rsid w:val="005E231C"/>
    <w:rsid w:val="005E2403"/>
    <w:rsid w:val="005E257A"/>
    <w:rsid w:val="005E263E"/>
    <w:rsid w:val="005E2661"/>
    <w:rsid w:val="005E268C"/>
    <w:rsid w:val="005E287A"/>
    <w:rsid w:val="005E2A5C"/>
    <w:rsid w:val="005E2CEC"/>
    <w:rsid w:val="005E2D9B"/>
    <w:rsid w:val="005E2F2C"/>
    <w:rsid w:val="005E317D"/>
    <w:rsid w:val="005E326D"/>
    <w:rsid w:val="005E3348"/>
    <w:rsid w:val="005E33EE"/>
    <w:rsid w:val="005E35BA"/>
    <w:rsid w:val="005E3790"/>
    <w:rsid w:val="005E3B74"/>
    <w:rsid w:val="005E3C39"/>
    <w:rsid w:val="005E3CEB"/>
    <w:rsid w:val="005E3E96"/>
    <w:rsid w:val="005E3F1F"/>
    <w:rsid w:val="005E3F61"/>
    <w:rsid w:val="005E406A"/>
    <w:rsid w:val="005E40B0"/>
    <w:rsid w:val="005E4512"/>
    <w:rsid w:val="005E45C3"/>
    <w:rsid w:val="005E490E"/>
    <w:rsid w:val="005E4B1B"/>
    <w:rsid w:val="005E4BB0"/>
    <w:rsid w:val="005E4BC5"/>
    <w:rsid w:val="005E4CE3"/>
    <w:rsid w:val="005E4F68"/>
    <w:rsid w:val="005E4FA8"/>
    <w:rsid w:val="005E5180"/>
    <w:rsid w:val="005E51F7"/>
    <w:rsid w:val="005E5330"/>
    <w:rsid w:val="005E537C"/>
    <w:rsid w:val="005E573C"/>
    <w:rsid w:val="005E57D1"/>
    <w:rsid w:val="005E58D0"/>
    <w:rsid w:val="005E59FD"/>
    <w:rsid w:val="005E5D81"/>
    <w:rsid w:val="005E5DF3"/>
    <w:rsid w:val="005E5E7B"/>
    <w:rsid w:val="005E60BC"/>
    <w:rsid w:val="005E6465"/>
    <w:rsid w:val="005E647A"/>
    <w:rsid w:val="005E65BB"/>
    <w:rsid w:val="005E6CA0"/>
    <w:rsid w:val="005E6DA9"/>
    <w:rsid w:val="005E6FE3"/>
    <w:rsid w:val="005E7427"/>
    <w:rsid w:val="005E75B6"/>
    <w:rsid w:val="005E75D9"/>
    <w:rsid w:val="005E75DB"/>
    <w:rsid w:val="005E7709"/>
    <w:rsid w:val="005E775D"/>
    <w:rsid w:val="005E79B2"/>
    <w:rsid w:val="005E7A32"/>
    <w:rsid w:val="005E7A36"/>
    <w:rsid w:val="005E7B90"/>
    <w:rsid w:val="005E7BEC"/>
    <w:rsid w:val="005E7DE9"/>
    <w:rsid w:val="005E7E5F"/>
    <w:rsid w:val="005E7ED6"/>
    <w:rsid w:val="005F03FF"/>
    <w:rsid w:val="005F048C"/>
    <w:rsid w:val="005F05CB"/>
    <w:rsid w:val="005F05D1"/>
    <w:rsid w:val="005F07DC"/>
    <w:rsid w:val="005F087D"/>
    <w:rsid w:val="005F09DD"/>
    <w:rsid w:val="005F0B6F"/>
    <w:rsid w:val="005F0CDF"/>
    <w:rsid w:val="005F1095"/>
    <w:rsid w:val="005F1263"/>
    <w:rsid w:val="005F128E"/>
    <w:rsid w:val="005F12B1"/>
    <w:rsid w:val="005F1614"/>
    <w:rsid w:val="005F1895"/>
    <w:rsid w:val="005F1A10"/>
    <w:rsid w:val="005F1A35"/>
    <w:rsid w:val="005F1C22"/>
    <w:rsid w:val="005F1CBC"/>
    <w:rsid w:val="005F1DFA"/>
    <w:rsid w:val="005F1FFC"/>
    <w:rsid w:val="005F2028"/>
    <w:rsid w:val="005F2128"/>
    <w:rsid w:val="005F25B7"/>
    <w:rsid w:val="005F2635"/>
    <w:rsid w:val="005F281E"/>
    <w:rsid w:val="005F2863"/>
    <w:rsid w:val="005F2969"/>
    <w:rsid w:val="005F29EB"/>
    <w:rsid w:val="005F2B66"/>
    <w:rsid w:val="005F2BEB"/>
    <w:rsid w:val="005F2C13"/>
    <w:rsid w:val="005F2CC4"/>
    <w:rsid w:val="005F3185"/>
    <w:rsid w:val="005F319B"/>
    <w:rsid w:val="005F323C"/>
    <w:rsid w:val="005F32CD"/>
    <w:rsid w:val="005F3518"/>
    <w:rsid w:val="005F35FA"/>
    <w:rsid w:val="005F3883"/>
    <w:rsid w:val="005F3966"/>
    <w:rsid w:val="005F3B92"/>
    <w:rsid w:val="005F3C35"/>
    <w:rsid w:val="005F3C4B"/>
    <w:rsid w:val="005F3E40"/>
    <w:rsid w:val="005F3E59"/>
    <w:rsid w:val="005F3EB9"/>
    <w:rsid w:val="005F3F50"/>
    <w:rsid w:val="005F434A"/>
    <w:rsid w:val="005F43F6"/>
    <w:rsid w:val="005F44E3"/>
    <w:rsid w:val="005F4757"/>
    <w:rsid w:val="005F4A45"/>
    <w:rsid w:val="005F4CAF"/>
    <w:rsid w:val="005F4F47"/>
    <w:rsid w:val="005F4FEB"/>
    <w:rsid w:val="005F5172"/>
    <w:rsid w:val="005F53D2"/>
    <w:rsid w:val="005F5606"/>
    <w:rsid w:val="005F5A9B"/>
    <w:rsid w:val="005F5AF8"/>
    <w:rsid w:val="005F5D0C"/>
    <w:rsid w:val="005F5EC3"/>
    <w:rsid w:val="005F5EDE"/>
    <w:rsid w:val="005F5F03"/>
    <w:rsid w:val="005F6063"/>
    <w:rsid w:val="005F616D"/>
    <w:rsid w:val="005F6577"/>
    <w:rsid w:val="005F65C3"/>
    <w:rsid w:val="005F6752"/>
    <w:rsid w:val="005F679F"/>
    <w:rsid w:val="005F68FD"/>
    <w:rsid w:val="005F6B00"/>
    <w:rsid w:val="005F6BEA"/>
    <w:rsid w:val="005F6D04"/>
    <w:rsid w:val="005F6F65"/>
    <w:rsid w:val="005F7358"/>
    <w:rsid w:val="005F745D"/>
    <w:rsid w:val="005F7479"/>
    <w:rsid w:val="005F762C"/>
    <w:rsid w:val="005F7865"/>
    <w:rsid w:val="005F7886"/>
    <w:rsid w:val="005F79DD"/>
    <w:rsid w:val="005F7A88"/>
    <w:rsid w:val="005F7AEE"/>
    <w:rsid w:val="005F7B9B"/>
    <w:rsid w:val="005F7DBE"/>
    <w:rsid w:val="005F7F24"/>
    <w:rsid w:val="005F7F55"/>
    <w:rsid w:val="0060002F"/>
    <w:rsid w:val="0060004B"/>
    <w:rsid w:val="00600129"/>
    <w:rsid w:val="0060026F"/>
    <w:rsid w:val="00600614"/>
    <w:rsid w:val="0060071F"/>
    <w:rsid w:val="00600749"/>
    <w:rsid w:val="00600E55"/>
    <w:rsid w:val="0060112A"/>
    <w:rsid w:val="006012A0"/>
    <w:rsid w:val="006012E0"/>
    <w:rsid w:val="00601312"/>
    <w:rsid w:val="006016A7"/>
    <w:rsid w:val="006016D9"/>
    <w:rsid w:val="00601877"/>
    <w:rsid w:val="006019A3"/>
    <w:rsid w:val="00601A98"/>
    <w:rsid w:val="00601CFD"/>
    <w:rsid w:val="00601F2D"/>
    <w:rsid w:val="0060214C"/>
    <w:rsid w:val="00602350"/>
    <w:rsid w:val="006026FC"/>
    <w:rsid w:val="006027AC"/>
    <w:rsid w:val="006027E0"/>
    <w:rsid w:val="0060287D"/>
    <w:rsid w:val="0060297E"/>
    <w:rsid w:val="00602BD2"/>
    <w:rsid w:val="00602F2B"/>
    <w:rsid w:val="006030A6"/>
    <w:rsid w:val="006030E3"/>
    <w:rsid w:val="00603257"/>
    <w:rsid w:val="00603270"/>
    <w:rsid w:val="006032DC"/>
    <w:rsid w:val="0060335D"/>
    <w:rsid w:val="006035B1"/>
    <w:rsid w:val="00603A11"/>
    <w:rsid w:val="00603A23"/>
    <w:rsid w:val="00603ABD"/>
    <w:rsid w:val="00603DCC"/>
    <w:rsid w:val="00603F62"/>
    <w:rsid w:val="0060418E"/>
    <w:rsid w:val="00604232"/>
    <w:rsid w:val="006043E6"/>
    <w:rsid w:val="00604466"/>
    <w:rsid w:val="00604478"/>
    <w:rsid w:val="00604618"/>
    <w:rsid w:val="00604647"/>
    <w:rsid w:val="0060485F"/>
    <w:rsid w:val="0060499A"/>
    <w:rsid w:val="00604D72"/>
    <w:rsid w:val="00604DCB"/>
    <w:rsid w:val="00604E6D"/>
    <w:rsid w:val="00605007"/>
    <w:rsid w:val="00605118"/>
    <w:rsid w:val="006051A2"/>
    <w:rsid w:val="006051E8"/>
    <w:rsid w:val="00605291"/>
    <w:rsid w:val="00605572"/>
    <w:rsid w:val="006055E2"/>
    <w:rsid w:val="00605621"/>
    <w:rsid w:val="0060575D"/>
    <w:rsid w:val="00605B67"/>
    <w:rsid w:val="00605E7E"/>
    <w:rsid w:val="00605F2C"/>
    <w:rsid w:val="00605F90"/>
    <w:rsid w:val="006060CE"/>
    <w:rsid w:val="0060627A"/>
    <w:rsid w:val="00606473"/>
    <w:rsid w:val="00606559"/>
    <w:rsid w:val="00606639"/>
    <w:rsid w:val="0060671A"/>
    <w:rsid w:val="00606AFD"/>
    <w:rsid w:val="00607001"/>
    <w:rsid w:val="0060746F"/>
    <w:rsid w:val="00607482"/>
    <w:rsid w:val="006074BE"/>
    <w:rsid w:val="006074E9"/>
    <w:rsid w:val="006075C1"/>
    <w:rsid w:val="0060768E"/>
    <w:rsid w:val="006076BF"/>
    <w:rsid w:val="00607758"/>
    <w:rsid w:val="006077EE"/>
    <w:rsid w:val="006078DA"/>
    <w:rsid w:val="006078F2"/>
    <w:rsid w:val="00607AA6"/>
    <w:rsid w:val="00607C27"/>
    <w:rsid w:val="00607CC3"/>
    <w:rsid w:val="0061005D"/>
    <w:rsid w:val="006100F1"/>
    <w:rsid w:val="0061022E"/>
    <w:rsid w:val="006103B3"/>
    <w:rsid w:val="006104B5"/>
    <w:rsid w:val="00610B7C"/>
    <w:rsid w:val="00610C41"/>
    <w:rsid w:val="00610D30"/>
    <w:rsid w:val="0061133F"/>
    <w:rsid w:val="00611448"/>
    <w:rsid w:val="0061146A"/>
    <w:rsid w:val="00611483"/>
    <w:rsid w:val="0061149C"/>
    <w:rsid w:val="006114C0"/>
    <w:rsid w:val="006117BE"/>
    <w:rsid w:val="0061182A"/>
    <w:rsid w:val="006118FB"/>
    <w:rsid w:val="006119C2"/>
    <w:rsid w:val="00611ABF"/>
    <w:rsid w:val="00611D7A"/>
    <w:rsid w:val="00611EB6"/>
    <w:rsid w:val="00612104"/>
    <w:rsid w:val="00612198"/>
    <w:rsid w:val="006121C0"/>
    <w:rsid w:val="0061243A"/>
    <w:rsid w:val="00612495"/>
    <w:rsid w:val="00612697"/>
    <w:rsid w:val="00612753"/>
    <w:rsid w:val="00612812"/>
    <w:rsid w:val="00612855"/>
    <w:rsid w:val="006129E0"/>
    <w:rsid w:val="00612A18"/>
    <w:rsid w:val="00612A74"/>
    <w:rsid w:val="00612F26"/>
    <w:rsid w:val="006130F2"/>
    <w:rsid w:val="00613317"/>
    <w:rsid w:val="0061359D"/>
    <w:rsid w:val="006135B6"/>
    <w:rsid w:val="006136D3"/>
    <w:rsid w:val="00613732"/>
    <w:rsid w:val="00613864"/>
    <w:rsid w:val="00613CAB"/>
    <w:rsid w:val="00613E23"/>
    <w:rsid w:val="006142C2"/>
    <w:rsid w:val="006142C7"/>
    <w:rsid w:val="0061458C"/>
    <w:rsid w:val="006146C5"/>
    <w:rsid w:val="00614804"/>
    <w:rsid w:val="00614884"/>
    <w:rsid w:val="006149DD"/>
    <w:rsid w:val="00614E36"/>
    <w:rsid w:val="00614F98"/>
    <w:rsid w:val="00614FF9"/>
    <w:rsid w:val="0061500F"/>
    <w:rsid w:val="0061530E"/>
    <w:rsid w:val="00615409"/>
    <w:rsid w:val="006156D9"/>
    <w:rsid w:val="0061571E"/>
    <w:rsid w:val="0061572C"/>
    <w:rsid w:val="00615845"/>
    <w:rsid w:val="006159B7"/>
    <w:rsid w:val="00615CEA"/>
    <w:rsid w:val="00615D21"/>
    <w:rsid w:val="00615E0D"/>
    <w:rsid w:val="0061642D"/>
    <w:rsid w:val="0061678B"/>
    <w:rsid w:val="00616926"/>
    <w:rsid w:val="00616AC2"/>
    <w:rsid w:val="00616E4D"/>
    <w:rsid w:val="0061700B"/>
    <w:rsid w:val="0061709C"/>
    <w:rsid w:val="0061725E"/>
    <w:rsid w:val="006173ED"/>
    <w:rsid w:val="0061741D"/>
    <w:rsid w:val="00617487"/>
    <w:rsid w:val="0061769A"/>
    <w:rsid w:val="0061787E"/>
    <w:rsid w:val="006179DC"/>
    <w:rsid w:val="00617A89"/>
    <w:rsid w:val="00617C49"/>
    <w:rsid w:val="00617C65"/>
    <w:rsid w:val="00617C78"/>
    <w:rsid w:val="00617CAA"/>
    <w:rsid w:val="00617CE0"/>
    <w:rsid w:val="00617EBE"/>
    <w:rsid w:val="006200EE"/>
    <w:rsid w:val="00620205"/>
    <w:rsid w:val="006204BC"/>
    <w:rsid w:val="00620551"/>
    <w:rsid w:val="00620794"/>
    <w:rsid w:val="006207B2"/>
    <w:rsid w:val="0062082C"/>
    <w:rsid w:val="00620872"/>
    <w:rsid w:val="006208A3"/>
    <w:rsid w:val="006208B6"/>
    <w:rsid w:val="00620B4E"/>
    <w:rsid w:val="00620C6B"/>
    <w:rsid w:val="00620CEA"/>
    <w:rsid w:val="00620E79"/>
    <w:rsid w:val="00620ECB"/>
    <w:rsid w:val="00620EEC"/>
    <w:rsid w:val="00621007"/>
    <w:rsid w:val="006210E1"/>
    <w:rsid w:val="006211B9"/>
    <w:rsid w:val="00621287"/>
    <w:rsid w:val="006214A7"/>
    <w:rsid w:val="006214E1"/>
    <w:rsid w:val="006214E8"/>
    <w:rsid w:val="00621647"/>
    <w:rsid w:val="00621D2E"/>
    <w:rsid w:val="00621DB4"/>
    <w:rsid w:val="00621FDC"/>
    <w:rsid w:val="006221F4"/>
    <w:rsid w:val="00622269"/>
    <w:rsid w:val="006222AF"/>
    <w:rsid w:val="006222D8"/>
    <w:rsid w:val="0062234C"/>
    <w:rsid w:val="00622603"/>
    <w:rsid w:val="0062265B"/>
    <w:rsid w:val="00622C36"/>
    <w:rsid w:val="00622DA5"/>
    <w:rsid w:val="00623226"/>
    <w:rsid w:val="006234FD"/>
    <w:rsid w:val="00623596"/>
    <w:rsid w:val="006235DF"/>
    <w:rsid w:val="00623662"/>
    <w:rsid w:val="006237A3"/>
    <w:rsid w:val="006239AD"/>
    <w:rsid w:val="00623BDE"/>
    <w:rsid w:val="00623C21"/>
    <w:rsid w:val="00623CD7"/>
    <w:rsid w:val="00623E02"/>
    <w:rsid w:val="00623F5B"/>
    <w:rsid w:val="00624173"/>
    <w:rsid w:val="006241FE"/>
    <w:rsid w:val="0062443D"/>
    <w:rsid w:val="0062459B"/>
    <w:rsid w:val="006247BA"/>
    <w:rsid w:val="00624979"/>
    <w:rsid w:val="00624AAB"/>
    <w:rsid w:val="00624BD4"/>
    <w:rsid w:val="00624C6F"/>
    <w:rsid w:val="00624D3D"/>
    <w:rsid w:val="00624F91"/>
    <w:rsid w:val="00625084"/>
    <w:rsid w:val="006250A0"/>
    <w:rsid w:val="00625499"/>
    <w:rsid w:val="00625877"/>
    <w:rsid w:val="006258CD"/>
    <w:rsid w:val="0062590C"/>
    <w:rsid w:val="00625A4D"/>
    <w:rsid w:val="00625ADB"/>
    <w:rsid w:val="00625BB5"/>
    <w:rsid w:val="00625F0C"/>
    <w:rsid w:val="00626194"/>
    <w:rsid w:val="00626543"/>
    <w:rsid w:val="006265C5"/>
    <w:rsid w:val="0062663B"/>
    <w:rsid w:val="0062670A"/>
    <w:rsid w:val="00626A4A"/>
    <w:rsid w:val="00626BEC"/>
    <w:rsid w:val="00626EA6"/>
    <w:rsid w:val="00626FBB"/>
    <w:rsid w:val="00627755"/>
    <w:rsid w:val="006279EB"/>
    <w:rsid w:val="00627ABC"/>
    <w:rsid w:val="00627B09"/>
    <w:rsid w:val="00627BEC"/>
    <w:rsid w:val="00627C81"/>
    <w:rsid w:val="00627CCE"/>
    <w:rsid w:val="00627D29"/>
    <w:rsid w:val="00627D93"/>
    <w:rsid w:val="00630105"/>
    <w:rsid w:val="0063018A"/>
    <w:rsid w:val="0063034C"/>
    <w:rsid w:val="00630520"/>
    <w:rsid w:val="0063080A"/>
    <w:rsid w:val="0063080C"/>
    <w:rsid w:val="00630DBB"/>
    <w:rsid w:val="00630DEE"/>
    <w:rsid w:val="00631274"/>
    <w:rsid w:val="006312D0"/>
    <w:rsid w:val="00631313"/>
    <w:rsid w:val="00631656"/>
    <w:rsid w:val="006317A7"/>
    <w:rsid w:val="00631A9E"/>
    <w:rsid w:val="00631B98"/>
    <w:rsid w:val="00631BE5"/>
    <w:rsid w:val="00631CD4"/>
    <w:rsid w:val="00631D68"/>
    <w:rsid w:val="00631DD8"/>
    <w:rsid w:val="006320A6"/>
    <w:rsid w:val="00632150"/>
    <w:rsid w:val="00632313"/>
    <w:rsid w:val="00632852"/>
    <w:rsid w:val="006329A1"/>
    <w:rsid w:val="006329FC"/>
    <w:rsid w:val="00632B1C"/>
    <w:rsid w:val="00632B73"/>
    <w:rsid w:val="00632D11"/>
    <w:rsid w:val="00632DFD"/>
    <w:rsid w:val="00632EEA"/>
    <w:rsid w:val="00633206"/>
    <w:rsid w:val="006334EC"/>
    <w:rsid w:val="006337EE"/>
    <w:rsid w:val="0063385E"/>
    <w:rsid w:val="0063398E"/>
    <w:rsid w:val="006339ED"/>
    <w:rsid w:val="00633AD8"/>
    <w:rsid w:val="00633DB9"/>
    <w:rsid w:val="00633EFC"/>
    <w:rsid w:val="006340BC"/>
    <w:rsid w:val="00634165"/>
    <w:rsid w:val="00634211"/>
    <w:rsid w:val="00634286"/>
    <w:rsid w:val="00634376"/>
    <w:rsid w:val="00634500"/>
    <w:rsid w:val="00634576"/>
    <w:rsid w:val="006345E9"/>
    <w:rsid w:val="0063471F"/>
    <w:rsid w:val="00634725"/>
    <w:rsid w:val="006347FE"/>
    <w:rsid w:val="00634AE6"/>
    <w:rsid w:val="00634B0A"/>
    <w:rsid w:val="00634B47"/>
    <w:rsid w:val="00634C70"/>
    <w:rsid w:val="00634D24"/>
    <w:rsid w:val="00634D5A"/>
    <w:rsid w:val="00634DB4"/>
    <w:rsid w:val="00634E17"/>
    <w:rsid w:val="006350CB"/>
    <w:rsid w:val="00635125"/>
    <w:rsid w:val="006353EE"/>
    <w:rsid w:val="0063559C"/>
    <w:rsid w:val="00635758"/>
    <w:rsid w:val="00635B42"/>
    <w:rsid w:val="00635C5B"/>
    <w:rsid w:val="00635CBE"/>
    <w:rsid w:val="00635D1E"/>
    <w:rsid w:val="00635DCA"/>
    <w:rsid w:val="00635E00"/>
    <w:rsid w:val="00635E06"/>
    <w:rsid w:val="00635ED5"/>
    <w:rsid w:val="00635FCB"/>
    <w:rsid w:val="0063611C"/>
    <w:rsid w:val="0063617E"/>
    <w:rsid w:val="00636394"/>
    <w:rsid w:val="0063647D"/>
    <w:rsid w:val="00636492"/>
    <w:rsid w:val="0063654D"/>
    <w:rsid w:val="006369E2"/>
    <w:rsid w:val="006369FB"/>
    <w:rsid w:val="00636A71"/>
    <w:rsid w:val="00636A97"/>
    <w:rsid w:val="00636B3E"/>
    <w:rsid w:val="00636F63"/>
    <w:rsid w:val="006373E5"/>
    <w:rsid w:val="0063752B"/>
    <w:rsid w:val="00637898"/>
    <w:rsid w:val="00637A4D"/>
    <w:rsid w:val="00637B08"/>
    <w:rsid w:val="00637C8A"/>
    <w:rsid w:val="00637D5A"/>
    <w:rsid w:val="00637D84"/>
    <w:rsid w:val="00637DFA"/>
    <w:rsid w:val="00637E79"/>
    <w:rsid w:val="00640114"/>
    <w:rsid w:val="0064018A"/>
    <w:rsid w:val="006401A8"/>
    <w:rsid w:val="0064033C"/>
    <w:rsid w:val="00640410"/>
    <w:rsid w:val="00640467"/>
    <w:rsid w:val="00640560"/>
    <w:rsid w:val="00640871"/>
    <w:rsid w:val="00640910"/>
    <w:rsid w:val="00640A61"/>
    <w:rsid w:val="00640F17"/>
    <w:rsid w:val="006410A9"/>
    <w:rsid w:val="00641464"/>
    <w:rsid w:val="006417B3"/>
    <w:rsid w:val="00641926"/>
    <w:rsid w:val="00641A80"/>
    <w:rsid w:val="00641B34"/>
    <w:rsid w:val="00641B45"/>
    <w:rsid w:val="00641C9A"/>
    <w:rsid w:val="00641CCD"/>
    <w:rsid w:val="00641EE9"/>
    <w:rsid w:val="00641F29"/>
    <w:rsid w:val="00642041"/>
    <w:rsid w:val="0064208D"/>
    <w:rsid w:val="0064242B"/>
    <w:rsid w:val="006424EB"/>
    <w:rsid w:val="00642667"/>
    <w:rsid w:val="00642730"/>
    <w:rsid w:val="006427F4"/>
    <w:rsid w:val="0064290A"/>
    <w:rsid w:val="00642A2F"/>
    <w:rsid w:val="00642ADD"/>
    <w:rsid w:val="00642C53"/>
    <w:rsid w:val="00642C5C"/>
    <w:rsid w:val="00642CDC"/>
    <w:rsid w:val="00642D9F"/>
    <w:rsid w:val="00642F3E"/>
    <w:rsid w:val="00643353"/>
    <w:rsid w:val="00643624"/>
    <w:rsid w:val="00643805"/>
    <w:rsid w:val="006438E7"/>
    <w:rsid w:val="00643974"/>
    <w:rsid w:val="00643ED1"/>
    <w:rsid w:val="00643EFD"/>
    <w:rsid w:val="00643F48"/>
    <w:rsid w:val="00643F7A"/>
    <w:rsid w:val="00644061"/>
    <w:rsid w:val="00644141"/>
    <w:rsid w:val="0064415B"/>
    <w:rsid w:val="0064436F"/>
    <w:rsid w:val="006443C8"/>
    <w:rsid w:val="006445F2"/>
    <w:rsid w:val="006448BD"/>
    <w:rsid w:val="00644A90"/>
    <w:rsid w:val="00644BC0"/>
    <w:rsid w:val="00644F48"/>
    <w:rsid w:val="0064507E"/>
    <w:rsid w:val="00645084"/>
    <w:rsid w:val="0064518C"/>
    <w:rsid w:val="0064531A"/>
    <w:rsid w:val="00645790"/>
    <w:rsid w:val="006457BF"/>
    <w:rsid w:val="00645809"/>
    <w:rsid w:val="00645951"/>
    <w:rsid w:val="00645FE7"/>
    <w:rsid w:val="00645FEA"/>
    <w:rsid w:val="0064621D"/>
    <w:rsid w:val="0064657C"/>
    <w:rsid w:val="0064698D"/>
    <w:rsid w:val="006469BF"/>
    <w:rsid w:val="00646AB0"/>
    <w:rsid w:val="00646B28"/>
    <w:rsid w:val="00646CB9"/>
    <w:rsid w:val="00646DD5"/>
    <w:rsid w:val="00647047"/>
    <w:rsid w:val="00647177"/>
    <w:rsid w:val="0064723E"/>
    <w:rsid w:val="0064727A"/>
    <w:rsid w:val="006472F4"/>
    <w:rsid w:val="0064770F"/>
    <w:rsid w:val="0064785A"/>
    <w:rsid w:val="00647D21"/>
    <w:rsid w:val="00647D55"/>
    <w:rsid w:val="00650021"/>
    <w:rsid w:val="006502F1"/>
    <w:rsid w:val="00650440"/>
    <w:rsid w:val="006507EA"/>
    <w:rsid w:val="006507EC"/>
    <w:rsid w:val="00650AF8"/>
    <w:rsid w:val="00650E60"/>
    <w:rsid w:val="00650F31"/>
    <w:rsid w:val="006510F3"/>
    <w:rsid w:val="00651460"/>
    <w:rsid w:val="00651607"/>
    <w:rsid w:val="006516ED"/>
    <w:rsid w:val="006518DA"/>
    <w:rsid w:val="00651C6C"/>
    <w:rsid w:val="00651CB9"/>
    <w:rsid w:val="00651CD7"/>
    <w:rsid w:val="00651D2A"/>
    <w:rsid w:val="00651D46"/>
    <w:rsid w:val="00651FF2"/>
    <w:rsid w:val="00652381"/>
    <w:rsid w:val="00652436"/>
    <w:rsid w:val="006524BB"/>
    <w:rsid w:val="00652581"/>
    <w:rsid w:val="0065263C"/>
    <w:rsid w:val="006526D9"/>
    <w:rsid w:val="006529DC"/>
    <w:rsid w:val="00652E13"/>
    <w:rsid w:val="00653020"/>
    <w:rsid w:val="0065302E"/>
    <w:rsid w:val="00653051"/>
    <w:rsid w:val="0065317F"/>
    <w:rsid w:val="00653613"/>
    <w:rsid w:val="006537D5"/>
    <w:rsid w:val="00653C69"/>
    <w:rsid w:val="00653DB6"/>
    <w:rsid w:val="00653FA1"/>
    <w:rsid w:val="00653FE6"/>
    <w:rsid w:val="00653FF4"/>
    <w:rsid w:val="0065401C"/>
    <w:rsid w:val="0065415C"/>
    <w:rsid w:val="006541E0"/>
    <w:rsid w:val="006541FC"/>
    <w:rsid w:val="0065421F"/>
    <w:rsid w:val="0065425F"/>
    <w:rsid w:val="0065438D"/>
    <w:rsid w:val="006543B8"/>
    <w:rsid w:val="006544C2"/>
    <w:rsid w:val="006544C7"/>
    <w:rsid w:val="00654648"/>
    <w:rsid w:val="006549C6"/>
    <w:rsid w:val="00654A8C"/>
    <w:rsid w:val="0065508A"/>
    <w:rsid w:val="0065514E"/>
    <w:rsid w:val="006552A5"/>
    <w:rsid w:val="00655484"/>
    <w:rsid w:val="00655782"/>
    <w:rsid w:val="00655AB6"/>
    <w:rsid w:val="00655B45"/>
    <w:rsid w:val="00656040"/>
    <w:rsid w:val="006560FC"/>
    <w:rsid w:val="0065610D"/>
    <w:rsid w:val="0065650B"/>
    <w:rsid w:val="006567B0"/>
    <w:rsid w:val="0065688E"/>
    <w:rsid w:val="00656F66"/>
    <w:rsid w:val="00656F8D"/>
    <w:rsid w:val="00657032"/>
    <w:rsid w:val="00657045"/>
    <w:rsid w:val="006571FB"/>
    <w:rsid w:val="006572A7"/>
    <w:rsid w:val="006573BA"/>
    <w:rsid w:val="00657676"/>
    <w:rsid w:val="006576F4"/>
    <w:rsid w:val="0065778A"/>
    <w:rsid w:val="0065788C"/>
    <w:rsid w:val="0065790F"/>
    <w:rsid w:val="0065792C"/>
    <w:rsid w:val="00657B3C"/>
    <w:rsid w:val="00657C40"/>
    <w:rsid w:val="00657EE0"/>
    <w:rsid w:val="00660064"/>
    <w:rsid w:val="006600ED"/>
    <w:rsid w:val="00660237"/>
    <w:rsid w:val="00660547"/>
    <w:rsid w:val="006607FC"/>
    <w:rsid w:val="00660BBE"/>
    <w:rsid w:val="00660CAD"/>
    <w:rsid w:val="00660CE8"/>
    <w:rsid w:val="00660CF4"/>
    <w:rsid w:val="00660D0E"/>
    <w:rsid w:val="00660D46"/>
    <w:rsid w:val="00660DA5"/>
    <w:rsid w:val="00660F77"/>
    <w:rsid w:val="006610E7"/>
    <w:rsid w:val="006611BB"/>
    <w:rsid w:val="00661269"/>
    <w:rsid w:val="006612FA"/>
    <w:rsid w:val="00661634"/>
    <w:rsid w:val="00661684"/>
    <w:rsid w:val="006617E0"/>
    <w:rsid w:val="00661B7C"/>
    <w:rsid w:val="00661C74"/>
    <w:rsid w:val="00661DDB"/>
    <w:rsid w:val="00661E6B"/>
    <w:rsid w:val="00661F6D"/>
    <w:rsid w:val="00662076"/>
    <w:rsid w:val="00662184"/>
    <w:rsid w:val="00662223"/>
    <w:rsid w:val="00662257"/>
    <w:rsid w:val="0066266E"/>
    <w:rsid w:val="006628A4"/>
    <w:rsid w:val="00662979"/>
    <w:rsid w:val="00662BE5"/>
    <w:rsid w:val="00662CC7"/>
    <w:rsid w:val="00662CDA"/>
    <w:rsid w:val="006630AC"/>
    <w:rsid w:val="00663121"/>
    <w:rsid w:val="00663210"/>
    <w:rsid w:val="006635C4"/>
    <w:rsid w:val="006636C6"/>
    <w:rsid w:val="00663A70"/>
    <w:rsid w:val="00663AEC"/>
    <w:rsid w:val="00663EE2"/>
    <w:rsid w:val="006640A8"/>
    <w:rsid w:val="0066413C"/>
    <w:rsid w:val="006641A5"/>
    <w:rsid w:val="006641B8"/>
    <w:rsid w:val="00664275"/>
    <w:rsid w:val="00664468"/>
    <w:rsid w:val="00664668"/>
    <w:rsid w:val="006646C3"/>
    <w:rsid w:val="00664917"/>
    <w:rsid w:val="00664A30"/>
    <w:rsid w:val="00664BC7"/>
    <w:rsid w:val="00664D5A"/>
    <w:rsid w:val="006650E5"/>
    <w:rsid w:val="006651BE"/>
    <w:rsid w:val="00665351"/>
    <w:rsid w:val="006654B9"/>
    <w:rsid w:val="0066588B"/>
    <w:rsid w:val="00665BB9"/>
    <w:rsid w:val="00665C5F"/>
    <w:rsid w:val="00665D8C"/>
    <w:rsid w:val="00665DEA"/>
    <w:rsid w:val="00665EB2"/>
    <w:rsid w:val="00665FB9"/>
    <w:rsid w:val="00666039"/>
    <w:rsid w:val="00666242"/>
    <w:rsid w:val="006662BB"/>
    <w:rsid w:val="006662E3"/>
    <w:rsid w:val="0066636B"/>
    <w:rsid w:val="006667CC"/>
    <w:rsid w:val="006667DD"/>
    <w:rsid w:val="006668F1"/>
    <w:rsid w:val="006669B4"/>
    <w:rsid w:val="00666A14"/>
    <w:rsid w:val="00666B6A"/>
    <w:rsid w:val="00666CA7"/>
    <w:rsid w:val="00667094"/>
    <w:rsid w:val="0066712A"/>
    <w:rsid w:val="006671E5"/>
    <w:rsid w:val="006671EA"/>
    <w:rsid w:val="00667254"/>
    <w:rsid w:val="006672E5"/>
    <w:rsid w:val="006672EB"/>
    <w:rsid w:val="00667377"/>
    <w:rsid w:val="0066776B"/>
    <w:rsid w:val="00667928"/>
    <w:rsid w:val="00667A44"/>
    <w:rsid w:val="00667AAD"/>
    <w:rsid w:val="00667B5D"/>
    <w:rsid w:val="00667C02"/>
    <w:rsid w:val="00667D1F"/>
    <w:rsid w:val="00667E7C"/>
    <w:rsid w:val="00667F62"/>
    <w:rsid w:val="0066C8B1"/>
    <w:rsid w:val="00670025"/>
    <w:rsid w:val="00670181"/>
    <w:rsid w:val="00670928"/>
    <w:rsid w:val="00670B14"/>
    <w:rsid w:val="00670B8D"/>
    <w:rsid w:val="00670C8B"/>
    <w:rsid w:val="00670F7F"/>
    <w:rsid w:val="00670FB0"/>
    <w:rsid w:val="00670FDA"/>
    <w:rsid w:val="00671216"/>
    <w:rsid w:val="0067158F"/>
    <w:rsid w:val="00671B1A"/>
    <w:rsid w:val="00671C21"/>
    <w:rsid w:val="00671F80"/>
    <w:rsid w:val="00672121"/>
    <w:rsid w:val="00672143"/>
    <w:rsid w:val="006721B9"/>
    <w:rsid w:val="00672292"/>
    <w:rsid w:val="00672618"/>
    <w:rsid w:val="00672623"/>
    <w:rsid w:val="006726A5"/>
    <w:rsid w:val="00672920"/>
    <w:rsid w:val="00672A42"/>
    <w:rsid w:val="00672B0F"/>
    <w:rsid w:val="00672CBE"/>
    <w:rsid w:val="00672D77"/>
    <w:rsid w:val="00672DBC"/>
    <w:rsid w:val="00672E04"/>
    <w:rsid w:val="00672E86"/>
    <w:rsid w:val="00673296"/>
    <w:rsid w:val="0067337D"/>
    <w:rsid w:val="006734C2"/>
    <w:rsid w:val="0067370B"/>
    <w:rsid w:val="0067380F"/>
    <w:rsid w:val="00673A76"/>
    <w:rsid w:val="00673AC6"/>
    <w:rsid w:val="00673B2F"/>
    <w:rsid w:val="00673B75"/>
    <w:rsid w:val="00673BF4"/>
    <w:rsid w:val="00673C73"/>
    <w:rsid w:val="00673CA8"/>
    <w:rsid w:val="00673EED"/>
    <w:rsid w:val="0067435E"/>
    <w:rsid w:val="00674388"/>
    <w:rsid w:val="0067438D"/>
    <w:rsid w:val="006745BD"/>
    <w:rsid w:val="006746FD"/>
    <w:rsid w:val="0067477A"/>
    <w:rsid w:val="00674AAF"/>
    <w:rsid w:val="00674DC2"/>
    <w:rsid w:val="0067514F"/>
    <w:rsid w:val="0067538F"/>
    <w:rsid w:val="0067541D"/>
    <w:rsid w:val="0067542B"/>
    <w:rsid w:val="006754BC"/>
    <w:rsid w:val="00675513"/>
    <w:rsid w:val="00675676"/>
    <w:rsid w:val="00675994"/>
    <w:rsid w:val="006759D2"/>
    <w:rsid w:val="00675A3F"/>
    <w:rsid w:val="00675B46"/>
    <w:rsid w:val="00675C87"/>
    <w:rsid w:val="00675CCF"/>
    <w:rsid w:val="00675D91"/>
    <w:rsid w:val="00675F7A"/>
    <w:rsid w:val="00675FEE"/>
    <w:rsid w:val="00676014"/>
    <w:rsid w:val="006761BC"/>
    <w:rsid w:val="00676205"/>
    <w:rsid w:val="00676347"/>
    <w:rsid w:val="006764DB"/>
    <w:rsid w:val="0067677E"/>
    <w:rsid w:val="00676786"/>
    <w:rsid w:val="00676969"/>
    <w:rsid w:val="00676B65"/>
    <w:rsid w:val="00676C06"/>
    <w:rsid w:val="00676FCB"/>
    <w:rsid w:val="006770F7"/>
    <w:rsid w:val="0067749A"/>
    <w:rsid w:val="0067765E"/>
    <w:rsid w:val="006779A0"/>
    <w:rsid w:val="00677B1F"/>
    <w:rsid w:val="00677D17"/>
    <w:rsid w:val="00677DC9"/>
    <w:rsid w:val="00677EE2"/>
    <w:rsid w:val="00677F06"/>
    <w:rsid w:val="00680087"/>
    <w:rsid w:val="0068009F"/>
    <w:rsid w:val="0068011C"/>
    <w:rsid w:val="006801BD"/>
    <w:rsid w:val="0068023B"/>
    <w:rsid w:val="00680618"/>
    <w:rsid w:val="00680948"/>
    <w:rsid w:val="00680995"/>
    <w:rsid w:val="00680BAD"/>
    <w:rsid w:val="00680BFA"/>
    <w:rsid w:val="00680C55"/>
    <w:rsid w:val="00680D95"/>
    <w:rsid w:val="00681195"/>
    <w:rsid w:val="006811F9"/>
    <w:rsid w:val="0068152E"/>
    <w:rsid w:val="006817E2"/>
    <w:rsid w:val="00681BFD"/>
    <w:rsid w:val="00681D7C"/>
    <w:rsid w:val="00681DAE"/>
    <w:rsid w:val="00681DC5"/>
    <w:rsid w:val="00681F05"/>
    <w:rsid w:val="00681FD5"/>
    <w:rsid w:val="0068214A"/>
    <w:rsid w:val="006821C2"/>
    <w:rsid w:val="006822A4"/>
    <w:rsid w:val="0068233B"/>
    <w:rsid w:val="00682522"/>
    <w:rsid w:val="006827A0"/>
    <w:rsid w:val="00682808"/>
    <w:rsid w:val="006829BC"/>
    <w:rsid w:val="00682BCE"/>
    <w:rsid w:val="00683258"/>
    <w:rsid w:val="006833FC"/>
    <w:rsid w:val="00683552"/>
    <w:rsid w:val="0068369D"/>
    <w:rsid w:val="0068372C"/>
    <w:rsid w:val="006839D3"/>
    <w:rsid w:val="00683AEB"/>
    <w:rsid w:val="00683AED"/>
    <w:rsid w:val="00683F0B"/>
    <w:rsid w:val="0068404F"/>
    <w:rsid w:val="00684082"/>
    <w:rsid w:val="006840DE"/>
    <w:rsid w:val="00684564"/>
    <w:rsid w:val="00684897"/>
    <w:rsid w:val="006848F5"/>
    <w:rsid w:val="00684B6E"/>
    <w:rsid w:val="00684C7C"/>
    <w:rsid w:val="006852B4"/>
    <w:rsid w:val="0068532F"/>
    <w:rsid w:val="00685374"/>
    <w:rsid w:val="006853B4"/>
    <w:rsid w:val="0068543D"/>
    <w:rsid w:val="00685647"/>
    <w:rsid w:val="0068587A"/>
    <w:rsid w:val="0068590D"/>
    <w:rsid w:val="00685999"/>
    <w:rsid w:val="00685A04"/>
    <w:rsid w:val="00685D03"/>
    <w:rsid w:val="00685D90"/>
    <w:rsid w:val="00686186"/>
    <w:rsid w:val="006863BB"/>
    <w:rsid w:val="00686409"/>
    <w:rsid w:val="00686435"/>
    <w:rsid w:val="006867C0"/>
    <w:rsid w:val="00686A5F"/>
    <w:rsid w:val="00686A78"/>
    <w:rsid w:val="006874D2"/>
    <w:rsid w:val="00687676"/>
    <w:rsid w:val="00687745"/>
    <w:rsid w:val="0068785D"/>
    <w:rsid w:val="006878BF"/>
    <w:rsid w:val="006879B7"/>
    <w:rsid w:val="006879F1"/>
    <w:rsid w:val="00687BA7"/>
    <w:rsid w:val="00687BFE"/>
    <w:rsid w:val="00687E09"/>
    <w:rsid w:val="00690282"/>
    <w:rsid w:val="006903DE"/>
    <w:rsid w:val="00690490"/>
    <w:rsid w:val="006906E7"/>
    <w:rsid w:val="006906F2"/>
    <w:rsid w:val="00690702"/>
    <w:rsid w:val="006907B3"/>
    <w:rsid w:val="006908DD"/>
    <w:rsid w:val="006909D8"/>
    <w:rsid w:val="00690B32"/>
    <w:rsid w:val="00690BBA"/>
    <w:rsid w:val="00690BEE"/>
    <w:rsid w:val="00690C42"/>
    <w:rsid w:val="00691010"/>
    <w:rsid w:val="006910C3"/>
    <w:rsid w:val="00691153"/>
    <w:rsid w:val="0069137C"/>
    <w:rsid w:val="006913AC"/>
    <w:rsid w:val="006914F0"/>
    <w:rsid w:val="006916E9"/>
    <w:rsid w:val="00691753"/>
    <w:rsid w:val="00691B8E"/>
    <w:rsid w:val="00691BDE"/>
    <w:rsid w:val="00691C1A"/>
    <w:rsid w:val="00691E31"/>
    <w:rsid w:val="00691E66"/>
    <w:rsid w:val="0069202C"/>
    <w:rsid w:val="006925A7"/>
    <w:rsid w:val="006926F1"/>
    <w:rsid w:val="006927EA"/>
    <w:rsid w:val="00692BBB"/>
    <w:rsid w:val="00692D15"/>
    <w:rsid w:val="00692D17"/>
    <w:rsid w:val="00692D86"/>
    <w:rsid w:val="00692E21"/>
    <w:rsid w:val="00692E30"/>
    <w:rsid w:val="00692EA7"/>
    <w:rsid w:val="00692EF6"/>
    <w:rsid w:val="0069324F"/>
    <w:rsid w:val="006932B7"/>
    <w:rsid w:val="006934E5"/>
    <w:rsid w:val="0069353B"/>
    <w:rsid w:val="0069354C"/>
    <w:rsid w:val="00693649"/>
    <w:rsid w:val="006937D4"/>
    <w:rsid w:val="006938E3"/>
    <w:rsid w:val="00693A77"/>
    <w:rsid w:val="00693AD7"/>
    <w:rsid w:val="00693F92"/>
    <w:rsid w:val="006943E2"/>
    <w:rsid w:val="006944F4"/>
    <w:rsid w:val="0069481A"/>
    <w:rsid w:val="006948A1"/>
    <w:rsid w:val="0069492D"/>
    <w:rsid w:val="006949EC"/>
    <w:rsid w:val="00694ACF"/>
    <w:rsid w:val="00694B21"/>
    <w:rsid w:val="00694B23"/>
    <w:rsid w:val="00694C6C"/>
    <w:rsid w:val="00694CD2"/>
    <w:rsid w:val="00694D9C"/>
    <w:rsid w:val="00694F07"/>
    <w:rsid w:val="00694F2E"/>
    <w:rsid w:val="0069508C"/>
    <w:rsid w:val="00695201"/>
    <w:rsid w:val="00695403"/>
    <w:rsid w:val="00695432"/>
    <w:rsid w:val="006954C3"/>
    <w:rsid w:val="006956CA"/>
    <w:rsid w:val="00695763"/>
    <w:rsid w:val="00695941"/>
    <w:rsid w:val="00695D7C"/>
    <w:rsid w:val="00695DB3"/>
    <w:rsid w:val="0069608E"/>
    <w:rsid w:val="006960BC"/>
    <w:rsid w:val="006960BE"/>
    <w:rsid w:val="00696146"/>
    <w:rsid w:val="00696305"/>
    <w:rsid w:val="006963A7"/>
    <w:rsid w:val="006965E5"/>
    <w:rsid w:val="006965FB"/>
    <w:rsid w:val="006966E3"/>
    <w:rsid w:val="00696ADF"/>
    <w:rsid w:val="00696B1F"/>
    <w:rsid w:val="00696C1D"/>
    <w:rsid w:val="00696E66"/>
    <w:rsid w:val="006970FB"/>
    <w:rsid w:val="00697134"/>
    <w:rsid w:val="0069718F"/>
    <w:rsid w:val="006972B8"/>
    <w:rsid w:val="0069732E"/>
    <w:rsid w:val="0069741C"/>
    <w:rsid w:val="006974B8"/>
    <w:rsid w:val="00697596"/>
    <w:rsid w:val="00697652"/>
    <w:rsid w:val="00697BDD"/>
    <w:rsid w:val="00697D3E"/>
    <w:rsid w:val="00697E6B"/>
    <w:rsid w:val="006A0019"/>
    <w:rsid w:val="006A00D1"/>
    <w:rsid w:val="006A0201"/>
    <w:rsid w:val="006A034E"/>
    <w:rsid w:val="006A03CC"/>
    <w:rsid w:val="006A0468"/>
    <w:rsid w:val="006A04D0"/>
    <w:rsid w:val="006A04F3"/>
    <w:rsid w:val="006A061B"/>
    <w:rsid w:val="006A06D8"/>
    <w:rsid w:val="006A07D3"/>
    <w:rsid w:val="006A0E7F"/>
    <w:rsid w:val="006A10C9"/>
    <w:rsid w:val="006A134E"/>
    <w:rsid w:val="006A13AE"/>
    <w:rsid w:val="006A13D3"/>
    <w:rsid w:val="006A147D"/>
    <w:rsid w:val="006A149C"/>
    <w:rsid w:val="006A17DF"/>
    <w:rsid w:val="006A1BB5"/>
    <w:rsid w:val="006A2060"/>
    <w:rsid w:val="006A20BC"/>
    <w:rsid w:val="006A21EC"/>
    <w:rsid w:val="006A2311"/>
    <w:rsid w:val="006A253A"/>
    <w:rsid w:val="006A2779"/>
    <w:rsid w:val="006A2983"/>
    <w:rsid w:val="006A2B49"/>
    <w:rsid w:val="006A2BCB"/>
    <w:rsid w:val="006A2C6E"/>
    <w:rsid w:val="006A2CA7"/>
    <w:rsid w:val="006A2D2D"/>
    <w:rsid w:val="006A2FFB"/>
    <w:rsid w:val="006A3113"/>
    <w:rsid w:val="006A32FC"/>
    <w:rsid w:val="006A333B"/>
    <w:rsid w:val="006A3389"/>
    <w:rsid w:val="006A346E"/>
    <w:rsid w:val="006A3613"/>
    <w:rsid w:val="006A378A"/>
    <w:rsid w:val="006A38A4"/>
    <w:rsid w:val="006A3CE4"/>
    <w:rsid w:val="006A4171"/>
    <w:rsid w:val="006A4202"/>
    <w:rsid w:val="006A4B47"/>
    <w:rsid w:val="006A4B97"/>
    <w:rsid w:val="006A4C60"/>
    <w:rsid w:val="006A4CCD"/>
    <w:rsid w:val="006A4D43"/>
    <w:rsid w:val="006A4D5A"/>
    <w:rsid w:val="006A4F3A"/>
    <w:rsid w:val="006A517A"/>
    <w:rsid w:val="006A51E6"/>
    <w:rsid w:val="006A5264"/>
    <w:rsid w:val="006A533D"/>
    <w:rsid w:val="006A536D"/>
    <w:rsid w:val="006A5811"/>
    <w:rsid w:val="006A588A"/>
    <w:rsid w:val="006A5B07"/>
    <w:rsid w:val="006A5D55"/>
    <w:rsid w:val="006A6557"/>
    <w:rsid w:val="006A66D3"/>
    <w:rsid w:val="006A6ADE"/>
    <w:rsid w:val="006A6B3C"/>
    <w:rsid w:val="006A6B60"/>
    <w:rsid w:val="006A6CE6"/>
    <w:rsid w:val="006A6D94"/>
    <w:rsid w:val="006A707C"/>
    <w:rsid w:val="006A7221"/>
    <w:rsid w:val="006A727B"/>
    <w:rsid w:val="006A73CD"/>
    <w:rsid w:val="006A7538"/>
    <w:rsid w:val="006A7539"/>
    <w:rsid w:val="006A7716"/>
    <w:rsid w:val="006A791C"/>
    <w:rsid w:val="006A7947"/>
    <w:rsid w:val="006A79BF"/>
    <w:rsid w:val="006A7B00"/>
    <w:rsid w:val="006A7C20"/>
    <w:rsid w:val="006B0085"/>
    <w:rsid w:val="006B06A3"/>
    <w:rsid w:val="006B06D9"/>
    <w:rsid w:val="006B084A"/>
    <w:rsid w:val="006B0957"/>
    <w:rsid w:val="006B09A6"/>
    <w:rsid w:val="006B0B7E"/>
    <w:rsid w:val="006B0C0D"/>
    <w:rsid w:val="006B10DD"/>
    <w:rsid w:val="006B11CB"/>
    <w:rsid w:val="006B127A"/>
    <w:rsid w:val="006B180C"/>
    <w:rsid w:val="006B195C"/>
    <w:rsid w:val="006B1F96"/>
    <w:rsid w:val="006B1FD5"/>
    <w:rsid w:val="006B2047"/>
    <w:rsid w:val="006B2080"/>
    <w:rsid w:val="006B2153"/>
    <w:rsid w:val="006B2202"/>
    <w:rsid w:val="006B220D"/>
    <w:rsid w:val="006B2370"/>
    <w:rsid w:val="006B249B"/>
    <w:rsid w:val="006B2712"/>
    <w:rsid w:val="006B27E1"/>
    <w:rsid w:val="006B2988"/>
    <w:rsid w:val="006B29C2"/>
    <w:rsid w:val="006B2AC4"/>
    <w:rsid w:val="006B2C8D"/>
    <w:rsid w:val="006B2C92"/>
    <w:rsid w:val="006B30D8"/>
    <w:rsid w:val="006B30F6"/>
    <w:rsid w:val="006B3782"/>
    <w:rsid w:val="006B37A6"/>
    <w:rsid w:val="006B38DA"/>
    <w:rsid w:val="006B38FC"/>
    <w:rsid w:val="006B3A24"/>
    <w:rsid w:val="006B3AED"/>
    <w:rsid w:val="006B3BCC"/>
    <w:rsid w:val="006B3D20"/>
    <w:rsid w:val="006B3D64"/>
    <w:rsid w:val="006B3EB5"/>
    <w:rsid w:val="006B41A4"/>
    <w:rsid w:val="006B475D"/>
    <w:rsid w:val="006B489C"/>
    <w:rsid w:val="006B497B"/>
    <w:rsid w:val="006B4B40"/>
    <w:rsid w:val="006B4C0C"/>
    <w:rsid w:val="006B4D0C"/>
    <w:rsid w:val="006B4D18"/>
    <w:rsid w:val="006B4F49"/>
    <w:rsid w:val="006B5006"/>
    <w:rsid w:val="006B501E"/>
    <w:rsid w:val="006B51FE"/>
    <w:rsid w:val="006B5437"/>
    <w:rsid w:val="006B5472"/>
    <w:rsid w:val="006B557D"/>
    <w:rsid w:val="006B558D"/>
    <w:rsid w:val="006B5610"/>
    <w:rsid w:val="006B5780"/>
    <w:rsid w:val="006B5D35"/>
    <w:rsid w:val="006B5D9B"/>
    <w:rsid w:val="006B5DD1"/>
    <w:rsid w:val="006B5E98"/>
    <w:rsid w:val="006B5F0E"/>
    <w:rsid w:val="006B611E"/>
    <w:rsid w:val="006B61D0"/>
    <w:rsid w:val="006B61DE"/>
    <w:rsid w:val="006B62A3"/>
    <w:rsid w:val="006B63A2"/>
    <w:rsid w:val="006B6747"/>
    <w:rsid w:val="006B68DD"/>
    <w:rsid w:val="006B6A13"/>
    <w:rsid w:val="006B6A40"/>
    <w:rsid w:val="006B6C3F"/>
    <w:rsid w:val="006B6D53"/>
    <w:rsid w:val="006B6ECB"/>
    <w:rsid w:val="006B7114"/>
    <w:rsid w:val="006B7171"/>
    <w:rsid w:val="006B71EC"/>
    <w:rsid w:val="006B72D1"/>
    <w:rsid w:val="006B749B"/>
    <w:rsid w:val="006B750A"/>
    <w:rsid w:val="006B7937"/>
    <w:rsid w:val="006B7964"/>
    <w:rsid w:val="006B7A71"/>
    <w:rsid w:val="006B7C62"/>
    <w:rsid w:val="006B7D14"/>
    <w:rsid w:val="006B7E59"/>
    <w:rsid w:val="006B7F19"/>
    <w:rsid w:val="006C0021"/>
    <w:rsid w:val="006C00AF"/>
    <w:rsid w:val="006C027A"/>
    <w:rsid w:val="006C059E"/>
    <w:rsid w:val="006C0658"/>
    <w:rsid w:val="006C07B3"/>
    <w:rsid w:val="006C0C6F"/>
    <w:rsid w:val="006C0D65"/>
    <w:rsid w:val="006C106F"/>
    <w:rsid w:val="006C1117"/>
    <w:rsid w:val="006C1340"/>
    <w:rsid w:val="006C1569"/>
    <w:rsid w:val="006C15E7"/>
    <w:rsid w:val="006C16AE"/>
    <w:rsid w:val="006C1C0E"/>
    <w:rsid w:val="006C1CA3"/>
    <w:rsid w:val="006C1ED2"/>
    <w:rsid w:val="006C1F04"/>
    <w:rsid w:val="006C1F7A"/>
    <w:rsid w:val="006C2038"/>
    <w:rsid w:val="006C205E"/>
    <w:rsid w:val="006C20B3"/>
    <w:rsid w:val="006C2141"/>
    <w:rsid w:val="006C21F3"/>
    <w:rsid w:val="006C2495"/>
    <w:rsid w:val="006C2601"/>
    <w:rsid w:val="006C2622"/>
    <w:rsid w:val="006C2633"/>
    <w:rsid w:val="006C26A0"/>
    <w:rsid w:val="006C28DB"/>
    <w:rsid w:val="006C295B"/>
    <w:rsid w:val="006C29B7"/>
    <w:rsid w:val="006C2A0E"/>
    <w:rsid w:val="006C2A16"/>
    <w:rsid w:val="006C2D84"/>
    <w:rsid w:val="006C2E71"/>
    <w:rsid w:val="006C2EF0"/>
    <w:rsid w:val="006C2F41"/>
    <w:rsid w:val="006C2F5F"/>
    <w:rsid w:val="006C3140"/>
    <w:rsid w:val="006C318D"/>
    <w:rsid w:val="006C33D2"/>
    <w:rsid w:val="006C3463"/>
    <w:rsid w:val="006C34F0"/>
    <w:rsid w:val="006C3541"/>
    <w:rsid w:val="006C35CC"/>
    <w:rsid w:val="006C372F"/>
    <w:rsid w:val="006C37B2"/>
    <w:rsid w:val="006C37E0"/>
    <w:rsid w:val="006C3891"/>
    <w:rsid w:val="006C3AF1"/>
    <w:rsid w:val="006C3C66"/>
    <w:rsid w:val="006C3F9B"/>
    <w:rsid w:val="006C3FE3"/>
    <w:rsid w:val="006C40F8"/>
    <w:rsid w:val="006C4310"/>
    <w:rsid w:val="006C47BA"/>
    <w:rsid w:val="006C4B0B"/>
    <w:rsid w:val="006C4B74"/>
    <w:rsid w:val="006C4CAE"/>
    <w:rsid w:val="006C4D3C"/>
    <w:rsid w:val="006C4FF9"/>
    <w:rsid w:val="006C5032"/>
    <w:rsid w:val="006C505E"/>
    <w:rsid w:val="006C50B1"/>
    <w:rsid w:val="006C51C6"/>
    <w:rsid w:val="006C5241"/>
    <w:rsid w:val="006C542D"/>
    <w:rsid w:val="006C54AA"/>
    <w:rsid w:val="006C557C"/>
    <w:rsid w:val="006C5788"/>
    <w:rsid w:val="006C5810"/>
    <w:rsid w:val="006C5992"/>
    <w:rsid w:val="006C59CB"/>
    <w:rsid w:val="006C5CB6"/>
    <w:rsid w:val="006C5D09"/>
    <w:rsid w:val="006C5DFD"/>
    <w:rsid w:val="006C5E73"/>
    <w:rsid w:val="006C5FD0"/>
    <w:rsid w:val="006C6046"/>
    <w:rsid w:val="006C644D"/>
    <w:rsid w:val="006C64DC"/>
    <w:rsid w:val="006C664C"/>
    <w:rsid w:val="006C66DA"/>
    <w:rsid w:val="006C67A6"/>
    <w:rsid w:val="006C67C9"/>
    <w:rsid w:val="006C69DD"/>
    <w:rsid w:val="006C6BBE"/>
    <w:rsid w:val="006C6BD1"/>
    <w:rsid w:val="006C6CB5"/>
    <w:rsid w:val="006C6E69"/>
    <w:rsid w:val="006C7026"/>
    <w:rsid w:val="006C71C2"/>
    <w:rsid w:val="006C733E"/>
    <w:rsid w:val="006C7762"/>
    <w:rsid w:val="006C799E"/>
    <w:rsid w:val="006D00C0"/>
    <w:rsid w:val="006D0228"/>
    <w:rsid w:val="006D02C5"/>
    <w:rsid w:val="006D0396"/>
    <w:rsid w:val="006D03B1"/>
    <w:rsid w:val="006D046E"/>
    <w:rsid w:val="006D04B4"/>
    <w:rsid w:val="006D05BC"/>
    <w:rsid w:val="006D0845"/>
    <w:rsid w:val="006D08BB"/>
    <w:rsid w:val="006D09EF"/>
    <w:rsid w:val="006D0BD8"/>
    <w:rsid w:val="006D0BF7"/>
    <w:rsid w:val="006D0D1F"/>
    <w:rsid w:val="006D0F2B"/>
    <w:rsid w:val="006D0F9A"/>
    <w:rsid w:val="006D103B"/>
    <w:rsid w:val="006D1227"/>
    <w:rsid w:val="006D1527"/>
    <w:rsid w:val="006D1BAA"/>
    <w:rsid w:val="006D1E79"/>
    <w:rsid w:val="006D2024"/>
    <w:rsid w:val="006D2034"/>
    <w:rsid w:val="006D2073"/>
    <w:rsid w:val="006D22C9"/>
    <w:rsid w:val="006D24C6"/>
    <w:rsid w:val="006D2598"/>
    <w:rsid w:val="006D26B2"/>
    <w:rsid w:val="006D27AE"/>
    <w:rsid w:val="006D3076"/>
    <w:rsid w:val="006D3187"/>
    <w:rsid w:val="006D3197"/>
    <w:rsid w:val="006D3203"/>
    <w:rsid w:val="006D32C7"/>
    <w:rsid w:val="006D33AE"/>
    <w:rsid w:val="006D34BF"/>
    <w:rsid w:val="006D3561"/>
    <w:rsid w:val="006D3779"/>
    <w:rsid w:val="006D37D4"/>
    <w:rsid w:val="006D37F8"/>
    <w:rsid w:val="006D383F"/>
    <w:rsid w:val="006D3D70"/>
    <w:rsid w:val="006D3DCA"/>
    <w:rsid w:val="006D3E33"/>
    <w:rsid w:val="006D4296"/>
    <w:rsid w:val="006D44AA"/>
    <w:rsid w:val="006D46B3"/>
    <w:rsid w:val="006D4772"/>
    <w:rsid w:val="006D484B"/>
    <w:rsid w:val="006D4B7F"/>
    <w:rsid w:val="006D4C87"/>
    <w:rsid w:val="006D4D94"/>
    <w:rsid w:val="006D51F5"/>
    <w:rsid w:val="006D5381"/>
    <w:rsid w:val="006D5616"/>
    <w:rsid w:val="006D5681"/>
    <w:rsid w:val="006D594B"/>
    <w:rsid w:val="006D5967"/>
    <w:rsid w:val="006D5972"/>
    <w:rsid w:val="006D5A37"/>
    <w:rsid w:val="006D5AE6"/>
    <w:rsid w:val="006D5B50"/>
    <w:rsid w:val="006D5BE8"/>
    <w:rsid w:val="006D5D76"/>
    <w:rsid w:val="006D5DD1"/>
    <w:rsid w:val="006D5FA2"/>
    <w:rsid w:val="006D608F"/>
    <w:rsid w:val="006D6177"/>
    <w:rsid w:val="006D61D2"/>
    <w:rsid w:val="006D62FF"/>
    <w:rsid w:val="006D63CF"/>
    <w:rsid w:val="006D6462"/>
    <w:rsid w:val="006D64EE"/>
    <w:rsid w:val="006D66AC"/>
    <w:rsid w:val="006D680F"/>
    <w:rsid w:val="006D6AEE"/>
    <w:rsid w:val="006D6B8C"/>
    <w:rsid w:val="006D6BB2"/>
    <w:rsid w:val="006D6C6E"/>
    <w:rsid w:val="006D6D63"/>
    <w:rsid w:val="006D6D8B"/>
    <w:rsid w:val="006D6E4A"/>
    <w:rsid w:val="006D6F94"/>
    <w:rsid w:val="006D7237"/>
    <w:rsid w:val="006D7331"/>
    <w:rsid w:val="006D75AA"/>
    <w:rsid w:val="006D7719"/>
    <w:rsid w:val="006D779E"/>
    <w:rsid w:val="006D780D"/>
    <w:rsid w:val="006D78E7"/>
    <w:rsid w:val="006D79BD"/>
    <w:rsid w:val="006D7A77"/>
    <w:rsid w:val="006D7B50"/>
    <w:rsid w:val="006D7E39"/>
    <w:rsid w:val="006D7FB2"/>
    <w:rsid w:val="006E021A"/>
    <w:rsid w:val="006E0354"/>
    <w:rsid w:val="006E041B"/>
    <w:rsid w:val="006E0451"/>
    <w:rsid w:val="006E0461"/>
    <w:rsid w:val="006E04F3"/>
    <w:rsid w:val="006E0717"/>
    <w:rsid w:val="006E0943"/>
    <w:rsid w:val="006E09D9"/>
    <w:rsid w:val="006E0C72"/>
    <w:rsid w:val="006E0CF3"/>
    <w:rsid w:val="006E0D0E"/>
    <w:rsid w:val="006E0DC0"/>
    <w:rsid w:val="006E0F23"/>
    <w:rsid w:val="006E1094"/>
    <w:rsid w:val="006E11AE"/>
    <w:rsid w:val="006E11FF"/>
    <w:rsid w:val="006E1444"/>
    <w:rsid w:val="006E14AD"/>
    <w:rsid w:val="006E14BD"/>
    <w:rsid w:val="006E1845"/>
    <w:rsid w:val="006E18F0"/>
    <w:rsid w:val="006E1985"/>
    <w:rsid w:val="006E19B1"/>
    <w:rsid w:val="006E1CE9"/>
    <w:rsid w:val="006E1CF4"/>
    <w:rsid w:val="006E1E15"/>
    <w:rsid w:val="006E1F4A"/>
    <w:rsid w:val="006E1FC8"/>
    <w:rsid w:val="006E1FE8"/>
    <w:rsid w:val="006E223B"/>
    <w:rsid w:val="006E23AA"/>
    <w:rsid w:val="006E25B9"/>
    <w:rsid w:val="006E2619"/>
    <w:rsid w:val="006E2891"/>
    <w:rsid w:val="006E2925"/>
    <w:rsid w:val="006E2999"/>
    <w:rsid w:val="006E2AEB"/>
    <w:rsid w:val="006E2D24"/>
    <w:rsid w:val="006E2E8F"/>
    <w:rsid w:val="006E30F6"/>
    <w:rsid w:val="006E32D2"/>
    <w:rsid w:val="006E3B5F"/>
    <w:rsid w:val="006E3BA2"/>
    <w:rsid w:val="006E3C9E"/>
    <w:rsid w:val="006E3CB3"/>
    <w:rsid w:val="006E3D43"/>
    <w:rsid w:val="006E4088"/>
    <w:rsid w:val="006E416D"/>
    <w:rsid w:val="006E41DD"/>
    <w:rsid w:val="006E44C9"/>
    <w:rsid w:val="006E47E0"/>
    <w:rsid w:val="006E4983"/>
    <w:rsid w:val="006E4A6C"/>
    <w:rsid w:val="006E4A6D"/>
    <w:rsid w:val="006E4AA3"/>
    <w:rsid w:val="006E4AC3"/>
    <w:rsid w:val="006E4B57"/>
    <w:rsid w:val="006E4E47"/>
    <w:rsid w:val="006E4EC6"/>
    <w:rsid w:val="006E4EF4"/>
    <w:rsid w:val="006E5297"/>
    <w:rsid w:val="006E52AE"/>
    <w:rsid w:val="006E52FE"/>
    <w:rsid w:val="006E53CC"/>
    <w:rsid w:val="006E55B9"/>
    <w:rsid w:val="006E561A"/>
    <w:rsid w:val="006E5641"/>
    <w:rsid w:val="006E572A"/>
    <w:rsid w:val="006E575B"/>
    <w:rsid w:val="006E5A4D"/>
    <w:rsid w:val="006E5B18"/>
    <w:rsid w:val="006E5CA6"/>
    <w:rsid w:val="006E5E6D"/>
    <w:rsid w:val="006E5FA6"/>
    <w:rsid w:val="006E5FCC"/>
    <w:rsid w:val="006E6478"/>
    <w:rsid w:val="006E652F"/>
    <w:rsid w:val="006E65F5"/>
    <w:rsid w:val="006E6691"/>
    <w:rsid w:val="006E66B4"/>
    <w:rsid w:val="006E66D8"/>
    <w:rsid w:val="006E66D9"/>
    <w:rsid w:val="006E68EB"/>
    <w:rsid w:val="006E6CFF"/>
    <w:rsid w:val="006E73D3"/>
    <w:rsid w:val="006E74B2"/>
    <w:rsid w:val="006E7502"/>
    <w:rsid w:val="006E788B"/>
    <w:rsid w:val="006E7B57"/>
    <w:rsid w:val="006E7D81"/>
    <w:rsid w:val="006E7DEF"/>
    <w:rsid w:val="006E7E28"/>
    <w:rsid w:val="006E7EF9"/>
    <w:rsid w:val="006E7F83"/>
    <w:rsid w:val="006F0101"/>
    <w:rsid w:val="006F020B"/>
    <w:rsid w:val="006F0321"/>
    <w:rsid w:val="006F03D1"/>
    <w:rsid w:val="006F0421"/>
    <w:rsid w:val="006F05CD"/>
    <w:rsid w:val="006F087E"/>
    <w:rsid w:val="006F0D44"/>
    <w:rsid w:val="006F0F00"/>
    <w:rsid w:val="006F1146"/>
    <w:rsid w:val="006F11DB"/>
    <w:rsid w:val="006F124A"/>
    <w:rsid w:val="006F138E"/>
    <w:rsid w:val="006F1408"/>
    <w:rsid w:val="006F1510"/>
    <w:rsid w:val="006F153E"/>
    <w:rsid w:val="006F15BB"/>
    <w:rsid w:val="006F15C1"/>
    <w:rsid w:val="006F1662"/>
    <w:rsid w:val="006F193F"/>
    <w:rsid w:val="006F1C33"/>
    <w:rsid w:val="006F214B"/>
    <w:rsid w:val="006F219D"/>
    <w:rsid w:val="006F22BC"/>
    <w:rsid w:val="006F22CE"/>
    <w:rsid w:val="006F22DE"/>
    <w:rsid w:val="006F2637"/>
    <w:rsid w:val="006F28BA"/>
    <w:rsid w:val="006F2906"/>
    <w:rsid w:val="006F2AA6"/>
    <w:rsid w:val="006F2D1C"/>
    <w:rsid w:val="006F2FA8"/>
    <w:rsid w:val="006F331B"/>
    <w:rsid w:val="006F3B8C"/>
    <w:rsid w:val="006F3C01"/>
    <w:rsid w:val="006F3D09"/>
    <w:rsid w:val="006F3D7F"/>
    <w:rsid w:val="006F4080"/>
    <w:rsid w:val="006F42B9"/>
    <w:rsid w:val="006F4994"/>
    <w:rsid w:val="006F4A2E"/>
    <w:rsid w:val="006F4DE0"/>
    <w:rsid w:val="006F56C5"/>
    <w:rsid w:val="006F5715"/>
    <w:rsid w:val="006F578D"/>
    <w:rsid w:val="006F580E"/>
    <w:rsid w:val="006F594D"/>
    <w:rsid w:val="006F59F1"/>
    <w:rsid w:val="006F5A3F"/>
    <w:rsid w:val="006F5A4C"/>
    <w:rsid w:val="006F5B7A"/>
    <w:rsid w:val="006F5BAB"/>
    <w:rsid w:val="006F5BE3"/>
    <w:rsid w:val="006F5C25"/>
    <w:rsid w:val="006F5D55"/>
    <w:rsid w:val="006F5F8A"/>
    <w:rsid w:val="006F6099"/>
    <w:rsid w:val="006F6157"/>
    <w:rsid w:val="006F6306"/>
    <w:rsid w:val="006F6351"/>
    <w:rsid w:val="006F639A"/>
    <w:rsid w:val="006F6595"/>
    <w:rsid w:val="006F65B1"/>
    <w:rsid w:val="006F6958"/>
    <w:rsid w:val="006F69ED"/>
    <w:rsid w:val="006F6A1C"/>
    <w:rsid w:val="006F6B9A"/>
    <w:rsid w:val="006F6D42"/>
    <w:rsid w:val="006F6E2C"/>
    <w:rsid w:val="006F6E48"/>
    <w:rsid w:val="006F706A"/>
    <w:rsid w:val="006F727F"/>
    <w:rsid w:val="006F7294"/>
    <w:rsid w:val="006F7302"/>
    <w:rsid w:val="006F7375"/>
    <w:rsid w:val="006F770D"/>
    <w:rsid w:val="006F7782"/>
    <w:rsid w:val="006F77A9"/>
    <w:rsid w:val="006F77C5"/>
    <w:rsid w:val="006F78E5"/>
    <w:rsid w:val="006F7A00"/>
    <w:rsid w:val="006F7BA4"/>
    <w:rsid w:val="006F7C21"/>
    <w:rsid w:val="006F7F94"/>
    <w:rsid w:val="007000CC"/>
    <w:rsid w:val="00700176"/>
    <w:rsid w:val="0070060C"/>
    <w:rsid w:val="00700648"/>
    <w:rsid w:val="007006B2"/>
    <w:rsid w:val="007006E7"/>
    <w:rsid w:val="0070075B"/>
    <w:rsid w:val="007007DD"/>
    <w:rsid w:val="007008B5"/>
    <w:rsid w:val="0070094B"/>
    <w:rsid w:val="007009F7"/>
    <w:rsid w:val="00700A82"/>
    <w:rsid w:val="00700AA0"/>
    <w:rsid w:val="00700CFB"/>
    <w:rsid w:val="00700E30"/>
    <w:rsid w:val="00700E61"/>
    <w:rsid w:val="00700F3E"/>
    <w:rsid w:val="00701016"/>
    <w:rsid w:val="00701103"/>
    <w:rsid w:val="00701535"/>
    <w:rsid w:val="00701559"/>
    <w:rsid w:val="00701660"/>
    <w:rsid w:val="007016B0"/>
    <w:rsid w:val="007016DC"/>
    <w:rsid w:val="00701A86"/>
    <w:rsid w:val="00701B36"/>
    <w:rsid w:val="00701EE8"/>
    <w:rsid w:val="0070211F"/>
    <w:rsid w:val="00702372"/>
    <w:rsid w:val="007023D0"/>
    <w:rsid w:val="007023EA"/>
    <w:rsid w:val="00702527"/>
    <w:rsid w:val="0070269A"/>
    <w:rsid w:val="007028F4"/>
    <w:rsid w:val="00702D52"/>
    <w:rsid w:val="00702D69"/>
    <w:rsid w:val="00702DF3"/>
    <w:rsid w:val="00702E4C"/>
    <w:rsid w:val="00702F5E"/>
    <w:rsid w:val="00702FD8"/>
    <w:rsid w:val="00703123"/>
    <w:rsid w:val="00703169"/>
    <w:rsid w:val="0070320A"/>
    <w:rsid w:val="007032A7"/>
    <w:rsid w:val="00703301"/>
    <w:rsid w:val="00703309"/>
    <w:rsid w:val="007033AB"/>
    <w:rsid w:val="007034A8"/>
    <w:rsid w:val="0070351C"/>
    <w:rsid w:val="007035C3"/>
    <w:rsid w:val="007035E7"/>
    <w:rsid w:val="00703B67"/>
    <w:rsid w:val="00703CC8"/>
    <w:rsid w:val="00703E78"/>
    <w:rsid w:val="00703FA2"/>
    <w:rsid w:val="007045AE"/>
    <w:rsid w:val="007047DF"/>
    <w:rsid w:val="007048FE"/>
    <w:rsid w:val="00704A84"/>
    <w:rsid w:val="00704E89"/>
    <w:rsid w:val="0070502B"/>
    <w:rsid w:val="0070514E"/>
    <w:rsid w:val="007051AE"/>
    <w:rsid w:val="00705349"/>
    <w:rsid w:val="0070546E"/>
    <w:rsid w:val="0070564C"/>
    <w:rsid w:val="00705665"/>
    <w:rsid w:val="00705811"/>
    <w:rsid w:val="00705951"/>
    <w:rsid w:val="00705AB3"/>
    <w:rsid w:val="00705AE4"/>
    <w:rsid w:val="00705C93"/>
    <w:rsid w:val="00705CEC"/>
    <w:rsid w:val="00705D52"/>
    <w:rsid w:val="00705E38"/>
    <w:rsid w:val="00706154"/>
    <w:rsid w:val="007062DC"/>
    <w:rsid w:val="0070633D"/>
    <w:rsid w:val="007066B2"/>
    <w:rsid w:val="007067B4"/>
    <w:rsid w:val="007067F7"/>
    <w:rsid w:val="00706A3F"/>
    <w:rsid w:val="00706C82"/>
    <w:rsid w:val="00706DF3"/>
    <w:rsid w:val="0070704E"/>
    <w:rsid w:val="00707078"/>
    <w:rsid w:val="00707202"/>
    <w:rsid w:val="0070736E"/>
    <w:rsid w:val="007073EE"/>
    <w:rsid w:val="00707424"/>
    <w:rsid w:val="0070759E"/>
    <w:rsid w:val="007075F3"/>
    <w:rsid w:val="007076FA"/>
    <w:rsid w:val="00707751"/>
    <w:rsid w:val="00707949"/>
    <w:rsid w:val="00707980"/>
    <w:rsid w:val="00707A04"/>
    <w:rsid w:val="00707D02"/>
    <w:rsid w:val="00707D62"/>
    <w:rsid w:val="00707F24"/>
    <w:rsid w:val="00707FA0"/>
    <w:rsid w:val="007100CC"/>
    <w:rsid w:val="0071031E"/>
    <w:rsid w:val="007105EC"/>
    <w:rsid w:val="0071060E"/>
    <w:rsid w:val="0071082D"/>
    <w:rsid w:val="00710987"/>
    <w:rsid w:val="007109D6"/>
    <w:rsid w:val="00710B0A"/>
    <w:rsid w:val="00710D1C"/>
    <w:rsid w:val="00710D60"/>
    <w:rsid w:val="00710F07"/>
    <w:rsid w:val="00710FE1"/>
    <w:rsid w:val="0071103C"/>
    <w:rsid w:val="0071107D"/>
    <w:rsid w:val="00711645"/>
    <w:rsid w:val="007116C0"/>
    <w:rsid w:val="00711738"/>
    <w:rsid w:val="00711777"/>
    <w:rsid w:val="00711915"/>
    <w:rsid w:val="00711A55"/>
    <w:rsid w:val="00711D05"/>
    <w:rsid w:val="00711D24"/>
    <w:rsid w:val="00711FA2"/>
    <w:rsid w:val="00711FD2"/>
    <w:rsid w:val="007123D6"/>
    <w:rsid w:val="00712420"/>
    <w:rsid w:val="007126CD"/>
    <w:rsid w:val="007127E5"/>
    <w:rsid w:val="007128C0"/>
    <w:rsid w:val="00713233"/>
    <w:rsid w:val="00713308"/>
    <w:rsid w:val="007134A4"/>
    <w:rsid w:val="007134AE"/>
    <w:rsid w:val="00713590"/>
    <w:rsid w:val="0071366C"/>
    <w:rsid w:val="007136ED"/>
    <w:rsid w:val="007136FA"/>
    <w:rsid w:val="007139A2"/>
    <w:rsid w:val="00713AE3"/>
    <w:rsid w:val="00713D12"/>
    <w:rsid w:val="00714012"/>
    <w:rsid w:val="00714088"/>
    <w:rsid w:val="0071410F"/>
    <w:rsid w:val="0071413B"/>
    <w:rsid w:val="00714261"/>
    <w:rsid w:val="00714321"/>
    <w:rsid w:val="00714ABA"/>
    <w:rsid w:val="00714ABC"/>
    <w:rsid w:val="00714CC7"/>
    <w:rsid w:val="00714D8D"/>
    <w:rsid w:val="00714E4A"/>
    <w:rsid w:val="00714F8A"/>
    <w:rsid w:val="00715017"/>
    <w:rsid w:val="00715036"/>
    <w:rsid w:val="00715119"/>
    <w:rsid w:val="007151F4"/>
    <w:rsid w:val="007153BE"/>
    <w:rsid w:val="0071568E"/>
    <w:rsid w:val="007158B0"/>
    <w:rsid w:val="00715A1B"/>
    <w:rsid w:val="00715A27"/>
    <w:rsid w:val="00715C4D"/>
    <w:rsid w:val="00715E7A"/>
    <w:rsid w:val="00715FE6"/>
    <w:rsid w:val="00716159"/>
    <w:rsid w:val="00716329"/>
    <w:rsid w:val="0071634C"/>
    <w:rsid w:val="007164C2"/>
    <w:rsid w:val="0071663C"/>
    <w:rsid w:val="007167E2"/>
    <w:rsid w:val="00716D40"/>
    <w:rsid w:val="00716D48"/>
    <w:rsid w:val="00716DCD"/>
    <w:rsid w:val="00716E8E"/>
    <w:rsid w:val="00716FF1"/>
    <w:rsid w:val="007171D8"/>
    <w:rsid w:val="007175B5"/>
    <w:rsid w:val="007175D1"/>
    <w:rsid w:val="007177F3"/>
    <w:rsid w:val="00717838"/>
    <w:rsid w:val="00717D27"/>
    <w:rsid w:val="00717EAD"/>
    <w:rsid w:val="007200B6"/>
    <w:rsid w:val="00720280"/>
    <w:rsid w:val="007202A0"/>
    <w:rsid w:val="0072031F"/>
    <w:rsid w:val="00720674"/>
    <w:rsid w:val="00720865"/>
    <w:rsid w:val="00720B18"/>
    <w:rsid w:val="00720C51"/>
    <w:rsid w:val="00720D2E"/>
    <w:rsid w:val="00720E3F"/>
    <w:rsid w:val="00720EFB"/>
    <w:rsid w:val="00721225"/>
    <w:rsid w:val="007212C2"/>
    <w:rsid w:val="0072137B"/>
    <w:rsid w:val="007216DA"/>
    <w:rsid w:val="007217CF"/>
    <w:rsid w:val="00721D56"/>
    <w:rsid w:val="00721D8D"/>
    <w:rsid w:val="00721EF9"/>
    <w:rsid w:val="00721F5E"/>
    <w:rsid w:val="00722000"/>
    <w:rsid w:val="00722169"/>
    <w:rsid w:val="00722177"/>
    <w:rsid w:val="007221D5"/>
    <w:rsid w:val="0072229C"/>
    <w:rsid w:val="0072235E"/>
    <w:rsid w:val="0072282D"/>
    <w:rsid w:val="00722837"/>
    <w:rsid w:val="007228E8"/>
    <w:rsid w:val="00722C43"/>
    <w:rsid w:val="00722E38"/>
    <w:rsid w:val="00722EF7"/>
    <w:rsid w:val="00722F6C"/>
    <w:rsid w:val="00722F75"/>
    <w:rsid w:val="00722FA4"/>
    <w:rsid w:val="007230CC"/>
    <w:rsid w:val="0072311B"/>
    <w:rsid w:val="007231E5"/>
    <w:rsid w:val="00723213"/>
    <w:rsid w:val="00723354"/>
    <w:rsid w:val="0072341D"/>
    <w:rsid w:val="007235EE"/>
    <w:rsid w:val="007235F4"/>
    <w:rsid w:val="007236C5"/>
    <w:rsid w:val="00723719"/>
    <w:rsid w:val="00723833"/>
    <w:rsid w:val="00723947"/>
    <w:rsid w:val="0072396A"/>
    <w:rsid w:val="007239C0"/>
    <w:rsid w:val="00723A94"/>
    <w:rsid w:val="00723CE8"/>
    <w:rsid w:val="00723FF2"/>
    <w:rsid w:val="0072461A"/>
    <w:rsid w:val="0072469D"/>
    <w:rsid w:val="007246F3"/>
    <w:rsid w:val="0072493C"/>
    <w:rsid w:val="007249D8"/>
    <w:rsid w:val="00724D0B"/>
    <w:rsid w:val="00724D13"/>
    <w:rsid w:val="00724F95"/>
    <w:rsid w:val="007252D2"/>
    <w:rsid w:val="007252F9"/>
    <w:rsid w:val="007254D9"/>
    <w:rsid w:val="0072552E"/>
    <w:rsid w:val="00725560"/>
    <w:rsid w:val="00725566"/>
    <w:rsid w:val="007255B3"/>
    <w:rsid w:val="007255F3"/>
    <w:rsid w:val="0072579B"/>
    <w:rsid w:val="00725927"/>
    <w:rsid w:val="00725B13"/>
    <w:rsid w:val="00725E0E"/>
    <w:rsid w:val="00725E52"/>
    <w:rsid w:val="007263F2"/>
    <w:rsid w:val="007266D3"/>
    <w:rsid w:val="00726AFD"/>
    <w:rsid w:val="00726B81"/>
    <w:rsid w:val="00726CCF"/>
    <w:rsid w:val="00726E7B"/>
    <w:rsid w:val="00726FDB"/>
    <w:rsid w:val="0072701A"/>
    <w:rsid w:val="007270CD"/>
    <w:rsid w:val="0072716E"/>
    <w:rsid w:val="00727175"/>
    <w:rsid w:val="007274D7"/>
    <w:rsid w:val="007275D0"/>
    <w:rsid w:val="0072775C"/>
    <w:rsid w:val="00727B06"/>
    <w:rsid w:val="00727CCE"/>
    <w:rsid w:val="00727DCF"/>
    <w:rsid w:val="00730063"/>
    <w:rsid w:val="0073009A"/>
    <w:rsid w:val="00730149"/>
    <w:rsid w:val="00730206"/>
    <w:rsid w:val="007302CF"/>
    <w:rsid w:val="007304AA"/>
    <w:rsid w:val="00730A7D"/>
    <w:rsid w:val="00730B5B"/>
    <w:rsid w:val="00730B65"/>
    <w:rsid w:val="00730C32"/>
    <w:rsid w:val="00730C4F"/>
    <w:rsid w:val="007310D2"/>
    <w:rsid w:val="0073122C"/>
    <w:rsid w:val="0073124B"/>
    <w:rsid w:val="00731402"/>
    <w:rsid w:val="0073166B"/>
    <w:rsid w:val="00731782"/>
    <w:rsid w:val="00731798"/>
    <w:rsid w:val="00731888"/>
    <w:rsid w:val="00731D13"/>
    <w:rsid w:val="007321F7"/>
    <w:rsid w:val="00732339"/>
    <w:rsid w:val="007323C0"/>
    <w:rsid w:val="00732A3B"/>
    <w:rsid w:val="00732BDB"/>
    <w:rsid w:val="00732C4D"/>
    <w:rsid w:val="00732EA3"/>
    <w:rsid w:val="00732F64"/>
    <w:rsid w:val="00732F6C"/>
    <w:rsid w:val="00732F8B"/>
    <w:rsid w:val="00733310"/>
    <w:rsid w:val="00733628"/>
    <w:rsid w:val="00733743"/>
    <w:rsid w:val="00733795"/>
    <w:rsid w:val="0073390E"/>
    <w:rsid w:val="00733BEB"/>
    <w:rsid w:val="00733C5A"/>
    <w:rsid w:val="007340D7"/>
    <w:rsid w:val="00734235"/>
    <w:rsid w:val="00734753"/>
    <w:rsid w:val="00734A5E"/>
    <w:rsid w:val="00734C4D"/>
    <w:rsid w:val="00734C97"/>
    <w:rsid w:val="00734CE6"/>
    <w:rsid w:val="00734E49"/>
    <w:rsid w:val="00734ED5"/>
    <w:rsid w:val="00734FE4"/>
    <w:rsid w:val="007351AB"/>
    <w:rsid w:val="0073525F"/>
    <w:rsid w:val="00735668"/>
    <w:rsid w:val="007356B2"/>
    <w:rsid w:val="007356C7"/>
    <w:rsid w:val="00735783"/>
    <w:rsid w:val="00735872"/>
    <w:rsid w:val="00735ACE"/>
    <w:rsid w:val="00735B30"/>
    <w:rsid w:val="00735C6C"/>
    <w:rsid w:val="00735FD8"/>
    <w:rsid w:val="00736000"/>
    <w:rsid w:val="00736545"/>
    <w:rsid w:val="0073665E"/>
    <w:rsid w:val="00736847"/>
    <w:rsid w:val="00736BD1"/>
    <w:rsid w:val="00736D52"/>
    <w:rsid w:val="00736D5E"/>
    <w:rsid w:val="00736E10"/>
    <w:rsid w:val="007372F2"/>
    <w:rsid w:val="007374AB"/>
    <w:rsid w:val="007374FF"/>
    <w:rsid w:val="00737740"/>
    <w:rsid w:val="00737B04"/>
    <w:rsid w:val="00737B14"/>
    <w:rsid w:val="00737B51"/>
    <w:rsid w:val="00737C10"/>
    <w:rsid w:val="00737C6F"/>
    <w:rsid w:val="00737CC7"/>
    <w:rsid w:val="00737D12"/>
    <w:rsid w:val="00737E1B"/>
    <w:rsid w:val="00737EEF"/>
    <w:rsid w:val="007403F0"/>
    <w:rsid w:val="00740447"/>
    <w:rsid w:val="0074077F"/>
    <w:rsid w:val="0074079E"/>
    <w:rsid w:val="007407C3"/>
    <w:rsid w:val="00740922"/>
    <w:rsid w:val="007409A5"/>
    <w:rsid w:val="007409E6"/>
    <w:rsid w:val="00740C8D"/>
    <w:rsid w:val="00740EFD"/>
    <w:rsid w:val="00740FA7"/>
    <w:rsid w:val="00741106"/>
    <w:rsid w:val="00741308"/>
    <w:rsid w:val="007413F3"/>
    <w:rsid w:val="007413F8"/>
    <w:rsid w:val="00741484"/>
    <w:rsid w:val="007414E1"/>
    <w:rsid w:val="0074174D"/>
    <w:rsid w:val="007418B8"/>
    <w:rsid w:val="0074199C"/>
    <w:rsid w:val="00741A91"/>
    <w:rsid w:val="00741AD7"/>
    <w:rsid w:val="00741B0D"/>
    <w:rsid w:val="00741D54"/>
    <w:rsid w:val="00741F48"/>
    <w:rsid w:val="00741F7D"/>
    <w:rsid w:val="007422B8"/>
    <w:rsid w:val="007422E7"/>
    <w:rsid w:val="00742400"/>
    <w:rsid w:val="00742564"/>
    <w:rsid w:val="007426A0"/>
    <w:rsid w:val="007426C4"/>
    <w:rsid w:val="00742801"/>
    <w:rsid w:val="00742867"/>
    <w:rsid w:val="007429B4"/>
    <w:rsid w:val="00742AED"/>
    <w:rsid w:val="00742E61"/>
    <w:rsid w:val="00743074"/>
    <w:rsid w:val="007430A7"/>
    <w:rsid w:val="007430B7"/>
    <w:rsid w:val="0074311E"/>
    <w:rsid w:val="00743124"/>
    <w:rsid w:val="00743232"/>
    <w:rsid w:val="007433A1"/>
    <w:rsid w:val="007433DE"/>
    <w:rsid w:val="00743413"/>
    <w:rsid w:val="007435AC"/>
    <w:rsid w:val="007439A1"/>
    <w:rsid w:val="00743D2E"/>
    <w:rsid w:val="00743D48"/>
    <w:rsid w:val="007440D0"/>
    <w:rsid w:val="00744219"/>
    <w:rsid w:val="0074421F"/>
    <w:rsid w:val="007443C9"/>
    <w:rsid w:val="00744495"/>
    <w:rsid w:val="007444B3"/>
    <w:rsid w:val="00744776"/>
    <w:rsid w:val="007451A8"/>
    <w:rsid w:val="00745264"/>
    <w:rsid w:val="0074534F"/>
    <w:rsid w:val="00745466"/>
    <w:rsid w:val="00745468"/>
    <w:rsid w:val="0074568F"/>
    <w:rsid w:val="00745CDC"/>
    <w:rsid w:val="00745EB5"/>
    <w:rsid w:val="00745F4B"/>
    <w:rsid w:val="00745FB2"/>
    <w:rsid w:val="0074606B"/>
    <w:rsid w:val="00746210"/>
    <w:rsid w:val="007464DC"/>
    <w:rsid w:val="00746537"/>
    <w:rsid w:val="007467B2"/>
    <w:rsid w:val="007467EE"/>
    <w:rsid w:val="00746B30"/>
    <w:rsid w:val="00746F5A"/>
    <w:rsid w:val="007473C2"/>
    <w:rsid w:val="007474EC"/>
    <w:rsid w:val="00747561"/>
    <w:rsid w:val="0074771C"/>
    <w:rsid w:val="00747879"/>
    <w:rsid w:val="007479E9"/>
    <w:rsid w:val="00747A43"/>
    <w:rsid w:val="00747C6F"/>
    <w:rsid w:val="00747E02"/>
    <w:rsid w:val="007502C0"/>
    <w:rsid w:val="0075080B"/>
    <w:rsid w:val="00750870"/>
    <w:rsid w:val="00750A66"/>
    <w:rsid w:val="00750B0A"/>
    <w:rsid w:val="00750BB3"/>
    <w:rsid w:val="00750C0B"/>
    <w:rsid w:val="00750CE9"/>
    <w:rsid w:val="00750F6A"/>
    <w:rsid w:val="00750F9A"/>
    <w:rsid w:val="00751031"/>
    <w:rsid w:val="00751178"/>
    <w:rsid w:val="007514F0"/>
    <w:rsid w:val="0075177C"/>
    <w:rsid w:val="007517F2"/>
    <w:rsid w:val="0075183E"/>
    <w:rsid w:val="007518BF"/>
    <w:rsid w:val="007518D4"/>
    <w:rsid w:val="00751C09"/>
    <w:rsid w:val="00751CD3"/>
    <w:rsid w:val="00751FC6"/>
    <w:rsid w:val="0075204F"/>
    <w:rsid w:val="00752112"/>
    <w:rsid w:val="00752168"/>
    <w:rsid w:val="007521EA"/>
    <w:rsid w:val="0075223C"/>
    <w:rsid w:val="007522D9"/>
    <w:rsid w:val="007524A8"/>
    <w:rsid w:val="007524C4"/>
    <w:rsid w:val="007525A9"/>
    <w:rsid w:val="007525B3"/>
    <w:rsid w:val="00752847"/>
    <w:rsid w:val="00752893"/>
    <w:rsid w:val="00752B3C"/>
    <w:rsid w:val="00752BCF"/>
    <w:rsid w:val="00752D2A"/>
    <w:rsid w:val="00752E01"/>
    <w:rsid w:val="00752FB5"/>
    <w:rsid w:val="00753294"/>
    <w:rsid w:val="007535D6"/>
    <w:rsid w:val="00753737"/>
    <w:rsid w:val="007538BF"/>
    <w:rsid w:val="0075398E"/>
    <w:rsid w:val="00753BB9"/>
    <w:rsid w:val="00753D72"/>
    <w:rsid w:val="00753F55"/>
    <w:rsid w:val="00754115"/>
    <w:rsid w:val="00754168"/>
    <w:rsid w:val="00754211"/>
    <w:rsid w:val="00754667"/>
    <w:rsid w:val="00754738"/>
    <w:rsid w:val="00754881"/>
    <w:rsid w:val="0075497C"/>
    <w:rsid w:val="00754A73"/>
    <w:rsid w:val="00754A95"/>
    <w:rsid w:val="00754AA4"/>
    <w:rsid w:val="00754AF3"/>
    <w:rsid w:val="00754B4C"/>
    <w:rsid w:val="00754C56"/>
    <w:rsid w:val="00754C98"/>
    <w:rsid w:val="00754D6F"/>
    <w:rsid w:val="00755339"/>
    <w:rsid w:val="0075537E"/>
    <w:rsid w:val="007556C7"/>
    <w:rsid w:val="007558B6"/>
    <w:rsid w:val="007558CE"/>
    <w:rsid w:val="007558F5"/>
    <w:rsid w:val="00755B0B"/>
    <w:rsid w:val="00755B7B"/>
    <w:rsid w:val="00755C35"/>
    <w:rsid w:val="00755EDE"/>
    <w:rsid w:val="00755EF8"/>
    <w:rsid w:val="0075619A"/>
    <w:rsid w:val="007563F7"/>
    <w:rsid w:val="007564F1"/>
    <w:rsid w:val="007564F2"/>
    <w:rsid w:val="00756578"/>
    <w:rsid w:val="007565B6"/>
    <w:rsid w:val="00756613"/>
    <w:rsid w:val="007566C0"/>
    <w:rsid w:val="0075695F"/>
    <w:rsid w:val="007569DC"/>
    <w:rsid w:val="00756B5A"/>
    <w:rsid w:val="00756C22"/>
    <w:rsid w:val="00756C46"/>
    <w:rsid w:val="00756EDF"/>
    <w:rsid w:val="00756F4E"/>
    <w:rsid w:val="007571D3"/>
    <w:rsid w:val="007573B5"/>
    <w:rsid w:val="00757441"/>
    <w:rsid w:val="00757541"/>
    <w:rsid w:val="00757870"/>
    <w:rsid w:val="00757B5F"/>
    <w:rsid w:val="00757D2A"/>
    <w:rsid w:val="007600BE"/>
    <w:rsid w:val="0076012F"/>
    <w:rsid w:val="007601B7"/>
    <w:rsid w:val="0076023B"/>
    <w:rsid w:val="00760309"/>
    <w:rsid w:val="007603EC"/>
    <w:rsid w:val="00760538"/>
    <w:rsid w:val="00760714"/>
    <w:rsid w:val="00760932"/>
    <w:rsid w:val="00760A03"/>
    <w:rsid w:val="00760BD2"/>
    <w:rsid w:val="00760E53"/>
    <w:rsid w:val="00760F25"/>
    <w:rsid w:val="00760FBA"/>
    <w:rsid w:val="00761005"/>
    <w:rsid w:val="00761148"/>
    <w:rsid w:val="0076180A"/>
    <w:rsid w:val="0076184D"/>
    <w:rsid w:val="00761999"/>
    <w:rsid w:val="007619A2"/>
    <w:rsid w:val="00761B46"/>
    <w:rsid w:val="00761B83"/>
    <w:rsid w:val="00761B9F"/>
    <w:rsid w:val="00761CA5"/>
    <w:rsid w:val="00761D35"/>
    <w:rsid w:val="00761DBF"/>
    <w:rsid w:val="00761F87"/>
    <w:rsid w:val="00762104"/>
    <w:rsid w:val="007621CC"/>
    <w:rsid w:val="00762283"/>
    <w:rsid w:val="00762391"/>
    <w:rsid w:val="007623E6"/>
    <w:rsid w:val="00762445"/>
    <w:rsid w:val="00762762"/>
    <w:rsid w:val="00762771"/>
    <w:rsid w:val="00762AA2"/>
    <w:rsid w:val="00762BE0"/>
    <w:rsid w:val="00762EC5"/>
    <w:rsid w:val="0076301B"/>
    <w:rsid w:val="0076301C"/>
    <w:rsid w:val="00763091"/>
    <w:rsid w:val="007634D5"/>
    <w:rsid w:val="00763756"/>
    <w:rsid w:val="007637F6"/>
    <w:rsid w:val="00763983"/>
    <w:rsid w:val="00763D2D"/>
    <w:rsid w:val="00763DEE"/>
    <w:rsid w:val="00764085"/>
    <w:rsid w:val="0076418A"/>
    <w:rsid w:val="007644CF"/>
    <w:rsid w:val="0076466F"/>
    <w:rsid w:val="007646D1"/>
    <w:rsid w:val="00764761"/>
    <w:rsid w:val="00764CC8"/>
    <w:rsid w:val="00764D33"/>
    <w:rsid w:val="007651C1"/>
    <w:rsid w:val="0076553B"/>
    <w:rsid w:val="0076566F"/>
    <w:rsid w:val="0076568F"/>
    <w:rsid w:val="00765856"/>
    <w:rsid w:val="00765915"/>
    <w:rsid w:val="0076593D"/>
    <w:rsid w:val="00765A27"/>
    <w:rsid w:val="00765B0D"/>
    <w:rsid w:val="00765B4F"/>
    <w:rsid w:val="00765D42"/>
    <w:rsid w:val="00765E3E"/>
    <w:rsid w:val="00765E92"/>
    <w:rsid w:val="00765F29"/>
    <w:rsid w:val="0076633C"/>
    <w:rsid w:val="00766377"/>
    <w:rsid w:val="00766587"/>
    <w:rsid w:val="0076674A"/>
    <w:rsid w:val="007668F5"/>
    <w:rsid w:val="00766C74"/>
    <w:rsid w:val="00766CB6"/>
    <w:rsid w:val="0076711D"/>
    <w:rsid w:val="007673A0"/>
    <w:rsid w:val="007674A6"/>
    <w:rsid w:val="007674B3"/>
    <w:rsid w:val="007677BE"/>
    <w:rsid w:val="007678E7"/>
    <w:rsid w:val="00767948"/>
    <w:rsid w:val="00767BFD"/>
    <w:rsid w:val="00767C3C"/>
    <w:rsid w:val="00767D39"/>
    <w:rsid w:val="007700C7"/>
    <w:rsid w:val="0077020B"/>
    <w:rsid w:val="007704D8"/>
    <w:rsid w:val="00770743"/>
    <w:rsid w:val="00770940"/>
    <w:rsid w:val="00770992"/>
    <w:rsid w:val="00770B89"/>
    <w:rsid w:val="00770B93"/>
    <w:rsid w:val="00770C05"/>
    <w:rsid w:val="00770CB3"/>
    <w:rsid w:val="00771247"/>
    <w:rsid w:val="00771428"/>
    <w:rsid w:val="00771529"/>
    <w:rsid w:val="00771618"/>
    <w:rsid w:val="00771BBE"/>
    <w:rsid w:val="00771C38"/>
    <w:rsid w:val="00771FAA"/>
    <w:rsid w:val="00772347"/>
    <w:rsid w:val="007726B7"/>
    <w:rsid w:val="00772B2A"/>
    <w:rsid w:val="00772B7D"/>
    <w:rsid w:val="00772F2E"/>
    <w:rsid w:val="0077307B"/>
    <w:rsid w:val="007730F7"/>
    <w:rsid w:val="00773154"/>
    <w:rsid w:val="007731D2"/>
    <w:rsid w:val="0077320B"/>
    <w:rsid w:val="00773391"/>
    <w:rsid w:val="0077339D"/>
    <w:rsid w:val="0077339E"/>
    <w:rsid w:val="007737C0"/>
    <w:rsid w:val="00773B13"/>
    <w:rsid w:val="00773D73"/>
    <w:rsid w:val="007740CF"/>
    <w:rsid w:val="007742C4"/>
    <w:rsid w:val="007742E2"/>
    <w:rsid w:val="00774318"/>
    <w:rsid w:val="007743DC"/>
    <w:rsid w:val="00774486"/>
    <w:rsid w:val="0077455C"/>
    <w:rsid w:val="00774677"/>
    <w:rsid w:val="007747F8"/>
    <w:rsid w:val="007748D9"/>
    <w:rsid w:val="00774A83"/>
    <w:rsid w:val="00774B3E"/>
    <w:rsid w:val="00774C2D"/>
    <w:rsid w:val="00774C82"/>
    <w:rsid w:val="00774CB9"/>
    <w:rsid w:val="00774E76"/>
    <w:rsid w:val="00775145"/>
    <w:rsid w:val="00775475"/>
    <w:rsid w:val="00775622"/>
    <w:rsid w:val="007756F0"/>
    <w:rsid w:val="00775872"/>
    <w:rsid w:val="00775AE2"/>
    <w:rsid w:val="00775B0E"/>
    <w:rsid w:val="00775E3A"/>
    <w:rsid w:val="00775ED1"/>
    <w:rsid w:val="00775F3B"/>
    <w:rsid w:val="007760A5"/>
    <w:rsid w:val="0077632E"/>
    <w:rsid w:val="00776374"/>
    <w:rsid w:val="007764C3"/>
    <w:rsid w:val="007764F0"/>
    <w:rsid w:val="00776945"/>
    <w:rsid w:val="00776A53"/>
    <w:rsid w:val="00776E93"/>
    <w:rsid w:val="007771D9"/>
    <w:rsid w:val="00777494"/>
    <w:rsid w:val="00777560"/>
    <w:rsid w:val="0077773C"/>
    <w:rsid w:val="007779E4"/>
    <w:rsid w:val="00777AF1"/>
    <w:rsid w:val="00777B4D"/>
    <w:rsid w:val="00777CBA"/>
    <w:rsid w:val="00777D55"/>
    <w:rsid w:val="00780152"/>
    <w:rsid w:val="007801FD"/>
    <w:rsid w:val="0078043E"/>
    <w:rsid w:val="00780542"/>
    <w:rsid w:val="00780587"/>
    <w:rsid w:val="007805A9"/>
    <w:rsid w:val="00780B74"/>
    <w:rsid w:val="00780C1C"/>
    <w:rsid w:val="00780FE2"/>
    <w:rsid w:val="007810CA"/>
    <w:rsid w:val="007810FC"/>
    <w:rsid w:val="00781114"/>
    <w:rsid w:val="0078119F"/>
    <w:rsid w:val="00781238"/>
    <w:rsid w:val="007812BB"/>
    <w:rsid w:val="00781369"/>
    <w:rsid w:val="007813D8"/>
    <w:rsid w:val="00781771"/>
    <w:rsid w:val="007818C3"/>
    <w:rsid w:val="007818CD"/>
    <w:rsid w:val="00781A94"/>
    <w:rsid w:val="00781BFB"/>
    <w:rsid w:val="00781C1D"/>
    <w:rsid w:val="00781D73"/>
    <w:rsid w:val="00781E02"/>
    <w:rsid w:val="00781EC6"/>
    <w:rsid w:val="00782043"/>
    <w:rsid w:val="00782071"/>
    <w:rsid w:val="00782263"/>
    <w:rsid w:val="00782551"/>
    <w:rsid w:val="00782710"/>
    <w:rsid w:val="00782788"/>
    <w:rsid w:val="0078279A"/>
    <w:rsid w:val="00782878"/>
    <w:rsid w:val="007828F5"/>
    <w:rsid w:val="00782944"/>
    <w:rsid w:val="00782C2A"/>
    <w:rsid w:val="00782E2B"/>
    <w:rsid w:val="00782E91"/>
    <w:rsid w:val="007830B5"/>
    <w:rsid w:val="0078319E"/>
    <w:rsid w:val="007831CB"/>
    <w:rsid w:val="007831D8"/>
    <w:rsid w:val="007832D8"/>
    <w:rsid w:val="00783352"/>
    <w:rsid w:val="007836E8"/>
    <w:rsid w:val="007839FB"/>
    <w:rsid w:val="00783AE9"/>
    <w:rsid w:val="00783B36"/>
    <w:rsid w:val="00783BE7"/>
    <w:rsid w:val="00783C50"/>
    <w:rsid w:val="00783CFA"/>
    <w:rsid w:val="00783D23"/>
    <w:rsid w:val="00783F1C"/>
    <w:rsid w:val="00783FEF"/>
    <w:rsid w:val="007841C5"/>
    <w:rsid w:val="007841D1"/>
    <w:rsid w:val="0078422A"/>
    <w:rsid w:val="00784563"/>
    <w:rsid w:val="007845D3"/>
    <w:rsid w:val="00784694"/>
    <w:rsid w:val="0078487B"/>
    <w:rsid w:val="007848C0"/>
    <w:rsid w:val="00784918"/>
    <w:rsid w:val="00784CDF"/>
    <w:rsid w:val="00784FAB"/>
    <w:rsid w:val="0078516B"/>
    <w:rsid w:val="00785212"/>
    <w:rsid w:val="0078526A"/>
    <w:rsid w:val="007852E5"/>
    <w:rsid w:val="007852E7"/>
    <w:rsid w:val="0078545B"/>
    <w:rsid w:val="007854BD"/>
    <w:rsid w:val="00785612"/>
    <w:rsid w:val="0078568A"/>
    <w:rsid w:val="0078578F"/>
    <w:rsid w:val="007857E5"/>
    <w:rsid w:val="00785836"/>
    <w:rsid w:val="00785873"/>
    <w:rsid w:val="007858DC"/>
    <w:rsid w:val="00785A5E"/>
    <w:rsid w:val="00785B7F"/>
    <w:rsid w:val="00785CDF"/>
    <w:rsid w:val="00785F4F"/>
    <w:rsid w:val="00786405"/>
    <w:rsid w:val="00786421"/>
    <w:rsid w:val="00786506"/>
    <w:rsid w:val="007865CF"/>
    <w:rsid w:val="0078662E"/>
    <w:rsid w:val="00786939"/>
    <w:rsid w:val="0078695D"/>
    <w:rsid w:val="00786A38"/>
    <w:rsid w:val="00786A60"/>
    <w:rsid w:val="00786B72"/>
    <w:rsid w:val="00786D16"/>
    <w:rsid w:val="00786DC2"/>
    <w:rsid w:val="00786F80"/>
    <w:rsid w:val="0078701D"/>
    <w:rsid w:val="00787144"/>
    <w:rsid w:val="007871A5"/>
    <w:rsid w:val="00787664"/>
    <w:rsid w:val="007876AC"/>
    <w:rsid w:val="007879CE"/>
    <w:rsid w:val="00790661"/>
    <w:rsid w:val="00790761"/>
    <w:rsid w:val="0079078B"/>
    <w:rsid w:val="007908FD"/>
    <w:rsid w:val="007909E5"/>
    <w:rsid w:val="00790AA7"/>
    <w:rsid w:val="00790CF9"/>
    <w:rsid w:val="00790D02"/>
    <w:rsid w:val="0079105F"/>
    <w:rsid w:val="007912B5"/>
    <w:rsid w:val="00791756"/>
    <w:rsid w:val="00791872"/>
    <w:rsid w:val="00791BA1"/>
    <w:rsid w:val="00791C71"/>
    <w:rsid w:val="00791CB3"/>
    <w:rsid w:val="00791CC4"/>
    <w:rsid w:val="00791CC7"/>
    <w:rsid w:val="00791CF9"/>
    <w:rsid w:val="0079200E"/>
    <w:rsid w:val="00792122"/>
    <w:rsid w:val="007921C4"/>
    <w:rsid w:val="0079228E"/>
    <w:rsid w:val="007923FE"/>
    <w:rsid w:val="00792994"/>
    <w:rsid w:val="00792D5C"/>
    <w:rsid w:val="00792E15"/>
    <w:rsid w:val="00792F11"/>
    <w:rsid w:val="00793201"/>
    <w:rsid w:val="007932F9"/>
    <w:rsid w:val="00793323"/>
    <w:rsid w:val="007934DE"/>
    <w:rsid w:val="00793575"/>
    <w:rsid w:val="00793748"/>
    <w:rsid w:val="0079387C"/>
    <w:rsid w:val="00793916"/>
    <w:rsid w:val="0079393D"/>
    <w:rsid w:val="00793944"/>
    <w:rsid w:val="00793A36"/>
    <w:rsid w:val="00793BB8"/>
    <w:rsid w:val="00793CA8"/>
    <w:rsid w:val="00793D06"/>
    <w:rsid w:val="00793E83"/>
    <w:rsid w:val="00794215"/>
    <w:rsid w:val="00794227"/>
    <w:rsid w:val="00794287"/>
    <w:rsid w:val="0079456B"/>
    <w:rsid w:val="0079462D"/>
    <w:rsid w:val="00794798"/>
    <w:rsid w:val="00794913"/>
    <w:rsid w:val="00794AF3"/>
    <w:rsid w:val="00794BCC"/>
    <w:rsid w:val="00794C67"/>
    <w:rsid w:val="00794CCA"/>
    <w:rsid w:val="00794DC7"/>
    <w:rsid w:val="00794EA8"/>
    <w:rsid w:val="00794EED"/>
    <w:rsid w:val="00794FBA"/>
    <w:rsid w:val="00794FDB"/>
    <w:rsid w:val="0079527E"/>
    <w:rsid w:val="007953DE"/>
    <w:rsid w:val="00795426"/>
    <w:rsid w:val="00795465"/>
    <w:rsid w:val="00795678"/>
    <w:rsid w:val="00795745"/>
    <w:rsid w:val="0079578E"/>
    <w:rsid w:val="00795946"/>
    <w:rsid w:val="00795ABE"/>
    <w:rsid w:val="00795B0B"/>
    <w:rsid w:val="00795DAE"/>
    <w:rsid w:val="00795E03"/>
    <w:rsid w:val="00795F93"/>
    <w:rsid w:val="0079607C"/>
    <w:rsid w:val="00796458"/>
    <w:rsid w:val="00796465"/>
    <w:rsid w:val="00796513"/>
    <w:rsid w:val="00796531"/>
    <w:rsid w:val="00796998"/>
    <w:rsid w:val="00796A18"/>
    <w:rsid w:val="00796A23"/>
    <w:rsid w:val="00796D95"/>
    <w:rsid w:val="00796E8C"/>
    <w:rsid w:val="007970E2"/>
    <w:rsid w:val="00797313"/>
    <w:rsid w:val="0079731C"/>
    <w:rsid w:val="00797361"/>
    <w:rsid w:val="00797416"/>
    <w:rsid w:val="0079782B"/>
    <w:rsid w:val="007978AD"/>
    <w:rsid w:val="00797956"/>
    <w:rsid w:val="00797AD0"/>
    <w:rsid w:val="00797B22"/>
    <w:rsid w:val="00797C81"/>
    <w:rsid w:val="00797FA0"/>
    <w:rsid w:val="00797FBF"/>
    <w:rsid w:val="007A00FE"/>
    <w:rsid w:val="007A01D4"/>
    <w:rsid w:val="007A0290"/>
    <w:rsid w:val="007A02BC"/>
    <w:rsid w:val="007A03A9"/>
    <w:rsid w:val="007A03BC"/>
    <w:rsid w:val="007A042E"/>
    <w:rsid w:val="007A0473"/>
    <w:rsid w:val="007A058E"/>
    <w:rsid w:val="007A09FC"/>
    <w:rsid w:val="007A0CC2"/>
    <w:rsid w:val="007A0D26"/>
    <w:rsid w:val="007A0E49"/>
    <w:rsid w:val="007A0FCC"/>
    <w:rsid w:val="007A10B9"/>
    <w:rsid w:val="007A120B"/>
    <w:rsid w:val="007A143F"/>
    <w:rsid w:val="007A1458"/>
    <w:rsid w:val="007A16B0"/>
    <w:rsid w:val="007A16D1"/>
    <w:rsid w:val="007A1810"/>
    <w:rsid w:val="007A1859"/>
    <w:rsid w:val="007A1999"/>
    <w:rsid w:val="007A1BBB"/>
    <w:rsid w:val="007A1CEC"/>
    <w:rsid w:val="007A1DA3"/>
    <w:rsid w:val="007A1E8C"/>
    <w:rsid w:val="007A2242"/>
    <w:rsid w:val="007A241F"/>
    <w:rsid w:val="007A245D"/>
    <w:rsid w:val="007A2584"/>
    <w:rsid w:val="007A26FF"/>
    <w:rsid w:val="007A27CD"/>
    <w:rsid w:val="007A2EB9"/>
    <w:rsid w:val="007A334A"/>
    <w:rsid w:val="007A334D"/>
    <w:rsid w:val="007A335B"/>
    <w:rsid w:val="007A33A0"/>
    <w:rsid w:val="007A3595"/>
    <w:rsid w:val="007A3732"/>
    <w:rsid w:val="007A39D4"/>
    <w:rsid w:val="007A3BD0"/>
    <w:rsid w:val="007A3DC1"/>
    <w:rsid w:val="007A3F64"/>
    <w:rsid w:val="007A40BD"/>
    <w:rsid w:val="007A412C"/>
    <w:rsid w:val="007A4437"/>
    <w:rsid w:val="007A4509"/>
    <w:rsid w:val="007A4568"/>
    <w:rsid w:val="007A47A6"/>
    <w:rsid w:val="007A47EE"/>
    <w:rsid w:val="007A4AB9"/>
    <w:rsid w:val="007A4AFE"/>
    <w:rsid w:val="007A4BBA"/>
    <w:rsid w:val="007A4C2F"/>
    <w:rsid w:val="007A4D9B"/>
    <w:rsid w:val="007A4DB0"/>
    <w:rsid w:val="007A4DD9"/>
    <w:rsid w:val="007A4E77"/>
    <w:rsid w:val="007A502B"/>
    <w:rsid w:val="007A5034"/>
    <w:rsid w:val="007A5161"/>
    <w:rsid w:val="007A55EB"/>
    <w:rsid w:val="007A567A"/>
    <w:rsid w:val="007A577C"/>
    <w:rsid w:val="007A5864"/>
    <w:rsid w:val="007A5914"/>
    <w:rsid w:val="007A5A8B"/>
    <w:rsid w:val="007A5BD3"/>
    <w:rsid w:val="007A5E55"/>
    <w:rsid w:val="007A5F8C"/>
    <w:rsid w:val="007A605C"/>
    <w:rsid w:val="007A607E"/>
    <w:rsid w:val="007A61F8"/>
    <w:rsid w:val="007A625C"/>
    <w:rsid w:val="007A6373"/>
    <w:rsid w:val="007A6553"/>
    <w:rsid w:val="007A6877"/>
    <w:rsid w:val="007A6B52"/>
    <w:rsid w:val="007A6CA4"/>
    <w:rsid w:val="007A6CD3"/>
    <w:rsid w:val="007A6CF3"/>
    <w:rsid w:val="007A6E55"/>
    <w:rsid w:val="007A706D"/>
    <w:rsid w:val="007A72A3"/>
    <w:rsid w:val="007A72B4"/>
    <w:rsid w:val="007A7386"/>
    <w:rsid w:val="007A781E"/>
    <w:rsid w:val="007A7BED"/>
    <w:rsid w:val="007A7C95"/>
    <w:rsid w:val="007A7DC6"/>
    <w:rsid w:val="007A7FEC"/>
    <w:rsid w:val="007B03C5"/>
    <w:rsid w:val="007B0459"/>
    <w:rsid w:val="007B05BB"/>
    <w:rsid w:val="007B05F4"/>
    <w:rsid w:val="007B063D"/>
    <w:rsid w:val="007B0CE7"/>
    <w:rsid w:val="007B0F68"/>
    <w:rsid w:val="007B1064"/>
    <w:rsid w:val="007B14AE"/>
    <w:rsid w:val="007B15DA"/>
    <w:rsid w:val="007B16F2"/>
    <w:rsid w:val="007B1838"/>
    <w:rsid w:val="007B1A90"/>
    <w:rsid w:val="007B1AC0"/>
    <w:rsid w:val="007B1B34"/>
    <w:rsid w:val="007B1CB4"/>
    <w:rsid w:val="007B1E3E"/>
    <w:rsid w:val="007B2083"/>
    <w:rsid w:val="007B2484"/>
    <w:rsid w:val="007B24C8"/>
    <w:rsid w:val="007B25CA"/>
    <w:rsid w:val="007B29AC"/>
    <w:rsid w:val="007B29F8"/>
    <w:rsid w:val="007B2D34"/>
    <w:rsid w:val="007B3506"/>
    <w:rsid w:val="007B359D"/>
    <w:rsid w:val="007B37E9"/>
    <w:rsid w:val="007B3954"/>
    <w:rsid w:val="007B3FB7"/>
    <w:rsid w:val="007B40F9"/>
    <w:rsid w:val="007B4137"/>
    <w:rsid w:val="007B42B7"/>
    <w:rsid w:val="007B437D"/>
    <w:rsid w:val="007B47B1"/>
    <w:rsid w:val="007B48F1"/>
    <w:rsid w:val="007B490E"/>
    <w:rsid w:val="007B4AF8"/>
    <w:rsid w:val="007B4C45"/>
    <w:rsid w:val="007B4DAF"/>
    <w:rsid w:val="007B4DD5"/>
    <w:rsid w:val="007B503C"/>
    <w:rsid w:val="007B511E"/>
    <w:rsid w:val="007B5388"/>
    <w:rsid w:val="007B53AE"/>
    <w:rsid w:val="007B54C3"/>
    <w:rsid w:val="007B5620"/>
    <w:rsid w:val="007B587F"/>
    <w:rsid w:val="007B5931"/>
    <w:rsid w:val="007B594D"/>
    <w:rsid w:val="007B6007"/>
    <w:rsid w:val="007B6265"/>
    <w:rsid w:val="007B6412"/>
    <w:rsid w:val="007B6507"/>
    <w:rsid w:val="007B6640"/>
    <w:rsid w:val="007B66EC"/>
    <w:rsid w:val="007B67D7"/>
    <w:rsid w:val="007B6935"/>
    <w:rsid w:val="007B6A63"/>
    <w:rsid w:val="007B6AF4"/>
    <w:rsid w:val="007B6CE8"/>
    <w:rsid w:val="007B6ED8"/>
    <w:rsid w:val="007B710E"/>
    <w:rsid w:val="007B74B8"/>
    <w:rsid w:val="007B766A"/>
    <w:rsid w:val="007B76B6"/>
    <w:rsid w:val="007B777D"/>
    <w:rsid w:val="007B7816"/>
    <w:rsid w:val="007B78E3"/>
    <w:rsid w:val="007B7BF0"/>
    <w:rsid w:val="007B7CB6"/>
    <w:rsid w:val="007B7E48"/>
    <w:rsid w:val="007B7F96"/>
    <w:rsid w:val="007C00DF"/>
    <w:rsid w:val="007C0387"/>
    <w:rsid w:val="007C0589"/>
    <w:rsid w:val="007C059E"/>
    <w:rsid w:val="007C073D"/>
    <w:rsid w:val="007C07FA"/>
    <w:rsid w:val="007C0845"/>
    <w:rsid w:val="007C0D51"/>
    <w:rsid w:val="007C0FAA"/>
    <w:rsid w:val="007C1017"/>
    <w:rsid w:val="007C106E"/>
    <w:rsid w:val="007C1074"/>
    <w:rsid w:val="007C1140"/>
    <w:rsid w:val="007C1278"/>
    <w:rsid w:val="007C1430"/>
    <w:rsid w:val="007C14AE"/>
    <w:rsid w:val="007C1666"/>
    <w:rsid w:val="007C198F"/>
    <w:rsid w:val="007C1A7F"/>
    <w:rsid w:val="007C1C33"/>
    <w:rsid w:val="007C1EF0"/>
    <w:rsid w:val="007C1EFE"/>
    <w:rsid w:val="007C22EE"/>
    <w:rsid w:val="007C22F8"/>
    <w:rsid w:val="007C26BF"/>
    <w:rsid w:val="007C2986"/>
    <w:rsid w:val="007C2994"/>
    <w:rsid w:val="007C29E1"/>
    <w:rsid w:val="007C2ABE"/>
    <w:rsid w:val="007C2AE2"/>
    <w:rsid w:val="007C2C67"/>
    <w:rsid w:val="007C2E43"/>
    <w:rsid w:val="007C2ECD"/>
    <w:rsid w:val="007C31A4"/>
    <w:rsid w:val="007C368F"/>
    <w:rsid w:val="007C38F8"/>
    <w:rsid w:val="007C39E5"/>
    <w:rsid w:val="007C3A88"/>
    <w:rsid w:val="007C3BD8"/>
    <w:rsid w:val="007C3F0E"/>
    <w:rsid w:val="007C3F74"/>
    <w:rsid w:val="007C4013"/>
    <w:rsid w:val="007C4182"/>
    <w:rsid w:val="007C44BE"/>
    <w:rsid w:val="007C46C5"/>
    <w:rsid w:val="007C49FD"/>
    <w:rsid w:val="007C4EC4"/>
    <w:rsid w:val="007C4FB1"/>
    <w:rsid w:val="007C502E"/>
    <w:rsid w:val="007C50BD"/>
    <w:rsid w:val="007C5168"/>
    <w:rsid w:val="007C51A0"/>
    <w:rsid w:val="007C51F0"/>
    <w:rsid w:val="007C524B"/>
    <w:rsid w:val="007C5501"/>
    <w:rsid w:val="007C571B"/>
    <w:rsid w:val="007C57FA"/>
    <w:rsid w:val="007C5955"/>
    <w:rsid w:val="007C5A5E"/>
    <w:rsid w:val="007C5C86"/>
    <w:rsid w:val="007C5D24"/>
    <w:rsid w:val="007C60DC"/>
    <w:rsid w:val="007C6189"/>
    <w:rsid w:val="007C62E4"/>
    <w:rsid w:val="007C6411"/>
    <w:rsid w:val="007C651C"/>
    <w:rsid w:val="007C6A2A"/>
    <w:rsid w:val="007C6A94"/>
    <w:rsid w:val="007C6B6A"/>
    <w:rsid w:val="007C6F92"/>
    <w:rsid w:val="007C6FCA"/>
    <w:rsid w:val="007C71CE"/>
    <w:rsid w:val="007C7290"/>
    <w:rsid w:val="007C7557"/>
    <w:rsid w:val="007C75D0"/>
    <w:rsid w:val="007C7681"/>
    <w:rsid w:val="007C7708"/>
    <w:rsid w:val="007C7DAD"/>
    <w:rsid w:val="007D016F"/>
    <w:rsid w:val="007D0289"/>
    <w:rsid w:val="007D0305"/>
    <w:rsid w:val="007D068C"/>
    <w:rsid w:val="007D0824"/>
    <w:rsid w:val="007D08E9"/>
    <w:rsid w:val="007D0C5C"/>
    <w:rsid w:val="007D0C9C"/>
    <w:rsid w:val="007D0EBC"/>
    <w:rsid w:val="007D0EEC"/>
    <w:rsid w:val="007D0F01"/>
    <w:rsid w:val="007D11C7"/>
    <w:rsid w:val="007D1361"/>
    <w:rsid w:val="007D168E"/>
    <w:rsid w:val="007D1AE4"/>
    <w:rsid w:val="007D1D6D"/>
    <w:rsid w:val="007D1F35"/>
    <w:rsid w:val="007D1F9D"/>
    <w:rsid w:val="007D215E"/>
    <w:rsid w:val="007D21C2"/>
    <w:rsid w:val="007D21E9"/>
    <w:rsid w:val="007D2A35"/>
    <w:rsid w:val="007D2B22"/>
    <w:rsid w:val="007D2CFE"/>
    <w:rsid w:val="007D2E71"/>
    <w:rsid w:val="007D2F03"/>
    <w:rsid w:val="007D2FA1"/>
    <w:rsid w:val="007D30DB"/>
    <w:rsid w:val="007D3315"/>
    <w:rsid w:val="007D333B"/>
    <w:rsid w:val="007D3382"/>
    <w:rsid w:val="007D36CC"/>
    <w:rsid w:val="007D371E"/>
    <w:rsid w:val="007D3807"/>
    <w:rsid w:val="007D39BD"/>
    <w:rsid w:val="007D3A13"/>
    <w:rsid w:val="007D3A40"/>
    <w:rsid w:val="007D3AFE"/>
    <w:rsid w:val="007D3C61"/>
    <w:rsid w:val="007D3D03"/>
    <w:rsid w:val="007D3DA7"/>
    <w:rsid w:val="007D3EDC"/>
    <w:rsid w:val="007D43CD"/>
    <w:rsid w:val="007D43F8"/>
    <w:rsid w:val="007D448E"/>
    <w:rsid w:val="007D467E"/>
    <w:rsid w:val="007D46C8"/>
    <w:rsid w:val="007D4717"/>
    <w:rsid w:val="007D4812"/>
    <w:rsid w:val="007D4A1B"/>
    <w:rsid w:val="007D4AE8"/>
    <w:rsid w:val="007D4B5D"/>
    <w:rsid w:val="007D4CFA"/>
    <w:rsid w:val="007D4D05"/>
    <w:rsid w:val="007D4D2B"/>
    <w:rsid w:val="007D501D"/>
    <w:rsid w:val="007D5069"/>
    <w:rsid w:val="007D516C"/>
    <w:rsid w:val="007D52BA"/>
    <w:rsid w:val="007D5528"/>
    <w:rsid w:val="007D5839"/>
    <w:rsid w:val="007D58A9"/>
    <w:rsid w:val="007D5A32"/>
    <w:rsid w:val="007D5B7C"/>
    <w:rsid w:val="007D5BB2"/>
    <w:rsid w:val="007D5BC4"/>
    <w:rsid w:val="007D5C5E"/>
    <w:rsid w:val="007D5CF3"/>
    <w:rsid w:val="007D5D30"/>
    <w:rsid w:val="007D5E53"/>
    <w:rsid w:val="007D60DF"/>
    <w:rsid w:val="007D613A"/>
    <w:rsid w:val="007D61FD"/>
    <w:rsid w:val="007D65E6"/>
    <w:rsid w:val="007D683E"/>
    <w:rsid w:val="007D6A00"/>
    <w:rsid w:val="007D6A43"/>
    <w:rsid w:val="007D6AF8"/>
    <w:rsid w:val="007D6B49"/>
    <w:rsid w:val="007D6BE5"/>
    <w:rsid w:val="007D6E02"/>
    <w:rsid w:val="007D7379"/>
    <w:rsid w:val="007D738F"/>
    <w:rsid w:val="007D73FE"/>
    <w:rsid w:val="007D744A"/>
    <w:rsid w:val="007D7569"/>
    <w:rsid w:val="007D75CD"/>
    <w:rsid w:val="007D769C"/>
    <w:rsid w:val="007D780F"/>
    <w:rsid w:val="007D78CD"/>
    <w:rsid w:val="007D7927"/>
    <w:rsid w:val="007D7C74"/>
    <w:rsid w:val="007D7DEB"/>
    <w:rsid w:val="007D7F94"/>
    <w:rsid w:val="007E0198"/>
    <w:rsid w:val="007E0199"/>
    <w:rsid w:val="007E02A1"/>
    <w:rsid w:val="007E05DC"/>
    <w:rsid w:val="007E0656"/>
    <w:rsid w:val="007E0835"/>
    <w:rsid w:val="007E0A5C"/>
    <w:rsid w:val="007E0AC4"/>
    <w:rsid w:val="007E0B7E"/>
    <w:rsid w:val="007E0FA1"/>
    <w:rsid w:val="007E10A9"/>
    <w:rsid w:val="007E14E8"/>
    <w:rsid w:val="007E160F"/>
    <w:rsid w:val="007E17A8"/>
    <w:rsid w:val="007E18A2"/>
    <w:rsid w:val="007E1A57"/>
    <w:rsid w:val="007E1BAE"/>
    <w:rsid w:val="007E1BD0"/>
    <w:rsid w:val="007E1EC1"/>
    <w:rsid w:val="007E20A5"/>
    <w:rsid w:val="007E2262"/>
    <w:rsid w:val="007E229E"/>
    <w:rsid w:val="007E22EE"/>
    <w:rsid w:val="007E24D0"/>
    <w:rsid w:val="007E25AF"/>
    <w:rsid w:val="007E28CC"/>
    <w:rsid w:val="007E28F8"/>
    <w:rsid w:val="007E2976"/>
    <w:rsid w:val="007E29A9"/>
    <w:rsid w:val="007E2BA4"/>
    <w:rsid w:val="007E2CCE"/>
    <w:rsid w:val="007E2CD6"/>
    <w:rsid w:val="007E2E75"/>
    <w:rsid w:val="007E2FCD"/>
    <w:rsid w:val="007E338C"/>
    <w:rsid w:val="007E34D1"/>
    <w:rsid w:val="007E3750"/>
    <w:rsid w:val="007E37ED"/>
    <w:rsid w:val="007E38F6"/>
    <w:rsid w:val="007E3929"/>
    <w:rsid w:val="007E3BF3"/>
    <w:rsid w:val="007E4113"/>
    <w:rsid w:val="007E41D0"/>
    <w:rsid w:val="007E42CF"/>
    <w:rsid w:val="007E432E"/>
    <w:rsid w:val="007E43FA"/>
    <w:rsid w:val="007E440F"/>
    <w:rsid w:val="007E457E"/>
    <w:rsid w:val="007E45D0"/>
    <w:rsid w:val="007E46AB"/>
    <w:rsid w:val="007E4E45"/>
    <w:rsid w:val="007E500A"/>
    <w:rsid w:val="007E505F"/>
    <w:rsid w:val="007E517C"/>
    <w:rsid w:val="007E532B"/>
    <w:rsid w:val="007E53EA"/>
    <w:rsid w:val="007E55DA"/>
    <w:rsid w:val="007E5628"/>
    <w:rsid w:val="007E5798"/>
    <w:rsid w:val="007E5A26"/>
    <w:rsid w:val="007E5A7C"/>
    <w:rsid w:val="007E5CD8"/>
    <w:rsid w:val="007E5DFB"/>
    <w:rsid w:val="007E6248"/>
    <w:rsid w:val="007E6323"/>
    <w:rsid w:val="007E649B"/>
    <w:rsid w:val="007E6764"/>
    <w:rsid w:val="007E67E3"/>
    <w:rsid w:val="007E6ED5"/>
    <w:rsid w:val="007E73F1"/>
    <w:rsid w:val="007E74A6"/>
    <w:rsid w:val="007E75A7"/>
    <w:rsid w:val="007E7631"/>
    <w:rsid w:val="007E787E"/>
    <w:rsid w:val="007E7889"/>
    <w:rsid w:val="007E7A82"/>
    <w:rsid w:val="007E7B0E"/>
    <w:rsid w:val="007E7B11"/>
    <w:rsid w:val="007E7EFD"/>
    <w:rsid w:val="007E7FCD"/>
    <w:rsid w:val="007F01DB"/>
    <w:rsid w:val="007F02B8"/>
    <w:rsid w:val="007F0309"/>
    <w:rsid w:val="007F0348"/>
    <w:rsid w:val="007F040D"/>
    <w:rsid w:val="007F0432"/>
    <w:rsid w:val="007F05DA"/>
    <w:rsid w:val="007F05E7"/>
    <w:rsid w:val="007F06B6"/>
    <w:rsid w:val="007F0737"/>
    <w:rsid w:val="007F07B6"/>
    <w:rsid w:val="007F087F"/>
    <w:rsid w:val="007F0986"/>
    <w:rsid w:val="007F09C5"/>
    <w:rsid w:val="007F0D72"/>
    <w:rsid w:val="007F0EB8"/>
    <w:rsid w:val="007F1079"/>
    <w:rsid w:val="007F11C2"/>
    <w:rsid w:val="007F11DF"/>
    <w:rsid w:val="007F12B1"/>
    <w:rsid w:val="007F14E7"/>
    <w:rsid w:val="007F15B5"/>
    <w:rsid w:val="007F1A5C"/>
    <w:rsid w:val="007F1ABE"/>
    <w:rsid w:val="007F1AEC"/>
    <w:rsid w:val="007F1D08"/>
    <w:rsid w:val="007F1D14"/>
    <w:rsid w:val="007F1D54"/>
    <w:rsid w:val="007F1DA4"/>
    <w:rsid w:val="007F1DC0"/>
    <w:rsid w:val="007F207D"/>
    <w:rsid w:val="007F240C"/>
    <w:rsid w:val="007F2892"/>
    <w:rsid w:val="007F2E1D"/>
    <w:rsid w:val="007F3004"/>
    <w:rsid w:val="007F3184"/>
    <w:rsid w:val="007F3350"/>
    <w:rsid w:val="007F35C2"/>
    <w:rsid w:val="007F366E"/>
    <w:rsid w:val="007F37F5"/>
    <w:rsid w:val="007F382A"/>
    <w:rsid w:val="007F38E8"/>
    <w:rsid w:val="007F3938"/>
    <w:rsid w:val="007F3E3B"/>
    <w:rsid w:val="007F4176"/>
    <w:rsid w:val="007F44C6"/>
    <w:rsid w:val="007F45FF"/>
    <w:rsid w:val="007F46A1"/>
    <w:rsid w:val="007F47CF"/>
    <w:rsid w:val="007F4A3E"/>
    <w:rsid w:val="007F4A41"/>
    <w:rsid w:val="007F4DCF"/>
    <w:rsid w:val="007F4EC1"/>
    <w:rsid w:val="007F50A7"/>
    <w:rsid w:val="007F53AE"/>
    <w:rsid w:val="007F54CD"/>
    <w:rsid w:val="007F54CF"/>
    <w:rsid w:val="007F5A68"/>
    <w:rsid w:val="007F5D38"/>
    <w:rsid w:val="007F5D8B"/>
    <w:rsid w:val="007F5EE8"/>
    <w:rsid w:val="007F5F15"/>
    <w:rsid w:val="007F64E1"/>
    <w:rsid w:val="007F6561"/>
    <w:rsid w:val="007F65D1"/>
    <w:rsid w:val="007F668D"/>
    <w:rsid w:val="007F6740"/>
    <w:rsid w:val="007F69F1"/>
    <w:rsid w:val="007F6AEB"/>
    <w:rsid w:val="007F6B22"/>
    <w:rsid w:val="007F6B48"/>
    <w:rsid w:val="007F6B78"/>
    <w:rsid w:val="007F6D4F"/>
    <w:rsid w:val="007F6D53"/>
    <w:rsid w:val="007F6D9E"/>
    <w:rsid w:val="007F7248"/>
    <w:rsid w:val="007F725E"/>
    <w:rsid w:val="007F72B0"/>
    <w:rsid w:val="007F72B7"/>
    <w:rsid w:val="007F7492"/>
    <w:rsid w:val="007F75E1"/>
    <w:rsid w:val="007F7798"/>
    <w:rsid w:val="007F782D"/>
    <w:rsid w:val="007F7846"/>
    <w:rsid w:val="007F7A4C"/>
    <w:rsid w:val="007F7C8D"/>
    <w:rsid w:val="007F7D56"/>
    <w:rsid w:val="007F7E1A"/>
    <w:rsid w:val="00800581"/>
    <w:rsid w:val="008006D9"/>
    <w:rsid w:val="00800729"/>
    <w:rsid w:val="008007E5"/>
    <w:rsid w:val="008008B6"/>
    <w:rsid w:val="0080095D"/>
    <w:rsid w:val="00800992"/>
    <w:rsid w:val="00800BAF"/>
    <w:rsid w:val="00800DB9"/>
    <w:rsid w:val="00800E30"/>
    <w:rsid w:val="00801070"/>
    <w:rsid w:val="008010D3"/>
    <w:rsid w:val="008014F0"/>
    <w:rsid w:val="008016A9"/>
    <w:rsid w:val="008016BA"/>
    <w:rsid w:val="00801903"/>
    <w:rsid w:val="00801966"/>
    <w:rsid w:val="00801B98"/>
    <w:rsid w:val="00801BD8"/>
    <w:rsid w:val="00801CFF"/>
    <w:rsid w:val="00801DCE"/>
    <w:rsid w:val="00801FDB"/>
    <w:rsid w:val="00802347"/>
    <w:rsid w:val="008024A4"/>
    <w:rsid w:val="00802834"/>
    <w:rsid w:val="00802845"/>
    <w:rsid w:val="008029F8"/>
    <w:rsid w:val="00802A86"/>
    <w:rsid w:val="00802BAC"/>
    <w:rsid w:val="00802D7C"/>
    <w:rsid w:val="00802EA6"/>
    <w:rsid w:val="00803012"/>
    <w:rsid w:val="00803085"/>
    <w:rsid w:val="008032F1"/>
    <w:rsid w:val="00803371"/>
    <w:rsid w:val="008034D8"/>
    <w:rsid w:val="00803556"/>
    <w:rsid w:val="0080356E"/>
    <w:rsid w:val="0080368A"/>
    <w:rsid w:val="0080373D"/>
    <w:rsid w:val="0080389D"/>
    <w:rsid w:val="00803C78"/>
    <w:rsid w:val="00803D0A"/>
    <w:rsid w:val="00803D5F"/>
    <w:rsid w:val="00803E18"/>
    <w:rsid w:val="00803E45"/>
    <w:rsid w:val="00803F90"/>
    <w:rsid w:val="0080410D"/>
    <w:rsid w:val="00804146"/>
    <w:rsid w:val="00804172"/>
    <w:rsid w:val="008042CA"/>
    <w:rsid w:val="008043BF"/>
    <w:rsid w:val="0080467B"/>
    <w:rsid w:val="008046B0"/>
    <w:rsid w:val="00804A11"/>
    <w:rsid w:val="00804A71"/>
    <w:rsid w:val="00804A9F"/>
    <w:rsid w:val="00804D7C"/>
    <w:rsid w:val="00804D7F"/>
    <w:rsid w:val="00804E28"/>
    <w:rsid w:val="00804F24"/>
    <w:rsid w:val="00804FF0"/>
    <w:rsid w:val="008050E7"/>
    <w:rsid w:val="0080515E"/>
    <w:rsid w:val="0080527E"/>
    <w:rsid w:val="008054F9"/>
    <w:rsid w:val="00805560"/>
    <w:rsid w:val="00805704"/>
    <w:rsid w:val="00805730"/>
    <w:rsid w:val="008059E8"/>
    <w:rsid w:val="00805E78"/>
    <w:rsid w:val="00805F91"/>
    <w:rsid w:val="00806085"/>
    <w:rsid w:val="00806289"/>
    <w:rsid w:val="00806343"/>
    <w:rsid w:val="0080641D"/>
    <w:rsid w:val="0080652C"/>
    <w:rsid w:val="008065F3"/>
    <w:rsid w:val="0080676E"/>
    <w:rsid w:val="00806841"/>
    <w:rsid w:val="00806850"/>
    <w:rsid w:val="00806901"/>
    <w:rsid w:val="00806A95"/>
    <w:rsid w:val="00806AAF"/>
    <w:rsid w:val="00806D23"/>
    <w:rsid w:val="00806E4E"/>
    <w:rsid w:val="008070C3"/>
    <w:rsid w:val="00807231"/>
    <w:rsid w:val="008072F9"/>
    <w:rsid w:val="0080751E"/>
    <w:rsid w:val="00807591"/>
    <w:rsid w:val="008100DA"/>
    <w:rsid w:val="00810298"/>
    <w:rsid w:val="008102B8"/>
    <w:rsid w:val="00810457"/>
    <w:rsid w:val="008104D5"/>
    <w:rsid w:val="00810574"/>
    <w:rsid w:val="008105A4"/>
    <w:rsid w:val="0081069F"/>
    <w:rsid w:val="00810B71"/>
    <w:rsid w:val="00810BC6"/>
    <w:rsid w:val="00810D82"/>
    <w:rsid w:val="00810E45"/>
    <w:rsid w:val="00810FC7"/>
    <w:rsid w:val="00810FE1"/>
    <w:rsid w:val="008114DF"/>
    <w:rsid w:val="008118E2"/>
    <w:rsid w:val="0081194C"/>
    <w:rsid w:val="00811955"/>
    <w:rsid w:val="00811A2D"/>
    <w:rsid w:val="00811D6E"/>
    <w:rsid w:val="00811E68"/>
    <w:rsid w:val="00811F13"/>
    <w:rsid w:val="00812001"/>
    <w:rsid w:val="008122E4"/>
    <w:rsid w:val="00812602"/>
    <w:rsid w:val="0081267E"/>
    <w:rsid w:val="008128EC"/>
    <w:rsid w:val="008129EB"/>
    <w:rsid w:val="00812A87"/>
    <w:rsid w:val="00812D0E"/>
    <w:rsid w:val="00812FE7"/>
    <w:rsid w:val="00813150"/>
    <w:rsid w:val="0081321F"/>
    <w:rsid w:val="00813571"/>
    <w:rsid w:val="00813995"/>
    <w:rsid w:val="00813A7C"/>
    <w:rsid w:val="00813A80"/>
    <w:rsid w:val="00813BBB"/>
    <w:rsid w:val="00813BFB"/>
    <w:rsid w:val="00813D39"/>
    <w:rsid w:val="00813D61"/>
    <w:rsid w:val="00813DCA"/>
    <w:rsid w:val="00813DE9"/>
    <w:rsid w:val="00813E3E"/>
    <w:rsid w:val="00813F02"/>
    <w:rsid w:val="00813F17"/>
    <w:rsid w:val="008141DB"/>
    <w:rsid w:val="00814338"/>
    <w:rsid w:val="00814401"/>
    <w:rsid w:val="0081476D"/>
    <w:rsid w:val="00814782"/>
    <w:rsid w:val="00814798"/>
    <w:rsid w:val="00814925"/>
    <w:rsid w:val="00814E6B"/>
    <w:rsid w:val="00814F76"/>
    <w:rsid w:val="008150B3"/>
    <w:rsid w:val="008150EF"/>
    <w:rsid w:val="00815109"/>
    <w:rsid w:val="00815126"/>
    <w:rsid w:val="0081520A"/>
    <w:rsid w:val="00815353"/>
    <w:rsid w:val="00815366"/>
    <w:rsid w:val="0081555E"/>
    <w:rsid w:val="0081568A"/>
    <w:rsid w:val="008157B5"/>
    <w:rsid w:val="00815978"/>
    <w:rsid w:val="00815A0B"/>
    <w:rsid w:val="00815B3E"/>
    <w:rsid w:val="00815B53"/>
    <w:rsid w:val="00815D04"/>
    <w:rsid w:val="00815F52"/>
    <w:rsid w:val="008162CC"/>
    <w:rsid w:val="00816325"/>
    <w:rsid w:val="00816480"/>
    <w:rsid w:val="00816503"/>
    <w:rsid w:val="00816982"/>
    <w:rsid w:val="00816BC3"/>
    <w:rsid w:val="00816BFD"/>
    <w:rsid w:val="00816EE4"/>
    <w:rsid w:val="00816EF7"/>
    <w:rsid w:val="00816F06"/>
    <w:rsid w:val="00816F5F"/>
    <w:rsid w:val="00817020"/>
    <w:rsid w:val="00817084"/>
    <w:rsid w:val="0081712A"/>
    <w:rsid w:val="00817147"/>
    <w:rsid w:val="0081715F"/>
    <w:rsid w:val="0081741C"/>
    <w:rsid w:val="00817507"/>
    <w:rsid w:val="008175A6"/>
    <w:rsid w:val="00817843"/>
    <w:rsid w:val="00817A62"/>
    <w:rsid w:val="00817BBF"/>
    <w:rsid w:val="0082021C"/>
    <w:rsid w:val="008202C3"/>
    <w:rsid w:val="008203E9"/>
    <w:rsid w:val="0082045A"/>
    <w:rsid w:val="008205F9"/>
    <w:rsid w:val="0082071A"/>
    <w:rsid w:val="0082090C"/>
    <w:rsid w:val="00820AA1"/>
    <w:rsid w:val="00820B9C"/>
    <w:rsid w:val="00820C5A"/>
    <w:rsid w:val="00820CA0"/>
    <w:rsid w:val="008210D3"/>
    <w:rsid w:val="008216B5"/>
    <w:rsid w:val="00821748"/>
    <w:rsid w:val="008218A2"/>
    <w:rsid w:val="008218A4"/>
    <w:rsid w:val="00821918"/>
    <w:rsid w:val="00821944"/>
    <w:rsid w:val="00821AD6"/>
    <w:rsid w:val="00821B00"/>
    <w:rsid w:val="00821BF9"/>
    <w:rsid w:val="00821D5A"/>
    <w:rsid w:val="00821FEE"/>
    <w:rsid w:val="0082217E"/>
    <w:rsid w:val="00822314"/>
    <w:rsid w:val="008224E3"/>
    <w:rsid w:val="0082257C"/>
    <w:rsid w:val="00822634"/>
    <w:rsid w:val="00822861"/>
    <w:rsid w:val="00822862"/>
    <w:rsid w:val="00822DFE"/>
    <w:rsid w:val="00822EA2"/>
    <w:rsid w:val="008232A5"/>
    <w:rsid w:val="008232EA"/>
    <w:rsid w:val="0082348F"/>
    <w:rsid w:val="00823622"/>
    <w:rsid w:val="0082372A"/>
    <w:rsid w:val="008238BC"/>
    <w:rsid w:val="00823A29"/>
    <w:rsid w:val="00823B48"/>
    <w:rsid w:val="00823BD9"/>
    <w:rsid w:val="00823BDA"/>
    <w:rsid w:val="00823D9C"/>
    <w:rsid w:val="00823DC3"/>
    <w:rsid w:val="00823E25"/>
    <w:rsid w:val="00823F7F"/>
    <w:rsid w:val="00823FC9"/>
    <w:rsid w:val="0082429C"/>
    <w:rsid w:val="008248F5"/>
    <w:rsid w:val="008249BB"/>
    <w:rsid w:val="00824B21"/>
    <w:rsid w:val="00824B74"/>
    <w:rsid w:val="00824EBB"/>
    <w:rsid w:val="00825022"/>
    <w:rsid w:val="00825038"/>
    <w:rsid w:val="0082515B"/>
    <w:rsid w:val="00825161"/>
    <w:rsid w:val="0082518E"/>
    <w:rsid w:val="008252BE"/>
    <w:rsid w:val="008252EE"/>
    <w:rsid w:val="0082530E"/>
    <w:rsid w:val="0082535D"/>
    <w:rsid w:val="0082536D"/>
    <w:rsid w:val="008253CF"/>
    <w:rsid w:val="0082561B"/>
    <w:rsid w:val="008257A4"/>
    <w:rsid w:val="00825874"/>
    <w:rsid w:val="00825888"/>
    <w:rsid w:val="00825943"/>
    <w:rsid w:val="00825BB1"/>
    <w:rsid w:val="00825CA9"/>
    <w:rsid w:val="00825D17"/>
    <w:rsid w:val="00826033"/>
    <w:rsid w:val="008260E6"/>
    <w:rsid w:val="008261A3"/>
    <w:rsid w:val="008261ED"/>
    <w:rsid w:val="008262E4"/>
    <w:rsid w:val="0082631E"/>
    <w:rsid w:val="00826440"/>
    <w:rsid w:val="008265AD"/>
    <w:rsid w:val="0082670D"/>
    <w:rsid w:val="008267B3"/>
    <w:rsid w:val="008268C3"/>
    <w:rsid w:val="00826A14"/>
    <w:rsid w:val="00826B87"/>
    <w:rsid w:val="00826C9B"/>
    <w:rsid w:val="00826EAF"/>
    <w:rsid w:val="00826F15"/>
    <w:rsid w:val="00827082"/>
    <w:rsid w:val="00827471"/>
    <w:rsid w:val="00827529"/>
    <w:rsid w:val="00827583"/>
    <w:rsid w:val="0082759B"/>
    <w:rsid w:val="00827A85"/>
    <w:rsid w:val="00827B61"/>
    <w:rsid w:val="00827BEB"/>
    <w:rsid w:val="00827C59"/>
    <w:rsid w:val="00827CDA"/>
    <w:rsid w:val="00827F85"/>
    <w:rsid w:val="008300E4"/>
    <w:rsid w:val="00830420"/>
    <w:rsid w:val="00830602"/>
    <w:rsid w:val="00830632"/>
    <w:rsid w:val="00830699"/>
    <w:rsid w:val="008309D6"/>
    <w:rsid w:val="00830BDE"/>
    <w:rsid w:val="00830C36"/>
    <w:rsid w:val="00830C6A"/>
    <w:rsid w:val="00831051"/>
    <w:rsid w:val="00831056"/>
    <w:rsid w:val="0083108E"/>
    <w:rsid w:val="00831277"/>
    <w:rsid w:val="008314E2"/>
    <w:rsid w:val="008314EE"/>
    <w:rsid w:val="0083153B"/>
    <w:rsid w:val="00831B3D"/>
    <w:rsid w:val="00831B7B"/>
    <w:rsid w:val="00831C51"/>
    <w:rsid w:val="00832017"/>
    <w:rsid w:val="00832297"/>
    <w:rsid w:val="008323DD"/>
    <w:rsid w:val="008323F4"/>
    <w:rsid w:val="0083265F"/>
    <w:rsid w:val="008327BC"/>
    <w:rsid w:val="008328AA"/>
    <w:rsid w:val="008328C0"/>
    <w:rsid w:val="008328FA"/>
    <w:rsid w:val="008329CF"/>
    <w:rsid w:val="00832B66"/>
    <w:rsid w:val="00832BC8"/>
    <w:rsid w:val="00832BF5"/>
    <w:rsid w:val="00832C77"/>
    <w:rsid w:val="00832D1A"/>
    <w:rsid w:val="00832E7E"/>
    <w:rsid w:val="00833066"/>
    <w:rsid w:val="00833116"/>
    <w:rsid w:val="008334D2"/>
    <w:rsid w:val="0083360A"/>
    <w:rsid w:val="008336E1"/>
    <w:rsid w:val="0083381E"/>
    <w:rsid w:val="00833B95"/>
    <w:rsid w:val="00833C1B"/>
    <w:rsid w:val="00833EF8"/>
    <w:rsid w:val="00834055"/>
    <w:rsid w:val="008340C9"/>
    <w:rsid w:val="00834125"/>
    <w:rsid w:val="00834344"/>
    <w:rsid w:val="0083436C"/>
    <w:rsid w:val="00834A5C"/>
    <w:rsid w:val="00834A97"/>
    <w:rsid w:val="00834B6C"/>
    <w:rsid w:val="00834CDD"/>
    <w:rsid w:val="00834DA2"/>
    <w:rsid w:val="00834FC2"/>
    <w:rsid w:val="00835107"/>
    <w:rsid w:val="0083529B"/>
    <w:rsid w:val="00835384"/>
    <w:rsid w:val="008355D6"/>
    <w:rsid w:val="008358C2"/>
    <w:rsid w:val="008358F5"/>
    <w:rsid w:val="00835B1A"/>
    <w:rsid w:val="00835B52"/>
    <w:rsid w:val="00835CBD"/>
    <w:rsid w:val="00835D35"/>
    <w:rsid w:val="00835D53"/>
    <w:rsid w:val="00835DA6"/>
    <w:rsid w:val="00835E99"/>
    <w:rsid w:val="00835E9F"/>
    <w:rsid w:val="00836005"/>
    <w:rsid w:val="00836214"/>
    <w:rsid w:val="00836403"/>
    <w:rsid w:val="0083664C"/>
    <w:rsid w:val="00836832"/>
    <w:rsid w:val="008368A1"/>
    <w:rsid w:val="00836BB1"/>
    <w:rsid w:val="00836C28"/>
    <w:rsid w:val="00836F1C"/>
    <w:rsid w:val="008371EB"/>
    <w:rsid w:val="00837243"/>
    <w:rsid w:val="0083724F"/>
    <w:rsid w:val="00837603"/>
    <w:rsid w:val="0083797B"/>
    <w:rsid w:val="008379C4"/>
    <w:rsid w:val="00837A2B"/>
    <w:rsid w:val="00837ACA"/>
    <w:rsid w:val="00837D0B"/>
    <w:rsid w:val="00837DC9"/>
    <w:rsid w:val="00837DF8"/>
    <w:rsid w:val="00840111"/>
    <w:rsid w:val="00840708"/>
    <w:rsid w:val="00840874"/>
    <w:rsid w:val="00840891"/>
    <w:rsid w:val="00840B3D"/>
    <w:rsid w:val="00840BA2"/>
    <w:rsid w:val="00840C36"/>
    <w:rsid w:val="00840DCD"/>
    <w:rsid w:val="00840FB3"/>
    <w:rsid w:val="00841044"/>
    <w:rsid w:val="00841093"/>
    <w:rsid w:val="00841169"/>
    <w:rsid w:val="00841214"/>
    <w:rsid w:val="008413F1"/>
    <w:rsid w:val="0084150B"/>
    <w:rsid w:val="00841629"/>
    <w:rsid w:val="008416DD"/>
    <w:rsid w:val="0084172E"/>
    <w:rsid w:val="0084174A"/>
    <w:rsid w:val="008417AA"/>
    <w:rsid w:val="008419F9"/>
    <w:rsid w:val="00841CB5"/>
    <w:rsid w:val="00841E06"/>
    <w:rsid w:val="00841EDE"/>
    <w:rsid w:val="00841F3A"/>
    <w:rsid w:val="00842026"/>
    <w:rsid w:val="008425B0"/>
    <w:rsid w:val="008426E9"/>
    <w:rsid w:val="00842761"/>
    <w:rsid w:val="00842821"/>
    <w:rsid w:val="00842A55"/>
    <w:rsid w:val="00842B58"/>
    <w:rsid w:val="00842C1A"/>
    <w:rsid w:val="00842D61"/>
    <w:rsid w:val="00842DDF"/>
    <w:rsid w:val="00842EB9"/>
    <w:rsid w:val="008430D6"/>
    <w:rsid w:val="0084335A"/>
    <w:rsid w:val="00843391"/>
    <w:rsid w:val="0084343E"/>
    <w:rsid w:val="008436A7"/>
    <w:rsid w:val="00843726"/>
    <w:rsid w:val="00843755"/>
    <w:rsid w:val="00843AD9"/>
    <w:rsid w:val="00843B73"/>
    <w:rsid w:val="00843C2A"/>
    <w:rsid w:val="00844097"/>
    <w:rsid w:val="008440FC"/>
    <w:rsid w:val="008442F0"/>
    <w:rsid w:val="00844300"/>
    <w:rsid w:val="008444E0"/>
    <w:rsid w:val="008445FB"/>
    <w:rsid w:val="00844A00"/>
    <w:rsid w:val="00844AAD"/>
    <w:rsid w:val="00844AC4"/>
    <w:rsid w:val="00844E3D"/>
    <w:rsid w:val="00845046"/>
    <w:rsid w:val="00845098"/>
    <w:rsid w:val="00845276"/>
    <w:rsid w:val="008453BD"/>
    <w:rsid w:val="0084540C"/>
    <w:rsid w:val="008454B5"/>
    <w:rsid w:val="00845561"/>
    <w:rsid w:val="00845593"/>
    <w:rsid w:val="008455E4"/>
    <w:rsid w:val="00845646"/>
    <w:rsid w:val="00845D36"/>
    <w:rsid w:val="00845D9C"/>
    <w:rsid w:val="00845ED6"/>
    <w:rsid w:val="0084601F"/>
    <w:rsid w:val="0084624D"/>
    <w:rsid w:val="008465EA"/>
    <w:rsid w:val="008465ED"/>
    <w:rsid w:val="00846805"/>
    <w:rsid w:val="008468C2"/>
    <w:rsid w:val="00846A9D"/>
    <w:rsid w:val="00846C24"/>
    <w:rsid w:val="00846C54"/>
    <w:rsid w:val="00846E2D"/>
    <w:rsid w:val="00846EAD"/>
    <w:rsid w:val="00846FC3"/>
    <w:rsid w:val="00847006"/>
    <w:rsid w:val="0084708A"/>
    <w:rsid w:val="008473CF"/>
    <w:rsid w:val="00847783"/>
    <w:rsid w:val="00847983"/>
    <w:rsid w:val="00847BFC"/>
    <w:rsid w:val="00847C34"/>
    <w:rsid w:val="00847DD7"/>
    <w:rsid w:val="00850173"/>
    <w:rsid w:val="00850279"/>
    <w:rsid w:val="00850492"/>
    <w:rsid w:val="008505E2"/>
    <w:rsid w:val="008507B2"/>
    <w:rsid w:val="00850A80"/>
    <w:rsid w:val="00850B40"/>
    <w:rsid w:val="00850BB9"/>
    <w:rsid w:val="00850CBE"/>
    <w:rsid w:val="00850D1B"/>
    <w:rsid w:val="00850F51"/>
    <w:rsid w:val="00851071"/>
    <w:rsid w:val="008511F5"/>
    <w:rsid w:val="00851224"/>
    <w:rsid w:val="008512C4"/>
    <w:rsid w:val="008512C6"/>
    <w:rsid w:val="008513D7"/>
    <w:rsid w:val="008516AF"/>
    <w:rsid w:val="008516E8"/>
    <w:rsid w:val="0085171C"/>
    <w:rsid w:val="00851750"/>
    <w:rsid w:val="00851841"/>
    <w:rsid w:val="00851895"/>
    <w:rsid w:val="008519A1"/>
    <w:rsid w:val="00851A5F"/>
    <w:rsid w:val="00851C4A"/>
    <w:rsid w:val="00851F57"/>
    <w:rsid w:val="00852119"/>
    <w:rsid w:val="0085223E"/>
    <w:rsid w:val="0085229A"/>
    <w:rsid w:val="0085259B"/>
    <w:rsid w:val="00852609"/>
    <w:rsid w:val="008526DC"/>
    <w:rsid w:val="0085270F"/>
    <w:rsid w:val="0085272D"/>
    <w:rsid w:val="00852830"/>
    <w:rsid w:val="00852924"/>
    <w:rsid w:val="00852943"/>
    <w:rsid w:val="00852AD7"/>
    <w:rsid w:val="00852C3F"/>
    <w:rsid w:val="00853302"/>
    <w:rsid w:val="0085349B"/>
    <w:rsid w:val="008534D8"/>
    <w:rsid w:val="008534DF"/>
    <w:rsid w:val="00853A78"/>
    <w:rsid w:val="00853DB7"/>
    <w:rsid w:val="00853F73"/>
    <w:rsid w:val="0085402C"/>
    <w:rsid w:val="008540C7"/>
    <w:rsid w:val="008540D6"/>
    <w:rsid w:val="0085414A"/>
    <w:rsid w:val="00854257"/>
    <w:rsid w:val="008543DA"/>
    <w:rsid w:val="0085452E"/>
    <w:rsid w:val="008548D0"/>
    <w:rsid w:val="00854C9C"/>
    <w:rsid w:val="00854CDF"/>
    <w:rsid w:val="00855191"/>
    <w:rsid w:val="00855219"/>
    <w:rsid w:val="00855454"/>
    <w:rsid w:val="0085549D"/>
    <w:rsid w:val="00855BDC"/>
    <w:rsid w:val="00855DFB"/>
    <w:rsid w:val="00855EA2"/>
    <w:rsid w:val="00856147"/>
    <w:rsid w:val="0085615F"/>
    <w:rsid w:val="00856310"/>
    <w:rsid w:val="00856375"/>
    <w:rsid w:val="0085638E"/>
    <w:rsid w:val="00856614"/>
    <w:rsid w:val="008566CF"/>
    <w:rsid w:val="00856703"/>
    <w:rsid w:val="00856718"/>
    <w:rsid w:val="008567F0"/>
    <w:rsid w:val="00856E2F"/>
    <w:rsid w:val="00856E47"/>
    <w:rsid w:val="00856EF0"/>
    <w:rsid w:val="00856EF9"/>
    <w:rsid w:val="00856FEB"/>
    <w:rsid w:val="00857020"/>
    <w:rsid w:val="00857592"/>
    <w:rsid w:val="008575F0"/>
    <w:rsid w:val="0085760D"/>
    <w:rsid w:val="008576D3"/>
    <w:rsid w:val="008576F3"/>
    <w:rsid w:val="00860033"/>
    <w:rsid w:val="00860572"/>
    <w:rsid w:val="00860610"/>
    <w:rsid w:val="00860687"/>
    <w:rsid w:val="00860706"/>
    <w:rsid w:val="0086070D"/>
    <w:rsid w:val="00860882"/>
    <w:rsid w:val="00860AC2"/>
    <w:rsid w:val="00860D9E"/>
    <w:rsid w:val="00860E31"/>
    <w:rsid w:val="00860F04"/>
    <w:rsid w:val="00860F39"/>
    <w:rsid w:val="00861194"/>
    <w:rsid w:val="008611DB"/>
    <w:rsid w:val="00861377"/>
    <w:rsid w:val="00861576"/>
    <w:rsid w:val="00861942"/>
    <w:rsid w:val="008619D9"/>
    <w:rsid w:val="00861E4A"/>
    <w:rsid w:val="00862052"/>
    <w:rsid w:val="0086206D"/>
    <w:rsid w:val="008621A8"/>
    <w:rsid w:val="008623EA"/>
    <w:rsid w:val="00862540"/>
    <w:rsid w:val="0086267C"/>
    <w:rsid w:val="008626AA"/>
    <w:rsid w:val="0086271F"/>
    <w:rsid w:val="008628E7"/>
    <w:rsid w:val="00862A2F"/>
    <w:rsid w:val="00862B18"/>
    <w:rsid w:val="00862BE8"/>
    <w:rsid w:val="00862CDC"/>
    <w:rsid w:val="00862EF7"/>
    <w:rsid w:val="0086302E"/>
    <w:rsid w:val="00863312"/>
    <w:rsid w:val="00863313"/>
    <w:rsid w:val="00863399"/>
    <w:rsid w:val="0086342D"/>
    <w:rsid w:val="008634F5"/>
    <w:rsid w:val="008635A3"/>
    <w:rsid w:val="008637C0"/>
    <w:rsid w:val="008638A8"/>
    <w:rsid w:val="008639B0"/>
    <w:rsid w:val="00863B13"/>
    <w:rsid w:val="00863BC7"/>
    <w:rsid w:val="00863FEF"/>
    <w:rsid w:val="008641F7"/>
    <w:rsid w:val="0086436A"/>
    <w:rsid w:val="0086444A"/>
    <w:rsid w:val="008646FB"/>
    <w:rsid w:val="00864B04"/>
    <w:rsid w:val="00864B27"/>
    <w:rsid w:val="00864BBB"/>
    <w:rsid w:val="00864EEF"/>
    <w:rsid w:val="00864F46"/>
    <w:rsid w:val="00864F76"/>
    <w:rsid w:val="00864FF8"/>
    <w:rsid w:val="008650F5"/>
    <w:rsid w:val="0086516B"/>
    <w:rsid w:val="0086539B"/>
    <w:rsid w:val="00865506"/>
    <w:rsid w:val="00865560"/>
    <w:rsid w:val="0086581A"/>
    <w:rsid w:val="00865865"/>
    <w:rsid w:val="008658A9"/>
    <w:rsid w:val="00865911"/>
    <w:rsid w:val="00865A67"/>
    <w:rsid w:val="00865D95"/>
    <w:rsid w:val="00865DCD"/>
    <w:rsid w:val="00865E8D"/>
    <w:rsid w:val="008660D5"/>
    <w:rsid w:val="00866364"/>
    <w:rsid w:val="0086636E"/>
    <w:rsid w:val="008664E2"/>
    <w:rsid w:val="008665AA"/>
    <w:rsid w:val="008666B4"/>
    <w:rsid w:val="00866A3F"/>
    <w:rsid w:val="00866A47"/>
    <w:rsid w:val="00866C31"/>
    <w:rsid w:val="00866CED"/>
    <w:rsid w:val="00866EE1"/>
    <w:rsid w:val="00867315"/>
    <w:rsid w:val="00867407"/>
    <w:rsid w:val="0086748C"/>
    <w:rsid w:val="008674D9"/>
    <w:rsid w:val="0086766C"/>
    <w:rsid w:val="00867861"/>
    <w:rsid w:val="00867931"/>
    <w:rsid w:val="00867C93"/>
    <w:rsid w:val="00867D4A"/>
    <w:rsid w:val="00870002"/>
    <w:rsid w:val="008702F1"/>
    <w:rsid w:val="0087037C"/>
    <w:rsid w:val="008704CC"/>
    <w:rsid w:val="008705FA"/>
    <w:rsid w:val="008707A3"/>
    <w:rsid w:val="00870914"/>
    <w:rsid w:val="00870988"/>
    <w:rsid w:val="00870B3B"/>
    <w:rsid w:val="00871176"/>
    <w:rsid w:val="008711C8"/>
    <w:rsid w:val="0087144D"/>
    <w:rsid w:val="00871572"/>
    <w:rsid w:val="00871598"/>
    <w:rsid w:val="008716DC"/>
    <w:rsid w:val="00871B50"/>
    <w:rsid w:val="00871BFF"/>
    <w:rsid w:val="00871E55"/>
    <w:rsid w:val="00871E5F"/>
    <w:rsid w:val="00872118"/>
    <w:rsid w:val="00872119"/>
    <w:rsid w:val="008722B4"/>
    <w:rsid w:val="00872506"/>
    <w:rsid w:val="00872566"/>
    <w:rsid w:val="00872581"/>
    <w:rsid w:val="0087267C"/>
    <w:rsid w:val="0087272B"/>
    <w:rsid w:val="0087277B"/>
    <w:rsid w:val="008728AE"/>
    <w:rsid w:val="00872994"/>
    <w:rsid w:val="008729DA"/>
    <w:rsid w:val="00872CCC"/>
    <w:rsid w:val="00872D95"/>
    <w:rsid w:val="00872DCE"/>
    <w:rsid w:val="00872E21"/>
    <w:rsid w:val="00872FA9"/>
    <w:rsid w:val="00873485"/>
    <w:rsid w:val="0087351C"/>
    <w:rsid w:val="00873574"/>
    <w:rsid w:val="00873806"/>
    <w:rsid w:val="00873B3E"/>
    <w:rsid w:val="00873DB8"/>
    <w:rsid w:val="00873E1C"/>
    <w:rsid w:val="00873F23"/>
    <w:rsid w:val="00873F75"/>
    <w:rsid w:val="008743F1"/>
    <w:rsid w:val="00874506"/>
    <w:rsid w:val="008746FC"/>
    <w:rsid w:val="00874B30"/>
    <w:rsid w:val="00874B3A"/>
    <w:rsid w:val="00874C6E"/>
    <w:rsid w:val="00874D2D"/>
    <w:rsid w:val="00874D54"/>
    <w:rsid w:val="00874E6C"/>
    <w:rsid w:val="00874EA5"/>
    <w:rsid w:val="0087553D"/>
    <w:rsid w:val="008755B4"/>
    <w:rsid w:val="008755D8"/>
    <w:rsid w:val="00875832"/>
    <w:rsid w:val="00875857"/>
    <w:rsid w:val="00875A18"/>
    <w:rsid w:val="008760FB"/>
    <w:rsid w:val="00876396"/>
    <w:rsid w:val="008766EF"/>
    <w:rsid w:val="00876757"/>
    <w:rsid w:val="00876868"/>
    <w:rsid w:val="008769AE"/>
    <w:rsid w:val="00876B66"/>
    <w:rsid w:val="00876B90"/>
    <w:rsid w:val="00876BEA"/>
    <w:rsid w:val="00876C2E"/>
    <w:rsid w:val="00876E1B"/>
    <w:rsid w:val="00877177"/>
    <w:rsid w:val="0087724F"/>
    <w:rsid w:val="008772AD"/>
    <w:rsid w:val="0087735E"/>
    <w:rsid w:val="00877606"/>
    <w:rsid w:val="0087761E"/>
    <w:rsid w:val="008776DC"/>
    <w:rsid w:val="0087779F"/>
    <w:rsid w:val="00877861"/>
    <w:rsid w:val="00877980"/>
    <w:rsid w:val="0088017D"/>
    <w:rsid w:val="0088022A"/>
    <w:rsid w:val="008804F4"/>
    <w:rsid w:val="008805F6"/>
    <w:rsid w:val="0088064B"/>
    <w:rsid w:val="008808AD"/>
    <w:rsid w:val="0088096F"/>
    <w:rsid w:val="00880D3F"/>
    <w:rsid w:val="008812CA"/>
    <w:rsid w:val="0088138C"/>
    <w:rsid w:val="00881740"/>
    <w:rsid w:val="00881997"/>
    <w:rsid w:val="00881AAE"/>
    <w:rsid w:val="00881CAC"/>
    <w:rsid w:val="00881CDC"/>
    <w:rsid w:val="00881CF3"/>
    <w:rsid w:val="00881DD6"/>
    <w:rsid w:val="008820CB"/>
    <w:rsid w:val="0088221C"/>
    <w:rsid w:val="00882253"/>
    <w:rsid w:val="00882276"/>
    <w:rsid w:val="008822C3"/>
    <w:rsid w:val="00882377"/>
    <w:rsid w:val="00882464"/>
    <w:rsid w:val="008824CB"/>
    <w:rsid w:val="00882626"/>
    <w:rsid w:val="00882743"/>
    <w:rsid w:val="008828A3"/>
    <w:rsid w:val="008829B2"/>
    <w:rsid w:val="008829B9"/>
    <w:rsid w:val="008829DD"/>
    <w:rsid w:val="00882A55"/>
    <w:rsid w:val="00882B84"/>
    <w:rsid w:val="00882BFA"/>
    <w:rsid w:val="00882C6F"/>
    <w:rsid w:val="00882D6E"/>
    <w:rsid w:val="00882E32"/>
    <w:rsid w:val="00882FED"/>
    <w:rsid w:val="008830AF"/>
    <w:rsid w:val="0088327D"/>
    <w:rsid w:val="008832B1"/>
    <w:rsid w:val="00883434"/>
    <w:rsid w:val="008834A2"/>
    <w:rsid w:val="008834D9"/>
    <w:rsid w:val="008835BB"/>
    <w:rsid w:val="00883627"/>
    <w:rsid w:val="008836D4"/>
    <w:rsid w:val="00883756"/>
    <w:rsid w:val="00883793"/>
    <w:rsid w:val="008837B2"/>
    <w:rsid w:val="008838D1"/>
    <w:rsid w:val="008839AC"/>
    <w:rsid w:val="00883BA9"/>
    <w:rsid w:val="00883E6A"/>
    <w:rsid w:val="00883EF9"/>
    <w:rsid w:val="00883F85"/>
    <w:rsid w:val="00883F8E"/>
    <w:rsid w:val="00884010"/>
    <w:rsid w:val="0088403E"/>
    <w:rsid w:val="00884412"/>
    <w:rsid w:val="00884429"/>
    <w:rsid w:val="0088459F"/>
    <w:rsid w:val="00884602"/>
    <w:rsid w:val="008846BF"/>
    <w:rsid w:val="00884710"/>
    <w:rsid w:val="00884866"/>
    <w:rsid w:val="00884A5A"/>
    <w:rsid w:val="00884EF6"/>
    <w:rsid w:val="0088511C"/>
    <w:rsid w:val="008851AB"/>
    <w:rsid w:val="0088525F"/>
    <w:rsid w:val="00885283"/>
    <w:rsid w:val="0088531B"/>
    <w:rsid w:val="0088540E"/>
    <w:rsid w:val="00885540"/>
    <w:rsid w:val="0088571E"/>
    <w:rsid w:val="008857F3"/>
    <w:rsid w:val="008858BC"/>
    <w:rsid w:val="00885A06"/>
    <w:rsid w:val="00885AAE"/>
    <w:rsid w:val="00885AD6"/>
    <w:rsid w:val="00885B67"/>
    <w:rsid w:val="00885B98"/>
    <w:rsid w:val="00885BFB"/>
    <w:rsid w:val="00885DBE"/>
    <w:rsid w:val="00885E11"/>
    <w:rsid w:val="008861AF"/>
    <w:rsid w:val="00886602"/>
    <w:rsid w:val="00886699"/>
    <w:rsid w:val="008866DC"/>
    <w:rsid w:val="00886707"/>
    <w:rsid w:val="008868DA"/>
    <w:rsid w:val="00886B2B"/>
    <w:rsid w:val="00886BAF"/>
    <w:rsid w:val="00886CE3"/>
    <w:rsid w:val="00886D06"/>
    <w:rsid w:val="00886D45"/>
    <w:rsid w:val="00886D5D"/>
    <w:rsid w:val="008871DE"/>
    <w:rsid w:val="00887391"/>
    <w:rsid w:val="00887643"/>
    <w:rsid w:val="008878EC"/>
    <w:rsid w:val="00887AEC"/>
    <w:rsid w:val="00887F78"/>
    <w:rsid w:val="0089018D"/>
    <w:rsid w:val="00890247"/>
    <w:rsid w:val="008903EA"/>
    <w:rsid w:val="00890542"/>
    <w:rsid w:val="00890698"/>
    <w:rsid w:val="00890745"/>
    <w:rsid w:val="00890763"/>
    <w:rsid w:val="00890843"/>
    <w:rsid w:val="00890988"/>
    <w:rsid w:val="00890A23"/>
    <w:rsid w:val="0089115A"/>
    <w:rsid w:val="00891263"/>
    <w:rsid w:val="008912F1"/>
    <w:rsid w:val="008914D6"/>
    <w:rsid w:val="0089156E"/>
    <w:rsid w:val="00891C38"/>
    <w:rsid w:val="00891F7B"/>
    <w:rsid w:val="008921E3"/>
    <w:rsid w:val="008924A3"/>
    <w:rsid w:val="0089294C"/>
    <w:rsid w:val="00892A3D"/>
    <w:rsid w:val="00892B5F"/>
    <w:rsid w:val="00892D50"/>
    <w:rsid w:val="00892E2C"/>
    <w:rsid w:val="00892F4B"/>
    <w:rsid w:val="00892FFB"/>
    <w:rsid w:val="00893010"/>
    <w:rsid w:val="00893022"/>
    <w:rsid w:val="00893076"/>
    <w:rsid w:val="0089326E"/>
    <w:rsid w:val="00893849"/>
    <w:rsid w:val="00893A40"/>
    <w:rsid w:val="00893A7A"/>
    <w:rsid w:val="00893B86"/>
    <w:rsid w:val="00893E01"/>
    <w:rsid w:val="00893E4A"/>
    <w:rsid w:val="00893E53"/>
    <w:rsid w:val="00893F5F"/>
    <w:rsid w:val="00894101"/>
    <w:rsid w:val="00894260"/>
    <w:rsid w:val="00894314"/>
    <w:rsid w:val="008945BA"/>
    <w:rsid w:val="008945C2"/>
    <w:rsid w:val="00894A49"/>
    <w:rsid w:val="00894ABD"/>
    <w:rsid w:val="00894CBD"/>
    <w:rsid w:val="00895267"/>
    <w:rsid w:val="008952D8"/>
    <w:rsid w:val="00895366"/>
    <w:rsid w:val="008957EE"/>
    <w:rsid w:val="00895875"/>
    <w:rsid w:val="008959E7"/>
    <w:rsid w:val="00895D72"/>
    <w:rsid w:val="00895D94"/>
    <w:rsid w:val="00895E1F"/>
    <w:rsid w:val="00895E22"/>
    <w:rsid w:val="00895E3F"/>
    <w:rsid w:val="00895FA4"/>
    <w:rsid w:val="00896025"/>
    <w:rsid w:val="0089612A"/>
    <w:rsid w:val="008965F9"/>
    <w:rsid w:val="008966DC"/>
    <w:rsid w:val="008966F3"/>
    <w:rsid w:val="00896AD6"/>
    <w:rsid w:val="00896D67"/>
    <w:rsid w:val="00896D6A"/>
    <w:rsid w:val="00896E9A"/>
    <w:rsid w:val="00896EA6"/>
    <w:rsid w:val="00896EBD"/>
    <w:rsid w:val="00896EE2"/>
    <w:rsid w:val="0089762B"/>
    <w:rsid w:val="00897697"/>
    <w:rsid w:val="00897892"/>
    <w:rsid w:val="00897904"/>
    <w:rsid w:val="00897971"/>
    <w:rsid w:val="00897D54"/>
    <w:rsid w:val="008A0490"/>
    <w:rsid w:val="008A0D3F"/>
    <w:rsid w:val="008A0DC3"/>
    <w:rsid w:val="008A0DDE"/>
    <w:rsid w:val="008A0DEE"/>
    <w:rsid w:val="008A0EA0"/>
    <w:rsid w:val="008A0F28"/>
    <w:rsid w:val="008A12BA"/>
    <w:rsid w:val="008A1825"/>
    <w:rsid w:val="008A1858"/>
    <w:rsid w:val="008A198A"/>
    <w:rsid w:val="008A1BBF"/>
    <w:rsid w:val="008A1CA9"/>
    <w:rsid w:val="008A1E2A"/>
    <w:rsid w:val="008A1E2C"/>
    <w:rsid w:val="008A1EAF"/>
    <w:rsid w:val="008A204D"/>
    <w:rsid w:val="008A2106"/>
    <w:rsid w:val="008A2118"/>
    <w:rsid w:val="008A212E"/>
    <w:rsid w:val="008A2590"/>
    <w:rsid w:val="008A283C"/>
    <w:rsid w:val="008A296A"/>
    <w:rsid w:val="008A2CBC"/>
    <w:rsid w:val="008A2F04"/>
    <w:rsid w:val="008A3110"/>
    <w:rsid w:val="008A327B"/>
    <w:rsid w:val="008A329C"/>
    <w:rsid w:val="008A33B1"/>
    <w:rsid w:val="008A3442"/>
    <w:rsid w:val="008A3640"/>
    <w:rsid w:val="008A3B1C"/>
    <w:rsid w:val="008A3BA2"/>
    <w:rsid w:val="008A3C01"/>
    <w:rsid w:val="008A3EAF"/>
    <w:rsid w:val="008A3FB3"/>
    <w:rsid w:val="008A40BB"/>
    <w:rsid w:val="008A4105"/>
    <w:rsid w:val="008A410F"/>
    <w:rsid w:val="008A4309"/>
    <w:rsid w:val="008A43A4"/>
    <w:rsid w:val="008A4411"/>
    <w:rsid w:val="008A447E"/>
    <w:rsid w:val="008A449F"/>
    <w:rsid w:val="008A4721"/>
    <w:rsid w:val="008A4786"/>
    <w:rsid w:val="008A479A"/>
    <w:rsid w:val="008A47CC"/>
    <w:rsid w:val="008A4A63"/>
    <w:rsid w:val="008A4AA0"/>
    <w:rsid w:val="008A4F5B"/>
    <w:rsid w:val="008A528B"/>
    <w:rsid w:val="008A55F0"/>
    <w:rsid w:val="008A5725"/>
    <w:rsid w:val="008A5D4D"/>
    <w:rsid w:val="008A5D9D"/>
    <w:rsid w:val="008A5E3C"/>
    <w:rsid w:val="008A60FB"/>
    <w:rsid w:val="008A6249"/>
    <w:rsid w:val="008A6318"/>
    <w:rsid w:val="008A66B3"/>
    <w:rsid w:val="008A6898"/>
    <w:rsid w:val="008A6BA0"/>
    <w:rsid w:val="008A6BDD"/>
    <w:rsid w:val="008A6C55"/>
    <w:rsid w:val="008A6D36"/>
    <w:rsid w:val="008A6E54"/>
    <w:rsid w:val="008A7109"/>
    <w:rsid w:val="008A7135"/>
    <w:rsid w:val="008A7256"/>
    <w:rsid w:val="008A7405"/>
    <w:rsid w:val="008A75A9"/>
    <w:rsid w:val="008A75E1"/>
    <w:rsid w:val="008A78DD"/>
    <w:rsid w:val="008A7D55"/>
    <w:rsid w:val="008A7DC6"/>
    <w:rsid w:val="008A7DFC"/>
    <w:rsid w:val="008A7E51"/>
    <w:rsid w:val="008B02C8"/>
    <w:rsid w:val="008B02E7"/>
    <w:rsid w:val="008B0386"/>
    <w:rsid w:val="008B0471"/>
    <w:rsid w:val="008B05B6"/>
    <w:rsid w:val="008B06A9"/>
    <w:rsid w:val="008B0825"/>
    <w:rsid w:val="008B0842"/>
    <w:rsid w:val="008B0905"/>
    <w:rsid w:val="008B09F7"/>
    <w:rsid w:val="008B0A1E"/>
    <w:rsid w:val="008B0B52"/>
    <w:rsid w:val="008B0C28"/>
    <w:rsid w:val="008B111C"/>
    <w:rsid w:val="008B1147"/>
    <w:rsid w:val="008B11AC"/>
    <w:rsid w:val="008B12E5"/>
    <w:rsid w:val="008B1447"/>
    <w:rsid w:val="008B14BF"/>
    <w:rsid w:val="008B18A2"/>
    <w:rsid w:val="008B1BF0"/>
    <w:rsid w:val="008B1C7C"/>
    <w:rsid w:val="008B1E23"/>
    <w:rsid w:val="008B1F6F"/>
    <w:rsid w:val="008B2012"/>
    <w:rsid w:val="008B20B9"/>
    <w:rsid w:val="008B2167"/>
    <w:rsid w:val="008B225C"/>
    <w:rsid w:val="008B2551"/>
    <w:rsid w:val="008B25CB"/>
    <w:rsid w:val="008B26FA"/>
    <w:rsid w:val="008B294F"/>
    <w:rsid w:val="008B2BD9"/>
    <w:rsid w:val="008B2BFD"/>
    <w:rsid w:val="008B2C51"/>
    <w:rsid w:val="008B3090"/>
    <w:rsid w:val="008B334B"/>
    <w:rsid w:val="008B34C7"/>
    <w:rsid w:val="008B3542"/>
    <w:rsid w:val="008B36EE"/>
    <w:rsid w:val="008B3A40"/>
    <w:rsid w:val="008B3AE7"/>
    <w:rsid w:val="008B3C47"/>
    <w:rsid w:val="008B3C5D"/>
    <w:rsid w:val="008B3C67"/>
    <w:rsid w:val="008B407A"/>
    <w:rsid w:val="008B4433"/>
    <w:rsid w:val="008B4448"/>
    <w:rsid w:val="008B4552"/>
    <w:rsid w:val="008B495D"/>
    <w:rsid w:val="008B49C9"/>
    <w:rsid w:val="008B4A3B"/>
    <w:rsid w:val="008B4B55"/>
    <w:rsid w:val="008B4D09"/>
    <w:rsid w:val="008B4D2F"/>
    <w:rsid w:val="008B4DBF"/>
    <w:rsid w:val="008B4EF5"/>
    <w:rsid w:val="008B4FFB"/>
    <w:rsid w:val="008B538D"/>
    <w:rsid w:val="008B5572"/>
    <w:rsid w:val="008B5A9B"/>
    <w:rsid w:val="008B5CDE"/>
    <w:rsid w:val="008B5DEE"/>
    <w:rsid w:val="008B5E8A"/>
    <w:rsid w:val="008B5ED0"/>
    <w:rsid w:val="008B6088"/>
    <w:rsid w:val="008B6534"/>
    <w:rsid w:val="008B656F"/>
    <w:rsid w:val="008B65E2"/>
    <w:rsid w:val="008B65FA"/>
    <w:rsid w:val="008B66D2"/>
    <w:rsid w:val="008B68A6"/>
    <w:rsid w:val="008B6A4F"/>
    <w:rsid w:val="008B721D"/>
    <w:rsid w:val="008B7257"/>
    <w:rsid w:val="008B72F0"/>
    <w:rsid w:val="008B7439"/>
    <w:rsid w:val="008B7464"/>
    <w:rsid w:val="008B74C7"/>
    <w:rsid w:val="008B74F9"/>
    <w:rsid w:val="008B769D"/>
    <w:rsid w:val="008B7703"/>
    <w:rsid w:val="008B7A29"/>
    <w:rsid w:val="008B7BA0"/>
    <w:rsid w:val="008B7BAC"/>
    <w:rsid w:val="008C05C0"/>
    <w:rsid w:val="008C079B"/>
    <w:rsid w:val="008C08B5"/>
    <w:rsid w:val="008C0E15"/>
    <w:rsid w:val="008C10AE"/>
    <w:rsid w:val="008C114F"/>
    <w:rsid w:val="008C1236"/>
    <w:rsid w:val="008C12C7"/>
    <w:rsid w:val="008C13D2"/>
    <w:rsid w:val="008C1409"/>
    <w:rsid w:val="008C1442"/>
    <w:rsid w:val="008C14BC"/>
    <w:rsid w:val="008C1594"/>
    <w:rsid w:val="008C15A5"/>
    <w:rsid w:val="008C163C"/>
    <w:rsid w:val="008C1687"/>
    <w:rsid w:val="008C16B8"/>
    <w:rsid w:val="008C18A9"/>
    <w:rsid w:val="008C19FC"/>
    <w:rsid w:val="008C1AF0"/>
    <w:rsid w:val="008C1BB0"/>
    <w:rsid w:val="008C1C21"/>
    <w:rsid w:val="008C1E3F"/>
    <w:rsid w:val="008C2319"/>
    <w:rsid w:val="008C248A"/>
    <w:rsid w:val="008C295A"/>
    <w:rsid w:val="008C2AFF"/>
    <w:rsid w:val="008C3228"/>
    <w:rsid w:val="008C32C5"/>
    <w:rsid w:val="008C32F3"/>
    <w:rsid w:val="008C3365"/>
    <w:rsid w:val="008C36C8"/>
    <w:rsid w:val="008C36EC"/>
    <w:rsid w:val="008C37E4"/>
    <w:rsid w:val="008C383E"/>
    <w:rsid w:val="008C387F"/>
    <w:rsid w:val="008C3A18"/>
    <w:rsid w:val="008C3B45"/>
    <w:rsid w:val="008C3CF7"/>
    <w:rsid w:val="008C404E"/>
    <w:rsid w:val="008C409C"/>
    <w:rsid w:val="008C4128"/>
    <w:rsid w:val="008C41A2"/>
    <w:rsid w:val="008C4771"/>
    <w:rsid w:val="008C47DA"/>
    <w:rsid w:val="008C4BC8"/>
    <w:rsid w:val="008C4D25"/>
    <w:rsid w:val="008C4E13"/>
    <w:rsid w:val="008C4F76"/>
    <w:rsid w:val="008C4FBB"/>
    <w:rsid w:val="008C52BD"/>
    <w:rsid w:val="008C5323"/>
    <w:rsid w:val="008C5453"/>
    <w:rsid w:val="008C55AA"/>
    <w:rsid w:val="008C581A"/>
    <w:rsid w:val="008C581D"/>
    <w:rsid w:val="008C5A3C"/>
    <w:rsid w:val="008C5A59"/>
    <w:rsid w:val="008C5C7B"/>
    <w:rsid w:val="008C5CA9"/>
    <w:rsid w:val="008C5D86"/>
    <w:rsid w:val="008C5F48"/>
    <w:rsid w:val="008C635D"/>
    <w:rsid w:val="008C6380"/>
    <w:rsid w:val="008C66CD"/>
    <w:rsid w:val="008C68AD"/>
    <w:rsid w:val="008C6930"/>
    <w:rsid w:val="008C6C49"/>
    <w:rsid w:val="008C6C4F"/>
    <w:rsid w:val="008C6D75"/>
    <w:rsid w:val="008C6FA6"/>
    <w:rsid w:val="008C70CC"/>
    <w:rsid w:val="008C71D8"/>
    <w:rsid w:val="008C734A"/>
    <w:rsid w:val="008C73B9"/>
    <w:rsid w:val="008C74BF"/>
    <w:rsid w:val="008C75AB"/>
    <w:rsid w:val="008C77AF"/>
    <w:rsid w:val="008C7816"/>
    <w:rsid w:val="008C7C61"/>
    <w:rsid w:val="008C7E8C"/>
    <w:rsid w:val="008D00F3"/>
    <w:rsid w:val="008D027D"/>
    <w:rsid w:val="008D044F"/>
    <w:rsid w:val="008D050E"/>
    <w:rsid w:val="008D061D"/>
    <w:rsid w:val="008D0681"/>
    <w:rsid w:val="008D06CB"/>
    <w:rsid w:val="008D0820"/>
    <w:rsid w:val="008D0866"/>
    <w:rsid w:val="008D0B6E"/>
    <w:rsid w:val="008D0BE0"/>
    <w:rsid w:val="008D0E11"/>
    <w:rsid w:val="008D0F44"/>
    <w:rsid w:val="008D1123"/>
    <w:rsid w:val="008D1146"/>
    <w:rsid w:val="008D12EF"/>
    <w:rsid w:val="008D178C"/>
    <w:rsid w:val="008D18A3"/>
    <w:rsid w:val="008D19DB"/>
    <w:rsid w:val="008D19EE"/>
    <w:rsid w:val="008D1A90"/>
    <w:rsid w:val="008D1C55"/>
    <w:rsid w:val="008D1CCD"/>
    <w:rsid w:val="008D1E13"/>
    <w:rsid w:val="008D1E1D"/>
    <w:rsid w:val="008D1F63"/>
    <w:rsid w:val="008D1F7A"/>
    <w:rsid w:val="008D2183"/>
    <w:rsid w:val="008D24E6"/>
    <w:rsid w:val="008D26C7"/>
    <w:rsid w:val="008D2A1A"/>
    <w:rsid w:val="008D2A9B"/>
    <w:rsid w:val="008D2BD7"/>
    <w:rsid w:val="008D2D6E"/>
    <w:rsid w:val="008D3002"/>
    <w:rsid w:val="008D306D"/>
    <w:rsid w:val="008D3225"/>
    <w:rsid w:val="008D3473"/>
    <w:rsid w:val="008D34E9"/>
    <w:rsid w:val="008D3909"/>
    <w:rsid w:val="008D3ABB"/>
    <w:rsid w:val="008D3E97"/>
    <w:rsid w:val="008D404B"/>
    <w:rsid w:val="008D4362"/>
    <w:rsid w:val="008D454F"/>
    <w:rsid w:val="008D49BD"/>
    <w:rsid w:val="008D49C6"/>
    <w:rsid w:val="008D4C77"/>
    <w:rsid w:val="008D4E6F"/>
    <w:rsid w:val="008D5030"/>
    <w:rsid w:val="008D5037"/>
    <w:rsid w:val="008D506D"/>
    <w:rsid w:val="008D51AB"/>
    <w:rsid w:val="008D52E6"/>
    <w:rsid w:val="008D532F"/>
    <w:rsid w:val="008D53A8"/>
    <w:rsid w:val="008D53ED"/>
    <w:rsid w:val="008D549E"/>
    <w:rsid w:val="008D55B6"/>
    <w:rsid w:val="008D5668"/>
    <w:rsid w:val="008D579F"/>
    <w:rsid w:val="008D5999"/>
    <w:rsid w:val="008D5B9C"/>
    <w:rsid w:val="008D5BFE"/>
    <w:rsid w:val="008D5C26"/>
    <w:rsid w:val="008D603B"/>
    <w:rsid w:val="008D609A"/>
    <w:rsid w:val="008D63F5"/>
    <w:rsid w:val="008D641E"/>
    <w:rsid w:val="008D6432"/>
    <w:rsid w:val="008D6493"/>
    <w:rsid w:val="008D6656"/>
    <w:rsid w:val="008D6718"/>
    <w:rsid w:val="008D693A"/>
    <w:rsid w:val="008D6984"/>
    <w:rsid w:val="008D6A71"/>
    <w:rsid w:val="008D6FC8"/>
    <w:rsid w:val="008D710C"/>
    <w:rsid w:val="008D7308"/>
    <w:rsid w:val="008D7325"/>
    <w:rsid w:val="008D73B2"/>
    <w:rsid w:val="008D75E2"/>
    <w:rsid w:val="008D762B"/>
    <w:rsid w:val="008D7749"/>
    <w:rsid w:val="008D77B5"/>
    <w:rsid w:val="008D7817"/>
    <w:rsid w:val="008D78A5"/>
    <w:rsid w:val="008D7B5E"/>
    <w:rsid w:val="008D7C1F"/>
    <w:rsid w:val="008D7D83"/>
    <w:rsid w:val="008E01A1"/>
    <w:rsid w:val="008E0251"/>
    <w:rsid w:val="008E03E0"/>
    <w:rsid w:val="008E05FE"/>
    <w:rsid w:val="008E06E5"/>
    <w:rsid w:val="008E08EE"/>
    <w:rsid w:val="008E0FD7"/>
    <w:rsid w:val="008E10E2"/>
    <w:rsid w:val="008E118E"/>
    <w:rsid w:val="008E159F"/>
    <w:rsid w:val="008E1736"/>
    <w:rsid w:val="008E176E"/>
    <w:rsid w:val="008E1830"/>
    <w:rsid w:val="008E19C9"/>
    <w:rsid w:val="008E1B33"/>
    <w:rsid w:val="008E1D54"/>
    <w:rsid w:val="008E1D72"/>
    <w:rsid w:val="008E1F7F"/>
    <w:rsid w:val="008E20F0"/>
    <w:rsid w:val="008E212D"/>
    <w:rsid w:val="008E21A0"/>
    <w:rsid w:val="008E232F"/>
    <w:rsid w:val="008E244F"/>
    <w:rsid w:val="008E253D"/>
    <w:rsid w:val="008E2785"/>
    <w:rsid w:val="008E2A16"/>
    <w:rsid w:val="008E2AE2"/>
    <w:rsid w:val="008E2C35"/>
    <w:rsid w:val="008E2E61"/>
    <w:rsid w:val="008E302A"/>
    <w:rsid w:val="008E33C9"/>
    <w:rsid w:val="008E366A"/>
    <w:rsid w:val="008E3674"/>
    <w:rsid w:val="008E37FC"/>
    <w:rsid w:val="008E381E"/>
    <w:rsid w:val="008E3824"/>
    <w:rsid w:val="008E3BA0"/>
    <w:rsid w:val="008E3DA4"/>
    <w:rsid w:val="008E3F01"/>
    <w:rsid w:val="008E4112"/>
    <w:rsid w:val="008E413C"/>
    <w:rsid w:val="008E4363"/>
    <w:rsid w:val="008E4510"/>
    <w:rsid w:val="008E4684"/>
    <w:rsid w:val="008E47C9"/>
    <w:rsid w:val="008E4817"/>
    <w:rsid w:val="008E4A23"/>
    <w:rsid w:val="008E4A7C"/>
    <w:rsid w:val="008E4C26"/>
    <w:rsid w:val="008E4D6D"/>
    <w:rsid w:val="008E4DB9"/>
    <w:rsid w:val="008E5110"/>
    <w:rsid w:val="008E5374"/>
    <w:rsid w:val="008E5436"/>
    <w:rsid w:val="008E5438"/>
    <w:rsid w:val="008E5498"/>
    <w:rsid w:val="008E553C"/>
    <w:rsid w:val="008E56FA"/>
    <w:rsid w:val="008E58A4"/>
    <w:rsid w:val="008E594B"/>
    <w:rsid w:val="008E5978"/>
    <w:rsid w:val="008E59CD"/>
    <w:rsid w:val="008E5A7D"/>
    <w:rsid w:val="008E5D30"/>
    <w:rsid w:val="008E5D90"/>
    <w:rsid w:val="008E61A7"/>
    <w:rsid w:val="008E620E"/>
    <w:rsid w:val="008E622B"/>
    <w:rsid w:val="008E6296"/>
    <w:rsid w:val="008E633B"/>
    <w:rsid w:val="008E63A6"/>
    <w:rsid w:val="008E65D3"/>
    <w:rsid w:val="008E68CC"/>
    <w:rsid w:val="008E6935"/>
    <w:rsid w:val="008E6CA9"/>
    <w:rsid w:val="008E6D62"/>
    <w:rsid w:val="008E6DC7"/>
    <w:rsid w:val="008E6F64"/>
    <w:rsid w:val="008E7176"/>
    <w:rsid w:val="008E71CF"/>
    <w:rsid w:val="008E7276"/>
    <w:rsid w:val="008E732F"/>
    <w:rsid w:val="008E73D6"/>
    <w:rsid w:val="008E7684"/>
    <w:rsid w:val="008E79C7"/>
    <w:rsid w:val="008E79CD"/>
    <w:rsid w:val="008E7A3E"/>
    <w:rsid w:val="008E7C2C"/>
    <w:rsid w:val="008F017F"/>
    <w:rsid w:val="008F01D4"/>
    <w:rsid w:val="008F025C"/>
    <w:rsid w:val="008F02FE"/>
    <w:rsid w:val="008F0469"/>
    <w:rsid w:val="008F0534"/>
    <w:rsid w:val="008F05C3"/>
    <w:rsid w:val="008F0658"/>
    <w:rsid w:val="008F0815"/>
    <w:rsid w:val="008F0883"/>
    <w:rsid w:val="008F08C7"/>
    <w:rsid w:val="008F090D"/>
    <w:rsid w:val="008F09CB"/>
    <w:rsid w:val="008F0C1D"/>
    <w:rsid w:val="008F0E44"/>
    <w:rsid w:val="008F10A8"/>
    <w:rsid w:val="008F10F7"/>
    <w:rsid w:val="008F112D"/>
    <w:rsid w:val="008F13C7"/>
    <w:rsid w:val="008F14BD"/>
    <w:rsid w:val="008F1537"/>
    <w:rsid w:val="008F1541"/>
    <w:rsid w:val="008F1610"/>
    <w:rsid w:val="008F1991"/>
    <w:rsid w:val="008F1D1E"/>
    <w:rsid w:val="008F1EF8"/>
    <w:rsid w:val="008F21F2"/>
    <w:rsid w:val="008F22AB"/>
    <w:rsid w:val="008F233E"/>
    <w:rsid w:val="008F233F"/>
    <w:rsid w:val="008F249E"/>
    <w:rsid w:val="008F2933"/>
    <w:rsid w:val="008F2A0F"/>
    <w:rsid w:val="008F2B46"/>
    <w:rsid w:val="008F2B4C"/>
    <w:rsid w:val="008F2D51"/>
    <w:rsid w:val="008F30CA"/>
    <w:rsid w:val="008F37A1"/>
    <w:rsid w:val="008F37C7"/>
    <w:rsid w:val="008F3814"/>
    <w:rsid w:val="008F38A1"/>
    <w:rsid w:val="008F38CA"/>
    <w:rsid w:val="008F3DFB"/>
    <w:rsid w:val="008F400F"/>
    <w:rsid w:val="008F4497"/>
    <w:rsid w:val="008F47A2"/>
    <w:rsid w:val="008F4873"/>
    <w:rsid w:val="008F49F4"/>
    <w:rsid w:val="008F4BFB"/>
    <w:rsid w:val="008F4C8B"/>
    <w:rsid w:val="008F4D4C"/>
    <w:rsid w:val="008F4D9F"/>
    <w:rsid w:val="008F4DDB"/>
    <w:rsid w:val="008F4F2D"/>
    <w:rsid w:val="008F5320"/>
    <w:rsid w:val="008F54A3"/>
    <w:rsid w:val="008F54E9"/>
    <w:rsid w:val="008F551E"/>
    <w:rsid w:val="008F5A99"/>
    <w:rsid w:val="008F5B87"/>
    <w:rsid w:val="008F5C90"/>
    <w:rsid w:val="008F5DEF"/>
    <w:rsid w:val="008F5DF7"/>
    <w:rsid w:val="008F5ED9"/>
    <w:rsid w:val="008F62AA"/>
    <w:rsid w:val="008F673C"/>
    <w:rsid w:val="008F67F3"/>
    <w:rsid w:val="008F694B"/>
    <w:rsid w:val="008F6A9B"/>
    <w:rsid w:val="008F6BC5"/>
    <w:rsid w:val="008F6BEB"/>
    <w:rsid w:val="008F6CB9"/>
    <w:rsid w:val="008F6DAA"/>
    <w:rsid w:val="008F6EFA"/>
    <w:rsid w:val="008F7478"/>
    <w:rsid w:val="008F7520"/>
    <w:rsid w:val="008F75A8"/>
    <w:rsid w:val="008F7681"/>
    <w:rsid w:val="008F7932"/>
    <w:rsid w:val="008F7955"/>
    <w:rsid w:val="008F7A7F"/>
    <w:rsid w:val="008F7D6C"/>
    <w:rsid w:val="008F7E92"/>
    <w:rsid w:val="008F7FF8"/>
    <w:rsid w:val="0090034D"/>
    <w:rsid w:val="00900473"/>
    <w:rsid w:val="0090049F"/>
    <w:rsid w:val="009005C4"/>
    <w:rsid w:val="009006D3"/>
    <w:rsid w:val="009006F8"/>
    <w:rsid w:val="009008C0"/>
    <w:rsid w:val="00900981"/>
    <w:rsid w:val="00900A33"/>
    <w:rsid w:val="00900AB6"/>
    <w:rsid w:val="00900BBA"/>
    <w:rsid w:val="00900EBB"/>
    <w:rsid w:val="00901060"/>
    <w:rsid w:val="0090113D"/>
    <w:rsid w:val="0090114B"/>
    <w:rsid w:val="009011EB"/>
    <w:rsid w:val="009012BE"/>
    <w:rsid w:val="009013AB"/>
    <w:rsid w:val="00901553"/>
    <w:rsid w:val="0090159A"/>
    <w:rsid w:val="009016B5"/>
    <w:rsid w:val="00901795"/>
    <w:rsid w:val="009019F1"/>
    <w:rsid w:val="00901A4D"/>
    <w:rsid w:val="00901AA4"/>
    <w:rsid w:val="00901CAC"/>
    <w:rsid w:val="00901D3D"/>
    <w:rsid w:val="00901E44"/>
    <w:rsid w:val="00901FA2"/>
    <w:rsid w:val="009020E4"/>
    <w:rsid w:val="009020FF"/>
    <w:rsid w:val="0090215A"/>
    <w:rsid w:val="009024E0"/>
    <w:rsid w:val="00902824"/>
    <w:rsid w:val="00902D8D"/>
    <w:rsid w:val="00902E99"/>
    <w:rsid w:val="00902FBD"/>
    <w:rsid w:val="009030A2"/>
    <w:rsid w:val="00903121"/>
    <w:rsid w:val="009031CF"/>
    <w:rsid w:val="00903222"/>
    <w:rsid w:val="00903300"/>
    <w:rsid w:val="00903541"/>
    <w:rsid w:val="00903AD8"/>
    <w:rsid w:val="00903CA3"/>
    <w:rsid w:val="00903D11"/>
    <w:rsid w:val="00903D89"/>
    <w:rsid w:val="00903DEA"/>
    <w:rsid w:val="00903E9E"/>
    <w:rsid w:val="00903F32"/>
    <w:rsid w:val="0090429D"/>
    <w:rsid w:val="00904323"/>
    <w:rsid w:val="009043DD"/>
    <w:rsid w:val="00904410"/>
    <w:rsid w:val="00904456"/>
    <w:rsid w:val="0090447F"/>
    <w:rsid w:val="0090471F"/>
    <w:rsid w:val="00904728"/>
    <w:rsid w:val="0090473E"/>
    <w:rsid w:val="00904798"/>
    <w:rsid w:val="009047EE"/>
    <w:rsid w:val="00904BE9"/>
    <w:rsid w:val="00904D11"/>
    <w:rsid w:val="00904D42"/>
    <w:rsid w:val="00904EB0"/>
    <w:rsid w:val="00904F4C"/>
    <w:rsid w:val="00904F7B"/>
    <w:rsid w:val="009050B6"/>
    <w:rsid w:val="00905111"/>
    <w:rsid w:val="0090535A"/>
    <w:rsid w:val="00905678"/>
    <w:rsid w:val="009056F4"/>
    <w:rsid w:val="0090578E"/>
    <w:rsid w:val="009057F0"/>
    <w:rsid w:val="0090597D"/>
    <w:rsid w:val="00905A07"/>
    <w:rsid w:val="00905B48"/>
    <w:rsid w:val="00905E1D"/>
    <w:rsid w:val="00905E21"/>
    <w:rsid w:val="00906596"/>
    <w:rsid w:val="009066FA"/>
    <w:rsid w:val="00906ABA"/>
    <w:rsid w:val="00906C0D"/>
    <w:rsid w:val="00906C4B"/>
    <w:rsid w:val="00906D74"/>
    <w:rsid w:val="00906DBC"/>
    <w:rsid w:val="00906F9E"/>
    <w:rsid w:val="0090712F"/>
    <w:rsid w:val="0090725F"/>
    <w:rsid w:val="00907527"/>
    <w:rsid w:val="0090752E"/>
    <w:rsid w:val="00907673"/>
    <w:rsid w:val="00907982"/>
    <w:rsid w:val="00907B1A"/>
    <w:rsid w:val="00907B26"/>
    <w:rsid w:val="00907B91"/>
    <w:rsid w:val="00907C5A"/>
    <w:rsid w:val="00907DC3"/>
    <w:rsid w:val="00907E00"/>
    <w:rsid w:val="00907EE7"/>
    <w:rsid w:val="0090E33A"/>
    <w:rsid w:val="00910035"/>
    <w:rsid w:val="00910169"/>
    <w:rsid w:val="00910263"/>
    <w:rsid w:val="009105F9"/>
    <w:rsid w:val="009106C7"/>
    <w:rsid w:val="00910793"/>
    <w:rsid w:val="009107CB"/>
    <w:rsid w:val="0091089A"/>
    <w:rsid w:val="009108DD"/>
    <w:rsid w:val="0091099D"/>
    <w:rsid w:val="009109AC"/>
    <w:rsid w:val="009109D5"/>
    <w:rsid w:val="00910A48"/>
    <w:rsid w:val="00910A90"/>
    <w:rsid w:val="00910B04"/>
    <w:rsid w:val="00910F3B"/>
    <w:rsid w:val="00911171"/>
    <w:rsid w:val="009111F1"/>
    <w:rsid w:val="00911432"/>
    <w:rsid w:val="0091143C"/>
    <w:rsid w:val="0091157E"/>
    <w:rsid w:val="0091164A"/>
    <w:rsid w:val="00911778"/>
    <w:rsid w:val="009117B7"/>
    <w:rsid w:val="009118D6"/>
    <w:rsid w:val="00911966"/>
    <w:rsid w:val="009119FC"/>
    <w:rsid w:val="00911AD3"/>
    <w:rsid w:val="00911E32"/>
    <w:rsid w:val="00911E6B"/>
    <w:rsid w:val="00912473"/>
    <w:rsid w:val="009124C0"/>
    <w:rsid w:val="0091252F"/>
    <w:rsid w:val="0091259E"/>
    <w:rsid w:val="009125C0"/>
    <w:rsid w:val="009126A6"/>
    <w:rsid w:val="009128A0"/>
    <w:rsid w:val="009129D8"/>
    <w:rsid w:val="00912AA6"/>
    <w:rsid w:val="00912B74"/>
    <w:rsid w:val="00912D51"/>
    <w:rsid w:val="009131D3"/>
    <w:rsid w:val="0091326F"/>
    <w:rsid w:val="0091339F"/>
    <w:rsid w:val="00913454"/>
    <w:rsid w:val="00913480"/>
    <w:rsid w:val="0091356F"/>
    <w:rsid w:val="00913680"/>
    <w:rsid w:val="009136B7"/>
    <w:rsid w:val="00913717"/>
    <w:rsid w:val="00913AC5"/>
    <w:rsid w:val="00913B07"/>
    <w:rsid w:val="00913B6D"/>
    <w:rsid w:val="00913D54"/>
    <w:rsid w:val="00913D96"/>
    <w:rsid w:val="00913F89"/>
    <w:rsid w:val="00913FA0"/>
    <w:rsid w:val="00913FDA"/>
    <w:rsid w:val="009140AD"/>
    <w:rsid w:val="009140FD"/>
    <w:rsid w:val="009141D7"/>
    <w:rsid w:val="009141FF"/>
    <w:rsid w:val="00914214"/>
    <w:rsid w:val="009142BF"/>
    <w:rsid w:val="0091447F"/>
    <w:rsid w:val="00914499"/>
    <w:rsid w:val="0091467B"/>
    <w:rsid w:val="009146D8"/>
    <w:rsid w:val="009146F5"/>
    <w:rsid w:val="00914713"/>
    <w:rsid w:val="00914897"/>
    <w:rsid w:val="009149A0"/>
    <w:rsid w:val="009149D9"/>
    <w:rsid w:val="00914B1C"/>
    <w:rsid w:val="00914B38"/>
    <w:rsid w:val="00914BF8"/>
    <w:rsid w:val="00914E19"/>
    <w:rsid w:val="00914EA5"/>
    <w:rsid w:val="00914F72"/>
    <w:rsid w:val="00914FB0"/>
    <w:rsid w:val="00914FF7"/>
    <w:rsid w:val="009150A1"/>
    <w:rsid w:val="009150C8"/>
    <w:rsid w:val="0091554F"/>
    <w:rsid w:val="00915629"/>
    <w:rsid w:val="009157EB"/>
    <w:rsid w:val="009158DC"/>
    <w:rsid w:val="0091591E"/>
    <w:rsid w:val="00915A38"/>
    <w:rsid w:val="00915A76"/>
    <w:rsid w:val="00915C1A"/>
    <w:rsid w:val="00915C4D"/>
    <w:rsid w:val="00915E54"/>
    <w:rsid w:val="00915EFB"/>
    <w:rsid w:val="00915F03"/>
    <w:rsid w:val="009161C4"/>
    <w:rsid w:val="00916364"/>
    <w:rsid w:val="009163A1"/>
    <w:rsid w:val="009165EB"/>
    <w:rsid w:val="009167C5"/>
    <w:rsid w:val="0091693D"/>
    <w:rsid w:val="00916A2D"/>
    <w:rsid w:val="00917022"/>
    <w:rsid w:val="00917071"/>
    <w:rsid w:val="00917299"/>
    <w:rsid w:val="00917348"/>
    <w:rsid w:val="00917497"/>
    <w:rsid w:val="00917765"/>
    <w:rsid w:val="009177B2"/>
    <w:rsid w:val="009179B7"/>
    <w:rsid w:val="00917B7B"/>
    <w:rsid w:val="00917DEA"/>
    <w:rsid w:val="00917E9F"/>
    <w:rsid w:val="00917FC2"/>
    <w:rsid w:val="009205CF"/>
    <w:rsid w:val="00920633"/>
    <w:rsid w:val="00920A0C"/>
    <w:rsid w:val="00920A13"/>
    <w:rsid w:val="00920EB5"/>
    <w:rsid w:val="00920EE1"/>
    <w:rsid w:val="00920F98"/>
    <w:rsid w:val="00921010"/>
    <w:rsid w:val="00921035"/>
    <w:rsid w:val="00921073"/>
    <w:rsid w:val="009210D7"/>
    <w:rsid w:val="009211C1"/>
    <w:rsid w:val="009212F6"/>
    <w:rsid w:val="00921354"/>
    <w:rsid w:val="0092136A"/>
    <w:rsid w:val="00921439"/>
    <w:rsid w:val="0092152B"/>
    <w:rsid w:val="00921542"/>
    <w:rsid w:val="009215A4"/>
    <w:rsid w:val="00921681"/>
    <w:rsid w:val="009216B4"/>
    <w:rsid w:val="009219B3"/>
    <w:rsid w:val="00921DF6"/>
    <w:rsid w:val="00921E1C"/>
    <w:rsid w:val="00921E92"/>
    <w:rsid w:val="00921F13"/>
    <w:rsid w:val="00921FA3"/>
    <w:rsid w:val="009223D9"/>
    <w:rsid w:val="0092241B"/>
    <w:rsid w:val="009226D3"/>
    <w:rsid w:val="009227BC"/>
    <w:rsid w:val="00922A49"/>
    <w:rsid w:val="00922B76"/>
    <w:rsid w:val="00922E79"/>
    <w:rsid w:val="00922FD2"/>
    <w:rsid w:val="009233DF"/>
    <w:rsid w:val="00923612"/>
    <w:rsid w:val="0092387C"/>
    <w:rsid w:val="00923892"/>
    <w:rsid w:val="00923B5D"/>
    <w:rsid w:val="00923C82"/>
    <w:rsid w:val="00924035"/>
    <w:rsid w:val="00924135"/>
    <w:rsid w:val="0092435A"/>
    <w:rsid w:val="009243E2"/>
    <w:rsid w:val="00924437"/>
    <w:rsid w:val="009245A5"/>
    <w:rsid w:val="00924961"/>
    <w:rsid w:val="00924C45"/>
    <w:rsid w:val="00924D65"/>
    <w:rsid w:val="009252ED"/>
    <w:rsid w:val="00925323"/>
    <w:rsid w:val="00925924"/>
    <w:rsid w:val="00925B8F"/>
    <w:rsid w:val="00925BA0"/>
    <w:rsid w:val="00925D9E"/>
    <w:rsid w:val="00925DCD"/>
    <w:rsid w:val="00925E91"/>
    <w:rsid w:val="00925EAA"/>
    <w:rsid w:val="00925F1E"/>
    <w:rsid w:val="009260CD"/>
    <w:rsid w:val="00926272"/>
    <w:rsid w:val="009267F4"/>
    <w:rsid w:val="00926AB6"/>
    <w:rsid w:val="00926ABB"/>
    <w:rsid w:val="00926C31"/>
    <w:rsid w:val="00926D27"/>
    <w:rsid w:val="00926E78"/>
    <w:rsid w:val="00927135"/>
    <w:rsid w:val="009271EA"/>
    <w:rsid w:val="0092721E"/>
    <w:rsid w:val="0092734A"/>
    <w:rsid w:val="00927430"/>
    <w:rsid w:val="00927583"/>
    <w:rsid w:val="009275BC"/>
    <w:rsid w:val="009275C1"/>
    <w:rsid w:val="0092788C"/>
    <w:rsid w:val="0092792A"/>
    <w:rsid w:val="009279F8"/>
    <w:rsid w:val="00927A27"/>
    <w:rsid w:val="00927FED"/>
    <w:rsid w:val="0093019B"/>
    <w:rsid w:val="009308F6"/>
    <w:rsid w:val="00930970"/>
    <w:rsid w:val="00930B30"/>
    <w:rsid w:val="00930E92"/>
    <w:rsid w:val="00930EF3"/>
    <w:rsid w:val="00930FAE"/>
    <w:rsid w:val="00931275"/>
    <w:rsid w:val="00931557"/>
    <w:rsid w:val="00931D73"/>
    <w:rsid w:val="0093223F"/>
    <w:rsid w:val="00932457"/>
    <w:rsid w:val="0093248E"/>
    <w:rsid w:val="00932493"/>
    <w:rsid w:val="009325C6"/>
    <w:rsid w:val="009325F9"/>
    <w:rsid w:val="00932621"/>
    <w:rsid w:val="0093264B"/>
    <w:rsid w:val="00932694"/>
    <w:rsid w:val="009328DC"/>
    <w:rsid w:val="009328E6"/>
    <w:rsid w:val="00932B37"/>
    <w:rsid w:val="00932B90"/>
    <w:rsid w:val="00932C9A"/>
    <w:rsid w:val="00932F1D"/>
    <w:rsid w:val="00932F49"/>
    <w:rsid w:val="00932FA7"/>
    <w:rsid w:val="00933026"/>
    <w:rsid w:val="00933185"/>
    <w:rsid w:val="009331BA"/>
    <w:rsid w:val="00933236"/>
    <w:rsid w:val="009332FB"/>
    <w:rsid w:val="009333A3"/>
    <w:rsid w:val="0093350D"/>
    <w:rsid w:val="009336BC"/>
    <w:rsid w:val="00933B5F"/>
    <w:rsid w:val="00933D5A"/>
    <w:rsid w:val="00933E65"/>
    <w:rsid w:val="00933F9D"/>
    <w:rsid w:val="009342A2"/>
    <w:rsid w:val="00934591"/>
    <w:rsid w:val="00934721"/>
    <w:rsid w:val="00934793"/>
    <w:rsid w:val="009349AD"/>
    <w:rsid w:val="00934C91"/>
    <w:rsid w:val="00934DED"/>
    <w:rsid w:val="00934E67"/>
    <w:rsid w:val="00934ECA"/>
    <w:rsid w:val="00935059"/>
    <w:rsid w:val="009351DD"/>
    <w:rsid w:val="009351DF"/>
    <w:rsid w:val="0093526A"/>
    <w:rsid w:val="0093530D"/>
    <w:rsid w:val="0093533E"/>
    <w:rsid w:val="0093536B"/>
    <w:rsid w:val="0093551B"/>
    <w:rsid w:val="00935734"/>
    <w:rsid w:val="00935770"/>
    <w:rsid w:val="009357A0"/>
    <w:rsid w:val="00935964"/>
    <w:rsid w:val="009359A1"/>
    <w:rsid w:val="00935B58"/>
    <w:rsid w:val="00935BA5"/>
    <w:rsid w:val="00935E4F"/>
    <w:rsid w:val="00935EDD"/>
    <w:rsid w:val="0093625A"/>
    <w:rsid w:val="00936449"/>
    <w:rsid w:val="0093648A"/>
    <w:rsid w:val="00936645"/>
    <w:rsid w:val="00936A98"/>
    <w:rsid w:val="00936AF0"/>
    <w:rsid w:val="00936B7B"/>
    <w:rsid w:val="00936E4C"/>
    <w:rsid w:val="00936E51"/>
    <w:rsid w:val="00936F02"/>
    <w:rsid w:val="00937241"/>
    <w:rsid w:val="00937629"/>
    <w:rsid w:val="00937790"/>
    <w:rsid w:val="009377BE"/>
    <w:rsid w:val="00937819"/>
    <w:rsid w:val="00937984"/>
    <w:rsid w:val="00937AB6"/>
    <w:rsid w:val="00937E5E"/>
    <w:rsid w:val="00937EEE"/>
    <w:rsid w:val="00937FAD"/>
    <w:rsid w:val="00940170"/>
    <w:rsid w:val="009403AC"/>
    <w:rsid w:val="0094069B"/>
    <w:rsid w:val="009406F3"/>
    <w:rsid w:val="0094098F"/>
    <w:rsid w:val="00940A7A"/>
    <w:rsid w:val="00940AA3"/>
    <w:rsid w:val="00940BCA"/>
    <w:rsid w:val="00940C4E"/>
    <w:rsid w:val="00940D29"/>
    <w:rsid w:val="009411B0"/>
    <w:rsid w:val="00941265"/>
    <w:rsid w:val="00941274"/>
    <w:rsid w:val="00941513"/>
    <w:rsid w:val="00941636"/>
    <w:rsid w:val="00941687"/>
    <w:rsid w:val="0094180B"/>
    <w:rsid w:val="00941A89"/>
    <w:rsid w:val="00941E8F"/>
    <w:rsid w:val="00942093"/>
    <w:rsid w:val="009424E3"/>
    <w:rsid w:val="00942999"/>
    <w:rsid w:val="00942A42"/>
    <w:rsid w:val="00942BE6"/>
    <w:rsid w:val="00942D1C"/>
    <w:rsid w:val="00942DC8"/>
    <w:rsid w:val="00942ED4"/>
    <w:rsid w:val="00942F47"/>
    <w:rsid w:val="00942F9D"/>
    <w:rsid w:val="00942FAF"/>
    <w:rsid w:val="009430BA"/>
    <w:rsid w:val="009433AB"/>
    <w:rsid w:val="00943563"/>
    <w:rsid w:val="00943904"/>
    <w:rsid w:val="00943B41"/>
    <w:rsid w:val="00943C51"/>
    <w:rsid w:val="00943EA8"/>
    <w:rsid w:val="00943F09"/>
    <w:rsid w:val="009440F8"/>
    <w:rsid w:val="00944740"/>
    <w:rsid w:val="00944802"/>
    <w:rsid w:val="00944A46"/>
    <w:rsid w:val="00944AEF"/>
    <w:rsid w:val="00944B20"/>
    <w:rsid w:val="00944BEE"/>
    <w:rsid w:val="00944C55"/>
    <w:rsid w:val="00944E93"/>
    <w:rsid w:val="00944F1D"/>
    <w:rsid w:val="00944FC3"/>
    <w:rsid w:val="0094506A"/>
    <w:rsid w:val="0094540A"/>
    <w:rsid w:val="009455D9"/>
    <w:rsid w:val="00945631"/>
    <w:rsid w:val="00945798"/>
    <w:rsid w:val="00945A15"/>
    <w:rsid w:val="00945B00"/>
    <w:rsid w:val="00945CC9"/>
    <w:rsid w:val="00945E86"/>
    <w:rsid w:val="00945F64"/>
    <w:rsid w:val="00945FCE"/>
    <w:rsid w:val="00946202"/>
    <w:rsid w:val="009463B7"/>
    <w:rsid w:val="009466FD"/>
    <w:rsid w:val="00946730"/>
    <w:rsid w:val="00946880"/>
    <w:rsid w:val="009469D6"/>
    <w:rsid w:val="00946B65"/>
    <w:rsid w:val="00946C13"/>
    <w:rsid w:val="00946F6B"/>
    <w:rsid w:val="00947217"/>
    <w:rsid w:val="0094742E"/>
    <w:rsid w:val="009477B8"/>
    <w:rsid w:val="00947932"/>
    <w:rsid w:val="00947997"/>
    <w:rsid w:val="00947A7C"/>
    <w:rsid w:val="00947BBE"/>
    <w:rsid w:val="00947BEA"/>
    <w:rsid w:val="00947F7B"/>
    <w:rsid w:val="00950168"/>
    <w:rsid w:val="0095025A"/>
    <w:rsid w:val="009502A9"/>
    <w:rsid w:val="00950721"/>
    <w:rsid w:val="009507E8"/>
    <w:rsid w:val="00950ECB"/>
    <w:rsid w:val="00950EFE"/>
    <w:rsid w:val="009510A8"/>
    <w:rsid w:val="009514CD"/>
    <w:rsid w:val="0095173B"/>
    <w:rsid w:val="00951750"/>
    <w:rsid w:val="009517BC"/>
    <w:rsid w:val="0095189A"/>
    <w:rsid w:val="00951C3B"/>
    <w:rsid w:val="00951EAD"/>
    <w:rsid w:val="00952396"/>
    <w:rsid w:val="00952616"/>
    <w:rsid w:val="009526B8"/>
    <w:rsid w:val="00952802"/>
    <w:rsid w:val="0095291B"/>
    <w:rsid w:val="00952980"/>
    <w:rsid w:val="00952E10"/>
    <w:rsid w:val="00953197"/>
    <w:rsid w:val="009531D9"/>
    <w:rsid w:val="00953593"/>
    <w:rsid w:val="00953A0C"/>
    <w:rsid w:val="00953A78"/>
    <w:rsid w:val="00953AE2"/>
    <w:rsid w:val="00953B06"/>
    <w:rsid w:val="00953BF0"/>
    <w:rsid w:val="00953CBA"/>
    <w:rsid w:val="00953E1C"/>
    <w:rsid w:val="00954052"/>
    <w:rsid w:val="00954364"/>
    <w:rsid w:val="00954513"/>
    <w:rsid w:val="0095459F"/>
    <w:rsid w:val="009546B8"/>
    <w:rsid w:val="0095480A"/>
    <w:rsid w:val="00954967"/>
    <w:rsid w:val="009549E4"/>
    <w:rsid w:val="00954AF7"/>
    <w:rsid w:val="00954D5F"/>
    <w:rsid w:val="00954DE2"/>
    <w:rsid w:val="00954EC7"/>
    <w:rsid w:val="00954EF9"/>
    <w:rsid w:val="009551E3"/>
    <w:rsid w:val="009552EA"/>
    <w:rsid w:val="009553D5"/>
    <w:rsid w:val="0095541A"/>
    <w:rsid w:val="00955542"/>
    <w:rsid w:val="00955573"/>
    <w:rsid w:val="009556F7"/>
    <w:rsid w:val="009559BB"/>
    <w:rsid w:val="009559BC"/>
    <w:rsid w:val="00955CA0"/>
    <w:rsid w:val="00955DFB"/>
    <w:rsid w:val="009561C4"/>
    <w:rsid w:val="00956230"/>
    <w:rsid w:val="00956367"/>
    <w:rsid w:val="0095638C"/>
    <w:rsid w:val="009564D0"/>
    <w:rsid w:val="0095650D"/>
    <w:rsid w:val="0095665A"/>
    <w:rsid w:val="009566AB"/>
    <w:rsid w:val="00956795"/>
    <w:rsid w:val="009568F5"/>
    <w:rsid w:val="00956920"/>
    <w:rsid w:val="0095693C"/>
    <w:rsid w:val="009569E7"/>
    <w:rsid w:val="00956CA5"/>
    <w:rsid w:val="00956D7A"/>
    <w:rsid w:val="00956F05"/>
    <w:rsid w:val="00956F0E"/>
    <w:rsid w:val="00956F67"/>
    <w:rsid w:val="00957138"/>
    <w:rsid w:val="00957801"/>
    <w:rsid w:val="009578FF"/>
    <w:rsid w:val="00957A66"/>
    <w:rsid w:val="00957B1B"/>
    <w:rsid w:val="00957CBB"/>
    <w:rsid w:val="00957D97"/>
    <w:rsid w:val="00957DE3"/>
    <w:rsid w:val="00960131"/>
    <w:rsid w:val="00960144"/>
    <w:rsid w:val="009603FE"/>
    <w:rsid w:val="009604AA"/>
    <w:rsid w:val="009605BF"/>
    <w:rsid w:val="0096060E"/>
    <w:rsid w:val="0096065F"/>
    <w:rsid w:val="009607F5"/>
    <w:rsid w:val="009607FC"/>
    <w:rsid w:val="00960802"/>
    <w:rsid w:val="00960962"/>
    <w:rsid w:val="00960A58"/>
    <w:rsid w:val="00960AD6"/>
    <w:rsid w:val="00960AF2"/>
    <w:rsid w:val="00960C7A"/>
    <w:rsid w:val="00960CC3"/>
    <w:rsid w:val="00960CD4"/>
    <w:rsid w:val="00960F1F"/>
    <w:rsid w:val="00960FCF"/>
    <w:rsid w:val="009610E7"/>
    <w:rsid w:val="00961405"/>
    <w:rsid w:val="00961515"/>
    <w:rsid w:val="00961660"/>
    <w:rsid w:val="009617D3"/>
    <w:rsid w:val="0096183F"/>
    <w:rsid w:val="009618BE"/>
    <w:rsid w:val="00961BB5"/>
    <w:rsid w:val="00961D88"/>
    <w:rsid w:val="00961FA6"/>
    <w:rsid w:val="00961FE3"/>
    <w:rsid w:val="00962073"/>
    <w:rsid w:val="0096212A"/>
    <w:rsid w:val="00962378"/>
    <w:rsid w:val="0096282B"/>
    <w:rsid w:val="00962904"/>
    <w:rsid w:val="009629B8"/>
    <w:rsid w:val="009629F4"/>
    <w:rsid w:val="00962B43"/>
    <w:rsid w:val="00962D3E"/>
    <w:rsid w:val="00962E3B"/>
    <w:rsid w:val="009630F5"/>
    <w:rsid w:val="0096338C"/>
    <w:rsid w:val="009636DC"/>
    <w:rsid w:val="0096381B"/>
    <w:rsid w:val="0096384A"/>
    <w:rsid w:val="00963911"/>
    <w:rsid w:val="00963936"/>
    <w:rsid w:val="00963C94"/>
    <w:rsid w:val="009641C5"/>
    <w:rsid w:val="00964349"/>
    <w:rsid w:val="009645DF"/>
    <w:rsid w:val="00964677"/>
    <w:rsid w:val="00964699"/>
    <w:rsid w:val="0096472A"/>
    <w:rsid w:val="0096473D"/>
    <w:rsid w:val="00964BA7"/>
    <w:rsid w:val="00964CD4"/>
    <w:rsid w:val="00964DA7"/>
    <w:rsid w:val="00964DD0"/>
    <w:rsid w:val="00964E86"/>
    <w:rsid w:val="009650AA"/>
    <w:rsid w:val="00965164"/>
    <w:rsid w:val="009651CE"/>
    <w:rsid w:val="009654CE"/>
    <w:rsid w:val="009654D9"/>
    <w:rsid w:val="00965728"/>
    <w:rsid w:val="0096595D"/>
    <w:rsid w:val="009659E0"/>
    <w:rsid w:val="00965A15"/>
    <w:rsid w:val="00965D89"/>
    <w:rsid w:val="00965E4E"/>
    <w:rsid w:val="00965EE0"/>
    <w:rsid w:val="00965FA9"/>
    <w:rsid w:val="009660A6"/>
    <w:rsid w:val="009660E3"/>
    <w:rsid w:val="00966114"/>
    <w:rsid w:val="009661B7"/>
    <w:rsid w:val="009661FD"/>
    <w:rsid w:val="00966291"/>
    <w:rsid w:val="00966383"/>
    <w:rsid w:val="0096640D"/>
    <w:rsid w:val="00966544"/>
    <w:rsid w:val="00966A43"/>
    <w:rsid w:val="00966AEC"/>
    <w:rsid w:val="00966B6D"/>
    <w:rsid w:val="00966BC3"/>
    <w:rsid w:val="0096713C"/>
    <w:rsid w:val="0096749C"/>
    <w:rsid w:val="009677B3"/>
    <w:rsid w:val="009678C1"/>
    <w:rsid w:val="00967B89"/>
    <w:rsid w:val="00967D40"/>
    <w:rsid w:val="00967EE4"/>
    <w:rsid w:val="009700FF"/>
    <w:rsid w:val="00970168"/>
    <w:rsid w:val="00970231"/>
    <w:rsid w:val="0097025F"/>
    <w:rsid w:val="009702F7"/>
    <w:rsid w:val="00970313"/>
    <w:rsid w:val="00970408"/>
    <w:rsid w:val="009705A4"/>
    <w:rsid w:val="0097062B"/>
    <w:rsid w:val="00970720"/>
    <w:rsid w:val="00970737"/>
    <w:rsid w:val="00970846"/>
    <w:rsid w:val="009708E1"/>
    <w:rsid w:val="00970A17"/>
    <w:rsid w:val="009710B1"/>
    <w:rsid w:val="00971271"/>
    <w:rsid w:val="009712AB"/>
    <w:rsid w:val="0097142C"/>
    <w:rsid w:val="009714D9"/>
    <w:rsid w:val="009715B9"/>
    <w:rsid w:val="009715F5"/>
    <w:rsid w:val="009717AC"/>
    <w:rsid w:val="009718D5"/>
    <w:rsid w:val="00971C46"/>
    <w:rsid w:val="00971CD5"/>
    <w:rsid w:val="00971DF7"/>
    <w:rsid w:val="00971E38"/>
    <w:rsid w:val="0097226B"/>
    <w:rsid w:val="0097229A"/>
    <w:rsid w:val="009722B1"/>
    <w:rsid w:val="00972344"/>
    <w:rsid w:val="009723FD"/>
    <w:rsid w:val="0097242F"/>
    <w:rsid w:val="0097256E"/>
    <w:rsid w:val="009725F9"/>
    <w:rsid w:val="009725FA"/>
    <w:rsid w:val="00972805"/>
    <w:rsid w:val="0097295C"/>
    <w:rsid w:val="00972A24"/>
    <w:rsid w:val="00972AE8"/>
    <w:rsid w:val="00972BDC"/>
    <w:rsid w:val="00972BFD"/>
    <w:rsid w:val="00972C10"/>
    <w:rsid w:val="00972CA1"/>
    <w:rsid w:val="00973128"/>
    <w:rsid w:val="009733CA"/>
    <w:rsid w:val="0097346F"/>
    <w:rsid w:val="0097354F"/>
    <w:rsid w:val="009736F6"/>
    <w:rsid w:val="0097378F"/>
    <w:rsid w:val="00973810"/>
    <w:rsid w:val="009739DD"/>
    <w:rsid w:val="00973AF5"/>
    <w:rsid w:val="00973BE6"/>
    <w:rsid w:val="00973C77"/>
    <w:rsid w:val="00973CBE"/>
    <w:rsid w:val="00973F43"/>
    <w:rsid w:val="00974049"/>
    <w:rsid w:val="009741FE"/>
    <w:rsid w:val="00974340"/>
    <w:rsid w:val="009743E7"/>
    <w:rsid w:val="00974463"/>
    <w:rsid w:val="009746B9"/>
    <w:rsid w:val="009749A2"/>
    <w:rsid w:val="009749C1"/>
    <w:rsid w:val="00974AFE"/>
    <w:rsid w:val="00974C2B"/>
    <w:rsid w:val="00974D01"/>
    <w:rsid w:val="00974FAB"/>
    <w:rsid w:val="0097501D"/>
    <w:rsid w:val="0097506C"/>
    <w:rsid w:val="00975172"/>
    <w:rsid w:val="00975585"/>
    <w:rsid w:val="00975604"/>
    <w:rsid w:val="00975962"/>
    <w:rsid w:val="00975A53"/>
    <w:rsid w:val="00975AAF"/>
    <w:rsid w:val="00975AFA"/>
    <w:rsid w:val="00975B5C"/>
    <w:rsid w:val="00975E33"/>
    <w:rsid w:val="00976148"/>
    <w:rsid w:val="00976253"/>
    <w:rsid w:val="009763AD"/>
    <w:rsid w:val="009765AF"/>
    <w:rsid w:val="0097689D"/>
    <w:rsid w:val="00976A73"/>
    <w:rsid w:val="00976C3C"/>
    <w:rsid w:val="00977144"/>
    <w:rsid w:val="00977154"/>
    <w:rsid w:val="00977969"/>
    <w:rsid w:val="00977CA8"/>
    <w:rsid w:val="00977D62"/>
    <w:rsid w:val="00980122"/>
    <w:rsid w:val="00980424"/>
    <w:rsid w:val="00980502"/>
    <w:rsid w:val="009805DF"/>
    <w:rsid w:val="009808B4"/>
    <w:rsid w:val="00980C0B"/>
    <w:rsid w:val="00981266"/>
    <w:rsid w:val="0098126B"/>
    <w:rsid w:val="00981390"/>
    <w:rsid w:val="0098149C"/>
    <w:rsid w:val="009815F6"/>
    <w:rsid w:val="009817FE"/>
    <w:rsid w:val="00981C68"/>
    <w:rsid w:val="00981ED1"/>
    <w:rsid w:val="009822B2"/>
    <w:rsid w:val="009822DD"/>
    <w:rsid w:val="009822E5"/>
    <w:rsid w:val="00982402"/>
    <w:rsid w:val="0098299B"/>
    <w:rsid w:val="00982ABA"/>
    <w:rsid w:val="00982FB9"/>
    <w:rsid w:val="0098323C"/>
    <w:rsid w:val="009834F1"/>
    <w:rsid w:val="009836F2"/>
    <w:rsid w:val="009839BC"/>
    <w:rsid w:val="00983B82"/>
    <w:rsid w:val="00983BE7"/>
    <w:rsid w:val="0098400E"/>
    <w:rsid w:val="009840FF"/>
    <w:rsid w:val="009842A8"/>
    <w:rsid w:val="009842E1"/>
    <w:rsid w:val="009846DE"/>
    <w:rsid w:val="00984740"/>
    <w:rsid w:val="00984809"/>
    <w:rsid w:val="00984812"/>
    <w:rsid w:val="009848A5"/>
    <w:rsid w:val="009848B7"/>
    <w:rsid w:val="00984AD3"/>
    <w:rsid w:val="00984BA8"/>
    <w:rsid w:val="00984BC2"/>
    <w:rsid w:val="00984D03"/>
    <w:rsid w:val="00984E1D"/>
    <w:rsid w:val="00984EA5"/>
    <w:rsid w:val="00984EB3"/>
    <w:rsid w:val="00985023"/>
    <w:rsid w:val="009852A5"/>
    <w:rsid w:val="009854AC"/>
    <w:rsid w:val="00985662"/>
    <w:rsid w:val="0098590E"/>
    <w:rsid w:val="00985C8F"/>
    <w:rsid w:val="00985C90"/>
    <w:rsid w:val="00985E4C"/>
    <w:rsid w:val="00985F53"/>
    <w:rsid w:val="0098612C"/>
    <w:rsid w:val="00986297"/>
    <w:rsid w:val="009863F5"/>
    <w:rsid w:val="0098650B"/>
    <w:rsid w:val="0098662E"/>
    <w:rsid w:val="0098676F"/>
    <w:rsid w:val="009868C6"/>
    <w:rsid w:val="00986A70"/>
    <w:rsid w:val="00986AB3"/>
    <w:rsid w:val="00986C0E"/>
    <w:rsid w:val="00986FDF"/>
    <w:rsid w:val="009870CD"/>
    <w:rsid w:val="009871C2"/>
    <w:rsid w:val="00987378"/>
    <w:rsid w:val="0098745A"/>
    <w:rsid w:val="00987595"/>
    <w:rsid w:val="00987A84"/>
    <w:rsid w:val="00987BA2"/>
    <w:rsid w:val="00987D6D"/>
    <w:rsid w:val="00987E87"/>
    <w:rsid w:val="0099011D"/>
    <w:rsid w:val="00990196"/>
    <w:rsid w:val="00990205"/>
    <w:rsid w:val="00990270"/>
    <w:rsid w:val="009902C9"/>
    <w:rsid w:val="009906FF"/>
    <w:rsid w:val="00990996"/>
    <w:rsid w:val="009909CB"/>
    <w:rsid w:val="00990B2D"/>
    <w:rsid w:val="00990B6B"/>
    <w:rsid w:val="00990BC9"/>
    <w:rsid w:val="00990DF6"/>
    <w:rsid w:val="00990EA3"/>
    <w:rsid w:val="00990FC4"/>
    <w:rsid w:val="00991056"/>
    <w:rsid w:val="0099142B"/>
    <w:rsid w:val="009915B5"/>
    <w:rsid w:val="0099171F"/>
    <w:rsid w:val="00991854"/>
    <w:rsid w:val="00991A18"/>
    <w:rsid w:val="00991D35"/>
    <w:rsid w:val="00991FE5"/>
    <w:rsid w:val="009920D7"/>
    <w:rsid w:val="009922DC"/>
    <w:rsid w:val="009922FC"/>
    <w:rsid w:val="009924B2"/>
    <w:rsid w:val="009924E1"/>
    <w:rsid w:val="00992604"/>
    <w:rsid w:val="00992686"/>
    <w:rsid w:val="009927C5"/>
    <w:rsid w:val="009927FF"/>
    <w:rsid w:val="00992A5B"/>
    <w:rsid w:val="00992BAF"/>
    <w:rsid w:val="00992E82"/>
    <w:rsid w:val="00992EC0"/>
    <w:rsid w:val="00992F3C"/>
    <w:rsid w:val="00993091"/>
    <w:rsid w:val="009930A6"/>
    <w:rsid w:val="009931D1"/>
    <w:rsid w:val="00993211"/>
    <w:rsid w:val="0099325A"/>
    <w:rsid w:val="00993552"/>
    <w:rsid w:val="00993629"/>
    <w:rsid w:val="009938C4"/>
    <w:rsid w:val="00993A2C"/>
    <w:rsid w:val="00993B86"/>
    <w:rsid w:val="00993B97"/>
    <w:rsid w:val="009940F1"/>
    <w:rsid w:val="0099414D"/>
    <w:rsid w:val="009945E1"/>
    <w:rsid w:val="00994642"/>
    <w:rsid w:val="00994673"/>
    <w:rsid w:val="009946B0"/>
    <w:rsid w:val="00994819"/>
    <w:rsid w:val="0099481C"/>
    <w:rsid w:val="009948F2"/>
    <w:rsid w:val="00994DAE"/>
    <w:rsid w:val="00995029"/>
    <w:rsid w:val="0099514C"/>
    <w:rsid w:val="00995213"/>
    <w:rsid w:val="00995240"/>
    <w:rsid w:val="009956B7"/>
    <w:rsid w:val="009957CF"/>
    <w:rsid w:val="00995800"/>
    <w:rsid w:val="00995C5F"/>
    <w:rsid w:val="00995D2C"/>
    <w:rsid w:val="00995F82"/>
    <w:rsid w:val="009961AA"/>
    <w:rsid w:val="00996246"/>
    <w:rsid w:val="00996399"/>
    <w:rsid w:val="00996587"/>
    <w:rsid w:val="009967D2"/>
    <w:rsid w:val="0099684C"/>
    <w:rsid w:val="0099694B"/>
    <w:rsid w:val="00996A0B"/>
    <w:rsid w:val="00996B3B"/>
    <w:rsid w:val="00996B40"/>
    <w:rsid w:val="00996CBE"/>
    <w:rsid w:val="00996EA8"/>
    <w:rsid w:val="00997085"/>
    <w:rsid w:val="0099708E"/>
    <w:rsid w:val="00997118"/>
    <w:rsid w:val="00997128"/>
    <w:rsid w:val="009971F6"/>
    <w:rsid w:val="00997214"/>
    <w:rsid w:val="0099722D"/>
    <w:rsid w:val="009972B3"/>
    <w:rsid w:val="00997458"/>
    <w:rsid w:val="009975B1"/>
    <w:rsid w:val="009975ED"/>
    <w:rsid w:val="009976C5"/>
    <w:rsid w:val="009978F3"/>
    <w:rsid w:val="00997971"/>
    <w:rsid w:val="00997A10"/>
    <w:rsid w:val="00997A7B"/>
    <w:rsid w:val="00997B6E"/>
    <w:rsid w:val="00997E76"/>
    <w:rsid w:val="00997FEE"/>
    <w:rsid w:val="009A02F1"/>
    <w:rsid w:val="009A044C"/>
    <w:rsid w:val="009A0509"/>
    <w:rsid w:val="009A05F1"/>
    <w:rsid w:val="009A06D3"/>
    <w:rsid w:val="009A07AF"/>
    <w:rsid w:val="009A094F"/>
    <w:rsid w:val="009A09CB"/>
    <w:rsid w:val="009A0A67"/>
    <w:rsid w:val="009A0ABD"/>
    <w:rsid w:val="009A0AF5"/>
    <w:rsid w:val="009A0DDD"/>
    <w:rsid w:val="009A0E08"/>
    <w:rsid w:val="009A0E8F"/>
    <w:rsid w:val="009A112D"/>
    <w:rsid w:val="009A122C"/>
    <w:rsid w:val="009A1386"/>
    <w:rsid w:val="009A141B"/>
    <w:rsid w:val="009A1591"/>
    <w:rsid w:val="009A18E5"/>
    <w:rsid w:val="009A1A84"/>
    <w:rsid w:val="009A1B8D"/>
    <w:rsid w:val="009A1DA5"/>
    <w:rsid w:val="009A1ED9"/>
    <w:rsid w:val="009A1EFB"/>
    <w:rsid w:val="009A1F18"/>
    <w:rsid w:val="009A1FE6"/>
    <w:rsid w:val="009A200A"/>
    <w:rsid w:val="009A20B5"/>
    <w:rsid w:val="009A224C"/>
    <w:rsid w:val="009A22E7"/>
    <w:rsid w:val="009A254D"/>
    <w:rsid w:val="009A2587"/>
    <w:rsid w:val="009A25D6"/>
    <w:rsid w:val="009A28E7"/>
    <w:rsid w:val="009A29E2"/>
    <w:rsid w:val="009A2C4F"/>
    <w:rsid w:val="009A2CAF"/>
    <w:rsid w:val="009A2CB4"/>
    <w:rsid w:val="009A2CF1"/>
    <w:rsid w:val="009A2DBC"/>
    <w:rsid w:val="009A2EC0"/>
    <w:rsid w:val="009A2FD0"/>
    <w:rsid w:val="009A35CA"/>
    <w:rsid w:val="009A36A7"/>
    <w:rsid w:val="009A36D6"/>
    <w:rsid w:val="009A3776"/>
    <w:rsid w:val="009A38F9"/>
    <w:rsid w:val="009A3976"/>
    <w:rsid w:val="009A3A30"/>
    <w:rsid w:val="009A3DC3"/>
    <w:rsid w:val="009A3F1B"/>
    <w:rsid w:val="009A4003"/>
    <w:rsid w:val="009A416A"/>
    <w:rsid w:val="009A42B6"/>
    <w:rsid w:val="009A4430"/>
    <w:rsid w:val="009A4591"/>
    <w:rsid w:val="009A4A1A"/>
    <w:rsid w:val="009A4AB0"/>
    <w:rsid w:val="009A4B15"/>
    <w:rsid w:val="009A4B91"/>
    <w:rsid w:val="009A4C52"/>
    <w:rsid w:val="009A4D5A"/>
    <w:rsid w:val="009A4E5F"/>
    <w:rsid w:val="009A4F0B"/>
    <w:rsid w:val="009A5178"/>
    <w:rsid w:val="009A5272"/>
    <w:rsid w:val="009A5337"/>
    <w:rsid w:val="009A5946"/>
    <w:rsid w:val="009A5988"/>
    <w:rsid w:val="009A59FA"/>
    <w:rsid w:val="009A5A15"/>
    <w:rsid w:val="009A5B8A"/>
    <w:rsid w:val="009A5BE1"/>
    <w:rsid w:val="009A5E07"/>
    <w:rsid w:val="009A601D"/>
    <w:rsid w:val="009A6071"/>
    <w:rsid w:val="009A61A1"/>
    <w:rsid w:val="009A621C"/>
    <w:rsid w:val="009A62A2"/>
    <w:rsid w:val="009A63B3"/>
    <w:rsid w:val="009A6511"/>
    <w:rsid w:val="009A65A6"/>
    <w:rsid w:val="009A679A"/>
    <w:rsid w:val="009A67DC"/>
    <w:rsid w:val="009A6976"/>
    <w:rsid w:val="009A6999"/>
    <w:rsid w:val="009A699A"/>
    <w:rsid w:val="009A6A9A"/>
    <w:rsid w:val="009A6D03"/>
    <w:rsid w:val="009A7297"/>
    <w:rsid w:val="009A72E6"/>
    <w:rsid w:val="009A740B"/>
    <w:rsid w:val="009A75E5"/>
    <w:rsid w:val="009A766C"/>
    <w:rsid w:val="009A770C"/>
    <w:rsid w:val="009A77F0"/>
    <w:rsid w:val="009A77FB"/>
    <w:rsid w:val="009A7807"/>
    <w:rsid w:val="009A7DA9"/>
    <w:rsid w:val="009A7F9A"/>
    <w:rsid w:val="009B0173"/>
    <w:rsid w:val="009B0600"/>
    <w:rsid w:val="009B0693"/>
    <w:rsid w:val="009B0899"/>
    <w:rsid w:val="009B0CEC"/>
    <w:rsid w:val="009B0D1B"/>
    <w:rsid w:val="009B0D73"/>
    <w:rsid w:val="009B124C"/>
    <w:rsid w:val="009B13CD"/>
    <w:rsid w:val="009B13D2"/>
    <w:rsid w:val="009B151E"/>
    <w:rsid w:val="009B1524"/>
    <w:rsid w:val="009B152C"/>
    <w:rsid w:val="009B161C"/>
    <w:rsid w:val="009B169F"/>
    <w:rsid w:val="009B16F4"/>
    <w:rsid w:val="009B18D1"/>
    <w:rsid w:val="009B1A47"/>
    <w:rsid w:val="009B1B69"/>
    <w:rsid w:val="009B1BC9"/>
    <w:rsid w:val="009B1D7E"/>
    <w:rsid w:val="009B1EC7"/>
    <w:rsid w:val="009B1F09"/>
    <w:rsid w:val="009B1F0A"/>
    <w:rsid w:val="009B21E3"/>
    <w:rsid w:val="009B21F0"/>
    <w:rsid w:val="009B2289"/>
    <w:rsid w:val="009B270F"/>
    <w:rsid w:val="009B2826"/>
    <w:rsid w:val="009B282E"/>
    <w:rsid w:val="009B2834"/>
    <w:rsid w:val="009B2A17"/>
    <w:rsid w:val="009B2BEC"/>
    <w:rsid w:val="009B2C1F"/>
    <w:rsid w:val="009B2E16"/>
    <w:rsid w:val="009B2F18"/>
    <w:rsid w:val="009B2F27"/>
    <w:rsid w:val="009B2F5F"/>
    <w:rsid w:val="009B32B7"/>
    <w:rsid w:val="009B3363"/>
    <w:rsid w:val="009B3456"/>
    <w:rsid w:val="009B3458"/>
    <w:rsid w:val="009B358D"/>
    <w:rsid w:val="009B3B91"/>
    <w:rsid w:val="009B3BAA"/>
    <w:rsid w:val="009B3DC5"/>
    <w:rsid w:val="009B3ED2"/>
    <w:rsid w:val="009B40C0"/>
    <w:rsid w:val="009B42AF"/>
    <w:rsid w:val="009B42D0"/>
    <w:rsid w:val="009B435E"/>
    <w:rsid w:val="009B43B4"/>
    <w:rsid w:val="009B43DC"/>
    <w:rsid w:val="009B4464"/>
    <w:rsid w:val="009B4516"/>
    <w:rsid w:val="009B461E"/>
    <w:rsid w:val="009B4621"/>
    <w:rsid w:val="009B4644"/>
    <w:rsid w:val="009B466E"/>
    <w:rsid w:val="009B4821"/>
    <w:rsid w:val="009B4A03"/>
    <w:rsid w:val="009B4A89"/>
    <w:rsid w:val="009B4C0D"/>
    <w:rsid w:val="009B5062"/>
    <w:rsid w:val="009B53D2"/>
    <w:rsid w:val="009B5466"/>
    <w:rsid w:val="009B54C8"/>
    <w:rsid w:val="009B5617"/>
    <w:rsid w:val="009B5760"/>
    <w:rsid w:val="009B5912"/>
    <w:rsid w:val="009B592C"/>
    <w:rsid w:val="009B5980"/>
    <w:rsid w:val="009B5C3A"/>
    <w:rsid w:val="009B5D02"/>
    <w:rsid w:val="009B5D0D"/>
    <w:rsid w:val="009B5D8B"/>
    <w:rsid w:val="009B5DE4"/>
    <w:rsid w:val="009B5E6F"/>
    <w:rsid w:val="009B5F1F"/>
    <w:rsid w:val="009B6083"/>
    <w:rsid w:val="009B611E"/>
    <w:rsid w:val="009B646A"/>
    <w:rsid w:val="009B648D"/>
    <w:rsid w:val="009B6518"/>
    <w:rsid w:val="009B66F6"/>
    <w:rsid w:val="009B6857"/>
    <w:rsid w:val="009B6899"/>
    <w:rsid w:val="009B68FE"/>
    <w:rsid w:val="009B6936"/>
    <w:rsid w:val="009B6AE2"/>
    <w:rsid w:val="009B6C2B"/>
    <w:rsid w:val="009B6CE1"/>
    <w:rsid w:val="009B6E54"/>
    <w:rsid w:val="009B7004"/>
    <w:rsid w:val="009B710E"/>
    <w:rsid w:val="009B71CE"/>
    <w:rsid w:val="009B7247"/>
    <w:rsid w:val="009B7389"/>
    <w:rsid w:val="009B73C4"/>
    <w:rsid w:val="009B75FB"/>
    <w:rsid w:val="009B7606"/>
    <w:rsid w:val="009B78A7"/>
    <w:rsid w:val="009B797C"/>
    <w:rsid w:val="009B7A53"/>
    <w:rsid w:val="009B7BB5"/>
    <w:rsid w:val="009B7C24"/>
    <w:rsid w:val="009B7DA9"/>
    <w:rsid w:val="009B7E5E"/>
    <w:rsid w:val="009B7FC0"/>
    <w:rsid w:val="009C03CF"/>
    <w:rsid w:val="009C048D"/>
    <w:rsid w:val="009C0515"/>
    <w:rsid w:val="009C053C"/>
    <w:rsid w:val="009C05EA"/>
    <w:rsid w:val="009C082B"/>
    <w:rsid w:val="009C0902"/>
    <w:rsid w:val="009C09F3"/>
    <w:rsid w:val="009C0A51"/>
    <w:rsid w:val="009C0AD1"/>
    <w:rsid w:val="009C0C1A"/>
    <w:rsid w:val="009C0DC6"/>
    <w:rsid w:val="009C0E6E"/>
    <w:rsid w:val="009C11BA"/>
    <w:rsid w:val="009C1217"/>
    <w:rsid w:val="009C12CE"/>
    <w:rsid w:val="009C153B"/>
    <w:rsid w:val="009C16E4"/>
    <w:rsid w:val="009C176F"/>
    <w:rsid w:val="009C1843"/>
    <w:rsid w:val="009C18C0"/>
    <w:rsid w:val="009C1969"/>
    <w:rsid w:val="009C1F94"/>
    <w:rsid w:val="009C1F99"/>
    <w:rsid w:val="009C222F"/>
    <w:rsid w:val="009C22EC"/>
    <w:rsid w:val="009C263E"/>
    <w:rsid w:val="009C2692"/>
    <w:rsid w:val="009C26F6"/>
    <w:rsid w:val="009C26FE"/>
    <w:rsid w:val="009C2729"/>
    <w:rsid w:val="009C27AF"/>
    <w:rsid w:val="009C2876"/>
    <w:rsid w:val="009C288E"/>
    <w:rsid w:val="009C2A1D"/>
    <w:rsid w:val="009C2EE9"/>
    <w:rsid w:val="009C2F4F"/>
    <w:rsid w:val="009C2F65"/>
    <w:rsid w:val="009C2FBE"/>
    <w:rsid w:val="009C3012"/>
    <w:rsid w:val="009C304C"/>
    <w:rsid w:val="009C327C"/>
    <w:rsid w:val="009C32EA"/>
    <w:rsid w:val="009C33A8"/>
    <w:rsid w:val="009C362B"/>
    <w:rsid w:val="009C3714"/>
    <w:rsid w:val="009C3830"/>
    <w:rsid w:val="009C38F2"/>
    <w:rsid w:val="009C3986"/>
    <w:rsid w:val="009C3C5B"/>
    <w:rsid w:val="009C3D7B"/>
    <w:rsid w:val="009C3F2A"/>
    <w:rsid w:val="009C3F2E"/>
    <w:rsid w:val="009C4154"/>
    <w:rsid w:val="009C427F"/>
    <w:rsid w:val="009C42E2"/>
    <w:rsid w:val="009C43AB"/>
    <w:rsid w:val="009C43CE"/>
    <w:rsid w:val="009C451E"/>
    <w:rsid w:val="009C4666"/>
    <w:rsid w:val="009C46E4"/>
    <w:rsid w:val="009C49FE"/>
    <w:rsid w:val="009C4B68"/>
    <w:rsid w:val="009C4DDC"/>
    <w:rsid w:val="009C5129"/>
    <w:rsid w:val="009C512B"/>
    <w:rsid w:val="009C55BE"/>
    <w:rsid w:val="009C5631"/>
    <w:rsid w:val="009C57A3"/>
    <w:rsid w:val="009C5AE1"/>
    <w:rsid w:val="009C5AF6"/>
    <w:rsid w:val="009C61E6"/>
    <w:rsid w:val="009C61FB"/>
    <w:rsid w:val="009C62EA"/>
    <w:rsid w:val="009C64C7"/>
    <w:rsid w:val="009C654F"/>
    <w:rsid w:val="009C66D4"/>
    <w:rsid w:val="009C67AA"/>
    <w:rsid w:val="009C6A30"/>
    <w:rsid w:val="009C6A45"/>
    <w:rsid w:val="009C6BDD"/>
    <w:rsid w:val="009C6CD1"/>
    <w:rsid w:val="009C6CF4"/>
    <w:rsid w:val="009C6F4E"/>
    <w:rsid w:val="009C7042"/>
    <w:rsid w:val="009C7226"/>
    <w:rsid w:val="009C730F"/>
    <w:rsid w:val="009C7344"/>
    <w:rsid w:val="009C7461"/>
    <w:rsid w:val="009C753D"/>
    <w:rsid w:val="009C7587"/>
    <w:rsid w:val="009C7833"/>
    <w:rsid w:val="009C7A88"/>
    <w:rsid w:val="009C7B11"/>
    <w:rsid w:val="009C7C0E"/>
    <w:rsid w:val="009C7C3A"/>
    <w:rsid w:val="009D02E5"/>
    <w:rsid w:val="009D0343"/>
    <w:rsid w:val="009D0476"/>
    <w:rsid w:val="009D097B"/>
    <w:rsid w:val="009D0A55"/>
    <w:rsid w:val="009D0C8B"/>
    <w:rsid w:val="009D0CF0"/>
    <w:rsid w:val="009D13A6"/>
    <w:rsid w:val="009D13E2"/>
    <w:rsid w:val="009D1509"/>
    <w:rsid w:val="009D1738"/>
    <w:rsid w:val="009D181F"/>
    <w:rsid w:val="009D1BCF"/>
    <w:rsid w:val="009D1BE2"/>
    <w:rsid w:val="009D1C18"/>
    <w:rsid w:val="009D2013"/>
    <w:rsid w:val="009D2076"/>
    <w:rsid w:val="009D2391"/>
    <w:rsid w:val="009D251F"/>
    <w:rsid w:val="009D2588"/>
    <w:rsid w:val="009D264A"/>
    <w:rsid w:val="009D2808"/>
    <w:rsid w:val="009D2950"/>
    <w:rsid w:val="009D2B67"/>
    <w:rsid w:val="009D2BB2"/>
    <w:rsid w:val="009D2C6D"/>
    <w:rsid w:val="009D2CBB"/>
    <w:rsid w:val="009D2D81"/>
    <w:rsid w:val="009D31E8"/>
    <w:rsid w:val="009D32F6"/>
    <w:rsid w:val="009D3301"/>
    <w:rsid w:val="009D3331"/>
    <w:rsid w:val="009D33A3"/>
    <w:rsid w:val="009D3555"/>
    <w:rsid w:val="009D38B0"/>
    <w:rsid w:val="009D3958"/>
    <w:rsid w:val="009D3ACB"/>
    <w:rsid w:val="009D3B88"/>
    <w:rsid w:val="009D3B8E"/>
    <w:rsid w:val="009D3D39"/>
    <w:rsid w:val="009D3DD3"/>
    <w:rsid w:val="009D3F9A"/>
    <w:rsid w:val="009D41AD"/>
    <w:rsid w:val="009D420D"/>
    <w:rsid w:val="009D4420"/>
    <w:rsid w:val="009D44C0"/>
    <w:rsid w:val="009D4947"/>
    <w:rsid w:val="009D494E"/>
    <w:rsid w:val="009D4A82"/>
    <w:rsid w:val="009D4E59"/>
    <w:rsid w:val="009D51C5"/>
    <w:rsid w:val="009D5226"/>
    <w:rsid w:val="009D5334"/>
    <w:rsid w:val="009D53E9"/>
    <w:rsid w:val="009D55DC"/>
    <w:rsid w:val="009D566B"/>
    <w:rsid w:val="009D5671"/>
    <w:rsid w:val="009D5773"/>
    <w:rsid w:val="009D57E3"/>
    <w:rsid w:val="009D5938"/>
    <w:rsid w:val="009D5A22"/>
    <w:rsid w:val="009D5A3B"/>
    <w:rsid w:val="009D5A7B"/>
    <w:rsid w:val="009D5A88"/>
    <w:rsid w:val="009D5E22"/>
    <w:rsid w:val="009D5E41"/>
    <w:rsid w:val="009D5F99"/>
    <w:rsid w:val="009D6090"/>
    <w:rsid w:val="009D6152"/>
    <w:rsid w:val="009D61BB"/>
    <w:rsid w:val="009D61DD"/>
    <w:rsid w:val="009D6258"/>
    <w:rsid w:val="009D63E3"/>
    <w:rsid w:val="009D647E"/>
    <w:rsid w:val="009D663B"/>
    <w:rsid w:val="009D6748"/>
    <w:rsid w:val="009D6997"/>
    <w:rsid w:val="009D6B7C"/>
    <w:rsid w:val="009D6C84"/>
    <w:rsid w:val="009D6CEA"/>
    <w:rsid w:val="009D6F8E"/>
    <w:rsid w:val="009D6FE1"/>
    <w:rsid w:val="009D711F"/>
    <w:rsid w:val="009D71DE"/>
    <w:rsid w:val="009D7203"/>
    <w:rsid w:val="009D7272"/>
    <w:rsid w:val="009D73DB"/>
    <w:rsid w:val="009D75B7"/>
    <w:rsid w:val="009D79BE"/>
    <w:rsid w:val="009D7E98"/>
    <w:rsid w:val="009E003F"/>
    <w:rsid w:val="009E00F8"/>
    <w:rsid w:val="009E010B"/>
    <w:rsid w:val="009E039B"/>
    <w:rsid w:val="009E045E"/>
    <w:rsid w:val="009E04A5"/>
    <w:rsid w:val="009E05AA"/>
    <w:rsid w:val="009E05D1"/>
    <w:rsid w:val="009E074D"/>
    <w:rsid w:val="009E0B1E"/>
    <w:rsid w:val="009E0B61"/>
    <w:rsid w:val="009E0C6E"/>
    <w:rsid w:val="009E0E9E"/>
    <w:rsid w:val="009E0EF2"/>
    <w:rsid w:val="009E103D"/>
    <w:rsid w:val="009E112C"/>
    <w:rsid w:val="009E11DC"/>
    <w:rsid w:val="009E11F2"/>
    <w:rsid w:val="009E1638"/>
    <w:rsid w:val="009E188C"/>
    <w:rsid w:val="009E191A"/>
    <w:rsid w:val="009E1948"/>
    <w:rsid w:val="009E1976"/>
    <w:rsid w:val="009E1C85"/>
    <w:rsid w:val="009E1F2E"/>
    <w:rsid w:val="009E1FA5"/>
    <w:rsid w:val="009E1FC2"/>
    <w:rsid w:val="009E2351"/>
    <w:rsid w:val="009E23B8"/>
    <w:rsid w:val="009E23CF"/>
    <w:rsid w:val="009E250D"/>
    <w:rsid w:val="009E2581"/>
    <w:rsid w:val="009E260F"/>
    <w:rsid w:val="009E29D0"/>
    <w:rsid w:val="009E2A3A"/>
    <w:rsid w:val="009E2E16"/>
    <w:rsid w:val="009E312C"/>
    <w:rsid w:val="009E3168"/>
    <w:rsid w:val="009E31C0"/>
    <w:rsid w:val="009E333A"/>
    <w:rsid w:val="009E3554"/>
    <w:rsid w:val="009E35DF"/>
    <w:rsid w:val="009E384E"/>
    <w:rsid w:val="009E38A5"/>
    <w:rsid w:val="009E3C22"/>
    <w:rsid w:val="009E3F12"/>
    <w:rsid w:val="009E4006"/>
    <w:rsid w:val="009E4010"/>
    <w:rsid w:val="009E440B"/>
    <w:rsid w:val="009E4641"/>
    <w:rsid w:val="009E4685"/>
    <w:rsid w:val="009E46B5"/>
    <w:rsid w:val="009E49A3"/>
    <w:rsid w:val="009E4C26"/>
    <w:rsid w:val="009E4C8A"/>
    <w:rsid w:val="009E4CB2"/>
    <w:rsid w:val="009E4CCD"/>
    <w:rsid w:val="009E4D1F"/>
    <w:rsid w:val="009E4E02"/>
    <w:rsid w:val="009E4F93"/>
    <w:rsid w:val="009E53C3"/>
    <w:rsid w:val="009E55AC"/>
    <w:rsid w:val="009E561F"/>
    <w:rsid w:val="009E5627"/>
    <w:rsid w:val="009E56F0"/>
    <w:rsid w:val="009E5937"/>
    <w:rsid w:val="009E5961"/>
    <w:rsid w:val="009E5968"/>
    <w:rsid w:val="009E5AF3"/>
    <w:rsid w:val="009E5AFE"/>
    <w:rsid w:val="009E5BEE"/>
    <w:rsid w:val="009E5C22"/>
    <w:rsid w:val="009E6000"/>
    <w:rsid w:val="009E618C"/>
    <w:rsid w:val="009E6510"/>
    <w:rsid w:val="009E6625"/>
    <w:rsid w:val="009E677D"/>
    <w:rsid w:val="009E6BB4"/>
    <w:rsid w:val="009E6DED"/>
    <w:rsid w:val="009E733F"/>
    <w:rsid w:val="009E748B"/>
    <w:rsid w:val="009E77B3"/>
    <w:rsid w:val="009E77E9"/>
    <w:rsid w:val="009E7812"/>
    <w:rsid w:val="009F00D6"/>
    <w:rsid w:val="009F01C0"/>
    <w:rsid w:val="009F01ED"/>
    <w:rsid w:val="009F0339"/>
    <w:rsid w:val="009F046E"/>
    <w:rsid w:val="009F0823"/>
    <w:rsid w:val="009F0A90"/>
    <w:rsid w:val="009F0B2D"/>
    <w:rsid w:val="009F0D4D"/>
    <w:rsid w:val="009F108B"/>
    <w:rsid w:val="009F1100"/>
    <w:rsid w:val="009F1170"/>
    <w:rsid w:val="009F12BD"/>
    <w:rsid w:val="009F1354"/>
    <w:rsid w:val="009F19E9"/>
    <w:rsid w:val="009F1C2A"/>
    <w:rsid w:val="009F1D67"/>
    <w:rsid w:val="009F220F"/>
    <w:rsid w:val="009F2391"/>
    <w:rsid w:val="009F2436"/>
    <w:rsid w:val="009F252D"/>
    <w:rsid w:val="009F2580"/>
    <w:rsid w:val="009F28D5"/>
    <w:rsid w:val="009F2A64"/>
    <w:rsid w:val="009F2C77"/>
    <w:rsid w:val="009F2CA6"/>
    <w:rsid w:val="009F2D59"/>
    <w:rsid w:val="009F2EA6"/>
    <w:rsid w:val="009F3177"/>
    <w:rsid w:val="009F3583"/>
    <w:rsid w:val="009F36D6"/>
    <w:rsid w:val="009F3761"/>
    <w:rsid w:val="009F379E"/>
    <w:rsid w:val="009F3D42"/>
    <w:rsid w:val="009F3D89"/>
    <w:rsid w:val="009F3FF3"/>
    <w:rsid w:val="009F4046"/>
    <w:rsid w:val="009F43EE"/>
    <w:rsid w:val="009F44FA"/>
    <w:rsid w:val="009F46CD"/>
    <w:rsid w:val="009F477D"/>
    <w:rsid w:val="009F49AA"/>
    <w:rsid w:val="009F4D64"/>
    <w:rsid w:val="009F4E6C"/>
    <w:rsid w:val="009F4F1D"/>
    <w:rsid w:val="009F4F76"/>
    <w:rsid w:val="009F51DA"/>
    <w:rsid w:val="009F5246"/>
    <w:rsid w:val="009F549B"/>
    <w:rsid w:val="009F54EC"/>
    <w:rsid w:val="009F56DF"/>
    <w:rsid w:val="009F5710"/>
    <w:rsid w:val="009F5758"/>
    <w:rsid w:val="009F584F"/>
    <w:rsid w:val="009F58FA"/>
    <w:rsid w:val="009F5B9D"/>
    <w:rsid w:val="009F5BF7"/>
    <w:rsid w:val="009F5CB5"/>
    <w:rsid w:val="009F5CC3"/>
    <w:rsid w:val="009F5FC0"/>
    <w:rsid w:val="009F60A3"/>
    <w:rsid w:val="009F63D9"/>
    <w:rsid w:val="009F63E5"/>
    <w:rsid w:val="009F63EC"/>
    <w:rsid w:val="009F65D0"/>
    <w:rsid w:val="009F6718"/>
    <w:rsid w:val="009F6751"/>
    <w:rsid w:val="009F6764"/>
    <w:rsid w:val="009F690A"/>
    <w:rsid w:val="009F6B93"/>
    <w:rsid w:val="009F6C12"/>
    <w:rsid w:val="009F6C71"/>
    <w:rsid w:val="009F6FCA"/>
    <w:rsid w:val="009F7158"/>
    <w:rsid w:val="009F71AD"/>
    <w:rsid w:val="009F73CD"/>
    <w:rsid w:val="009F76BA"/>
    <w:rsid w:val="009F778C"/>
    <w:rsid w:val="009F77A3"/>
    <w:rsid w:val="009F787C"/>
    <w:rsid w:val="009F7CC5"/>
    <w:rsid w:val="009F7D3B"/>
    <w:rsid w:val="009F7D5E"/>
    <w:rsid w:val="00A00168"/>
    <w:rsid w:val="00A00723"/>
    <w:rsid w:val="00A0076D"/>
    <w:rsid w:val="00A008B7"/>
    <w:rsid w:val="00A00A56"/>
    <w:rsid w:val="00A00B08"/>
    <w:rsid w:val="00A00B8E"/>
    <w:rsid w:val="00A00D83"/>
    <w:rsid w:val="00A00DCF"/>
    <w:rsid w:val="00A01031"/>
    <w:rsid w:val="00A01335"/>
    <w:rsid w:val="00A013D1"/>
    <w:rsid w:val="00A016F8"/>
    <w:rsid w:val="00A01743"/>
    <w:rsid w:val="00A01768"/>
    <w:rsid w:val="00A0181D"/>
    <w:rsid w:val="00A018A3"/>
    <w:rsid w:val="00A01A71"/>
    <w:rsid w:val="00A01BFB"/>
    <w:rsid w:val="00A01E5B"/>
    <w:rsid w:val="00A01E63"/>
    <w:rsid w:val="00A01F4A"/>
    <w:rsid w:val="00A02168"/>
    <w:rsid w:val="00A021C8"/>
    <w:rsid w:val="00A02247"/>
    <w:rsid w:val="00A0230A"/>
    <w:rsid w:val="00A024A8"/>
    <w:rsid w:val="00A0268D"/>
    <w:rsid w:val="00A027C9"/>
    <w:rsid w:val="00A029B5"/>
    <w:rsid w:val="00A02B4B"/>
    <w:rsid w:val="00A02FEB"/>
    <w:rsid w:val="00A0319B"/>
    <w:rsid w:val="00A03217"/>
    <w:rsid w:val="00A033D3"/>
    <w:rsid w:val="00A03463"/>
    <w:rsid w:val="00A037BE"/>
    <w:rsid w:val="00A03907"/>
    <w:rsid w:val="00A03AD2"/>
    <w:rsid w:val="00A03C5E"/>
    <w:rsid w:val="00A03DA7"/>
    <w:rsid w:val="00A03DCD"/>
    <w:rsid w:val="00A03F47"/>
    <w:rsid w:val="00A04094"/>
    <w:rsid w:val="00A0419F"/>
    <w:rsid w:val="00A041CA"/>
    <w:rsid w:val="00A04244"/>
    <w:rsid w:val="00A04289"/>
    <w:rsid w:val="00A0447C"/>
    <w:rsid w:val="00A04921"/>
    <w:rsid w:val="00A04951"/>
    <w:rsid w:val="00A04B85"/>
    <w:rsid w:val="00A04BC5"/>
    <w:rsid w:val="00A04CE3"/>
    <w:rsid w:val="00A04E37"/>
    <w:rsid w:val="00A04EA2"/>
    <w:rsid w:val="00A04FC9"/>
    <w:rsid w:val="00A0518B"/>
    <w:rsid w:val="00A0522B"/>
    <w:rsid w:val="00A054DE"/>
    <w:rsid w:val="00A05752"/>
    <w:rsid w:val="00A0577C"/>
    <w:rsid w:val="00A0577F"/>
    <w:rsid w:val="00A058F7"/>
    <w:rsid w:val="00A05BF2"/>
    <w:rsid w:val="00A05C14"/>
    <w:rsid w:val="00A05DCC"/>
    <w:rsid w:val="00A05EB0"/>
    <w:rsid w:val="00A05FC3"/>
    <w:rsid w:val="00A0628E"/>
    <w:rsid w:val="00A06317"/>
    <w:rsid w:val="00A063F1"/>
    <w:rsid w:val="00A064E4"/>
    <w:rsid w:val="00A06785"/>
    <w:rsid w:val="00A06853"/>
    <w:rsid w:val="00A06B01"/>
    <w:rsid w:val="00A06B54"/>
    <w:rsid w:val="00A06F19"/>
    <w:rsid w:val="00A06F63"/>
    <w:rsid w:val="00A0711D"/>
    <w:rsid w:val="00A07674"/>
    <w:rsid w:val="00A076E6"/>
    <w:rsid w:val="00A0774D"/>
    <w:rsid w:val="00A07C0C"/>
    <w:rsid w:val="00A07D46"/>
    <w:rsid w:val="00A07FE5"/>
    <w:rsid w:val="00A10050"/>
    <w:rsid w:val="00A10169"/>
    <w:rsid w:val="00A10244"/>
    <w:rsid w:val="00A10288"/>
    <w:rsid w:val="00A10641"/>
    <w:rsid w:val="00A10A8B"/>
    <w:rsid w:val="00A10B68"/>
    <w:rsid w:val="00A10C39"/>
    <w:rsid w:val="00A10CB0"/>
    <w:rsid w:val="00A10CBD"/>
    <w:rsid w:val="00A1131C"/>
    <w:rsid w:val="00A113EF"/>
    <w:rsid w:val="00A1164A"/>
    <w:rsid w:val="00A11668"/>
    <w:rsid w:val="00A116B6"/>
    <w:rsid w:val="00A11886"/>
    <w:rsid w:val="00A11D54"/>
    <w:rsid w:val="00A11F39"/>
    <w:rsid w:val="00A1206C"/>
    <w:rsid w:val="00A121C5"/>
    <w:rsid w:val="00A12626"/>
    <w:rsid w:val="00A127C4"/>
    <w:rsid w:val="00A127D2"/>
    <w:rsid w:val="00A1282A"/>
    <w:rsid w:val="00A12B91"/>
    <w:rsid w:val="00A12B9C"/>
    <w:rsid w:val="00A12C63"/>
    <w:rsid w:val="00A12F37"/>
    <w:rsid w:val="00A12F4D"/>
    <w:rsid w:val="00A131CF"/>
    <w:rsid w:val="00A1358C"/>
    <w:rsid w:val="00A136D6"/>
    <w:rsid w:val="00A136EE"/>
    <w:rsid w:val="00A13AE1"/>
    <w:rsid w:val="00A13E4D"/>
    <w:rsid w:val="00A13F09"/>
    <w:rsid w:val="00A13FB4"/>
    <w:rsid w:val="00A14217"/>
    <w:rsid w:val="00A1422E"/>
    <w:rsid w:val="00A142E9"/>
    <w:rsid w:val="00A14401"/>
    <w:rsid w:val="00A144C8"/>
    <w:rsid w:val="00A145E6"/>
    <w:rsid w:val="00A148AF"/>
    <w:rsid w:val="00A1493E"/>
    <w:rsid w:val="00A14C83"/>
    <w:rsid w:val="00A14D3A"/>
    <w:rsid w:val="00A14F39"/>
    <w:rsid w:val="00A14F89"/>
    <w:rsid w:val="00A15168"/>
    <w:rsid w:val="00A151E5"/>
    <w:rsid w:val="00A1535C"/>
    <w:rsid w:val="00A15A60"/>
    <w:rsid w:val="00A15C47"/>
    <w:rsid w:val="00A15DDE"/>
    <w:rsid w:val="00A15E2A"/>
    <w:rsid w:val="00A15F5F"/>
    <w:rsid w:val="00A1608C"/>
    <w:rsid w:val="00A160F8"/>
    <w:rsid w:val="00A16141"/>
    <w:rsid w:val="00A1619F"/>
    <w:rsid w:val="00A161B9"/>
    <w:rsid w:val="00A161C5"/>
    <w:rsid w:val="00A1651A"/>
    <w:rsid w:val="00A16572"/>
    <w:rsid w:val="00A166D8"/>
    <w:rsid w:val="00A167D1"/>
    <w:rsid w:val="00A16B8A"/>
    <w:rsid w:val="00A16C29"/>
    <w:rsid w:val="00A16C5C"/>
    <w:rsid w:val="00A16F26"/>
    <w:rsid w:val="00A170FD"/>
    <w:rsid w:val="00A17183"/>
    <w:rsid w:val="00A172C1"/>
    <w:rsid w:val="00A172FE"/>
    <w:rsid w:val="00A173AD"/>
    <w:rsid w:val="00A17704"/>
    <w:rsid w:val="00A17905"/>
    <w:rsid w:val="00A17BD5"/>
    <w:rsid w:val="00A17D97"/>
    <w:rsid w:val="00A17F11"/>
    <w:rsid w:val="00A20089"/>
    <w:rsid w:val="00A20102"/>
    <w:rsid w:val="00A20238"/>
    <w:rsid w:val="00A20247"/>
    <w:rsid w:val="00A202EB"/>
    <w:rsid w:val="00A204D8"/>
    <w:rsid w:val="00A20961"/>
    <w:rsid w:val="00A20AD4"/>
    <w:rsid w:val="00A20AF3"/>
    <w:rsid w:val="00A20B63"/>
    <w:rsid w:val="00A20F63"/>
    <w:rsid w:val="00A210B2"/>
    <w:rsid w:val="00A210F3"/>
    <w:rsid w:val="00A211F6"/>
    <w:rsid w:val="00A21308"/>
    <w:rsid w:val="00A21587"/>
    <w:rsid w:val="00A21594"/>
    <w:rsid w:val="00A21C73"/>
    <w:rsid w:val="00A21D13"/>
    <w:rsid w:val="00A21DAA"/>
    <w:rsid w:val="00A22156"/>
    <w:rsid w:val="00A221A1"/>
    <w:rsid w:val="00A222A8"/>
    <w:rsid w:val="00A22621"/>
    <w:rsid w:val="00A22804"/>
    <w:rsid w:val="00A2289A"/>
    <w:rsid w:val="00A22996"/>
    <w:rsid w:val="00A22F4F"/>
    <w:rsid w:val="00A23039"/>
    <w:rsid w:val="00A23110"/>
    <w:rsid w:val="00A23187"/>
    <w:rsid w:val="00A234CE"/>
    <w:rsid w:val="00A23607"/>
    <w:rsid w:val="00A237D8"/>
    <w:rsid w:val="00A2381F"/>
    <w:rsid w:val="00A23827"/>
    <w:rsid w:val="00A238BB"/>
    <w:rsid w:val="00A23B38"/>
    <w:rsid w:val="00A23B3E"/>
    <w:rsid w:val="00A23BD9"/>
    <w:rsid w:val="00A23BF7"/>
    <w:rsid w:val="00A23CCF"/>
    <w:rsid w:val="00A24417"/>
    <w:rsid w:val="00A2448A"/>
    <w:rsid w:val="00A244A9"/>
    <w:rsid w:val="00A2464D"/>
    <w:rsid w:val="00A24695"/>
    <w:rsid w:val="00A2497C"/>
    <w:rsid w:val="00A24B21"/>
    <w:rsid w:val="00A24DEF"/>
    <w:rsid w:val="00A24EB9"/>
    <w:rsid w:val="00A24F73"/>
    <w:rsid w:val="00A24FCF"/>
    <w:rsid w:val="00A251CE"/>
    <w:rsid w:val="00A25398"/>
    <w:rsid w:val="00A25988"/>
    <w:rsid w:val="00A25AA5"/>
    <w:rsid w:val="00A25CB6"/>
    <w:rsid w:val="00A25E86"/>
    <w:rsid w:val="00A25EBE"/>
    <w:rsid w:val="00A261C0"/>
    <w:rsid w:val="00A263DF"/>
    <w:rsid w:val="00A26425"/>
    <w:rsid w:val="00A26559"/>
    <w:rsid w:val="00A267D3"/>
    <w:rsid w:val="00A267DA"/>
    <w:rsid w:val="00A267EF"/>
    <w:rsid w:val="00A26884"/>
    <w:rsid w:val="00A26D13"/>
    <w:rsid w:val="00A26DE7"/>
    <w:rsid w:val="00A26F92"/>
    <w:rsid w:val="00A26FE9"/>
    <w:rsid w:val="00A27097"/>
    <w:rsid w:val="00A273CC"/>
    <w:rsid w:val="00A27694"/>
    <w:rsid w:val="00A276D4"/>
    <w:rsid w:val="00A277DF"/>
    <w:rsid w:val="00A2783F"/>
    <w:rsid w:val="00A27B13"/>
    <w:rsid w:val="00A27B85"/>
    <w:rsid w:val="00A27BAC"/>
    <w:rsid w:val="00A27C15"/>
    <w:rsid w:val="00A27C86"/>
    <w:rsid w:val="00A27D9C"/>
    <w:rsid w:val="00A27DE7"/>
    <w:rsid w:val="00A27E01"/>
    <w:rsid w:val="00A27EF6"/>
    <w:rsid w:val="00A27F71"/>
    <w:rsid w:val="00A30177"/>
    <w:rsid w:val="00A3018A"/>
    <w:rsid w:val="00A30308"/>
    <w:rsid w:val="00A305A2"/>
    <w:rsid w:val="00A30788"/>
    <w:rsid w:val="00A30940"/>
    <w:rsid w:val="00A30D0C"/>
    <w:rsid w:val="00A30D38"/>
    <w:rsid w:val="00A30DAB"/>
    <w:rsid w:val="00A31007"/>
    <w:rsid w:val="00A312DE"/>
    <w:rsid w:val="00A315ED"/>
    <w:rsid w:val="00A3160C"/>
    <w:rsid w:val="00A31925"/>
    <w:rsid w:val="00A31D30"/>
    <w:rsid w:val="00A31F5E"/>
    <w:rsid w:val="00A32002"/>
    <w:rsid w:val="00A3204F"/>
    <w:rsid w:val="00A32078"/>
    <w:rsid w:val="00A32119"/>
    <w:rsid w:val="00A3235A"/>
    <w:rsid w:val="00A324DE"/>
    <w:rsid w:val="00A326D0"/>
    <w:rsid w:val="00A3272A"/>
    <w:rsid w:val="00A328FC"/>
    <w:rsid w:val="00A32A74"/>
    <w:rsid w:val="00A32B64"/>
    <w:rsid w:val="00A32C59"/>
    <w:rsid w:val="00A32D51"/>
    <w:rsid w:val="00A32D66"/>
    <w:rsid w:val="00A32E42"/>
    <w:rsid w:val="00A32E7C"/>
    <w:rsid w:val="00A32F7F"/>
    <w:rsid w:val="00A331C1"/>
    <w:rsid w:val="00A33600"/>
    <w:rsid w:val="00A338A2"/>
    <w:rsid w:val="00A33B0C"/>
    <w:rsid w:val="00A33C07"/>
    <w:rsid w:val="00A345E0"/>
    <w:rsid w:val="00A347FC"/>
    <w:rsid w:val="00A3485B"/>
    <w:rsid w:val="00A34969"/>
    <w:rsid w:val="00A34B53"/>
    <w:rsid w:val="00A34B88"/>
    <w:rsid w:val="00A34C37"/>
    <w:rsid w:val="00A34D07"/>
    <w:rsid w:val="00A34DD7"/>
    <w:rsid w:val="00A34EC2"/>
    <w:rsid w:val="00A3521F"/>
    <w:rsid w:val="00A35260"/>
    <w:rsid w:val="00A3535E"/>
    <w:rsid w:val="00A353D3"/>
    <w:rsid w:val="00A354CD"/>
    <w:rsid w:val="00A3558F"/>
    <w:rsid w:val="00A35601"/>
    <w:rsid w:val="00A35660"/>
    <w:rsid w:val="00A356F7"/>
    <w:rsid w:val="00A359AB"/>
    <w:rsid w:val="00A35B35"/>
    <w:rsid w:val="00A35BD1"/>
    <w:rsid w:val="00A35DA7"/>
    <w:rsid w:val="00A35DBA"/>
    <w:rsid w:val="00A35F3C"/>
    <w:rsid w:val="00A360AB"/>
    <w:rsid w:val="00A36101"/>
    <w:rsid w:val="00A36141"/>
    <w:rsid w:val="00A3619C"/>
    <w:rsid w:val="00A3638B"/>
    <w:rsid w:val="00A363AA"/>
    <w:rsid w:val="00A363E0"/>
    <w:rsid w:val="00A366D4"/>
    <w:rsid w:val="00A36784"/>
    <w:rsid w:val="00A36806"/>
    <w:rsid w:val="00A369C3"/>
    <w:rsid w:val="00A36B46"/>
    <w:rsid w:val="00A36DB5"/>
    <w:rsid w:val="00A36E16"/>
    <w:rsid w:val="00A370A8"/>
    <w:rsid w:val="00A37105"/>
    <w:rsid w:val="00A37714"/>
    <w:rsid w:val="00A3789A"/>
    <w:rsid w:val="00A3790A"/>
    <w:rsid w:val="00A37B58"/>
    <w:rsid w:val="00A37D9C"/>
    <w:rsid w:val="00A37DC0"/>
    <w:rsid w:val="00A401C1"/>
    <w:rsid w:val="00A401E0"/>
    <w:rsid w:val="00A40282"/>
    <w:rsid w:val="00A4038E"/>
    <w:rsid w:val="00A4063C"/>
    <w:rsid w:val="00A40A7E"/>
    <w:rsid w:val="00A40A9F"/>
    <w:rsid w:val="00A40CF2"/>
    <w:rsid w:val="00A40DBF"/>
    <w:rsid w:val="00A4104B"/>
    <w:rsid w:val="00A410C6"/>
    <w:rsid w:val="00A4117E"/>
    <w:rsid w:val="00A4122B"/>
    <w:rsid w:val="00A414E8"/>
    <w:rsid w:val="00A41D44"/>
    <w:rsid w:val="00A41D59"/>
    <w:rsid w:val="00A41EAE"/>
    <w:rsid w:val="00A425B2"/>
    <w:rsid w:val="00A425EA"/>
    <w:rsid w:val="00A42635"/>
    <w:rsid w:val="00A427BC"/>
    <w:rsid w:val="00A427F0"/>
    <w:rsid w:val="00A42950"/>
    <w:rsid w:val="00A42952"/>
    <w:rsid w:val="00A42A0A"/>
    <w:rsid w:val="00A42B0F"/>
    <w:rsid w:val="00A42B47"/>
    <w:rsid w:val="00A42B71"/>
    <w:rsid w:val="00A42B8A"/>
    <w:rsid w:val="00A42D19"/>
    <w:rsid w:val="00A42F90"/>
    <w:rsid w:val="00A430E5"/>
    <w:rsid w:val="00A43112"/>
    <w:rsid w:val="00A4340C"/>
    <w:rsid w:val="00A43596"/>
    <w:rsid w:val="00A4377E"/>
    <w:rsid w:val="00A43791"/>
    <w:rsid w:val="00A437B1"/>
    <w:rsid w:val="00A437E7"/>
    <w:rsid w:val="00A43997"/>
    <w:rsid w:val="00A439F0"/>
    <w:rsid w:val="00A43CCE"/>
    <w:rsid w:val="00A43D84"/>
    <w:rsid w:val="00A43DF2"/>
    <w:rsid w:val="00A43E32"/>
    <w:rsid w:val="00A44119"/>
    <w:rsid w:val="00A44478"/>
    <w:rsid w:val="00A4456C"/>
    <w:rsid w:val="00A445DE"/>
    <w:rsid w:val="00A4470A"/>
    <w:rsid w:val="00A44765"/>
    <w:rsid w:val="00A44868"/>
    <w:rsid w:val="00A4486E"/>
    <w:rsid w:val="00A448D1"/>
    <w:rsid w:val="00A44B68"/>
    <w:rsid w:val="00A45048"/>
    <w:rsid w:val="00A45244"/>
    <w:rsid w:val="00A452DA"/>
    <w:rsid w:val="00A45603"/>
    <w:rsid w:val="00A45708"/>
    <w:rsid w:val="00A45A89"/>
    <w:rsid w:val="00A45BA2"/>
    <w:rsid w:val="00A45CD6"/>
    <w:rsid w:val="00A46127"/>
    <w:rsid w:val="00A4667E"/>
    <w:rsid w:val="00A4668C"/>
    <w:rsid w:val="00A46700"/>
    <w:rsid w:val="00A46861"/>
    <w:rsid w:val="00A46980"/>
    <w:rsid w:val="00A469AF"/>
    <w:rsid w:val="00A469E0"/>
    <w:rsid w:val="00A46A5F"/>
    <w:rsid w:val="00A46F52"/>
    <w:rsid w:val="00A47020"/>
    <w:rsid w:val="00A471E2"/>
    <w:rsid w:val="00A474D7"/>
    <w:rsid w:val="00A477F4"/>
    <w:rsid w:val="00A47A5A"/>
    <w:rsid w:val="00A47A6B"/>
    <w:rsid w:val="00A47AC4"/>
    <w:rsid w:val="00A47CDD"/>
    <w:rsid w:val="00A47E42"/>
    <w:rsid w:val="00A47F45"/>
    <w:rsid w:val="00A5009A"/>
    <w:rsid w:val="00A50305"/>
    <w:rsid w:val="00A503E0"/>
    <w:rsid w:val="00A50442"/>
    <w:rsid w:val="00A504C3"/>
    <w:rsid w:val="00A50576"/>
    <w:rsid w:val="00A50878"/>
    <w:rsid w:val="00A508DD"/>
    <w:rsid w:val="00A50982"/>
    <w:rsid w:val="00A50E51"/>
    <w:rsid w:val="00A50E80"/>
    <w:rsid w:val="00A50E8E"/>
    <w:rsid w:val="00A50EE7"/>
    <w:rsid w:val="00A5113B"/>
    <w:rsid w:val="00A511AF"/>
    <w:rsid w:val="00A51245"/>
    <w:rsid w:val="00A513E8"/>
    <w:rsid w:val="00A51803"/>
    <w:rsid w:val="00A51989"/>
    <w:rsid w:val="00A51A83"/>
    <w:rsid w:val="00A51BE7"/>
    <w:rsid w:val="00A51C17"/>
    <w:rsid w:val="00A51FC0"/>
    <w:rsid w:val="00A51FE5"/>
    <w:rsid w:val="00A522ED"/>
    <w:rsid w:val="00A5231E"/>
    <w:rsid w:val="00A523C1"/>
    <w:rsid w:val="00A52536"/>
    <w:rsid w:val="00A52644"/>
    <w:rsid w:val="00A52B7C"/>
    <w:rsid w:val="00A52D69"/>
    <w:rsid w:val="00A52DFF"/>
    <w:rsid w:val="00A52E1F"/>
    <w:rsid w:val="00A52E2C"/>
    <w:rsid w:val="00A52FD4"/>
    <w:rsid w:val="00A5317E"/>
    <w:rsid w:val="00A53193"/>
    <w:rsid w:val="00A531CA"/>
    <w:rsid w:val="00A531CD"/>
    <w:rsid w:val="00A53457"/>
    <w:rsid w:val="00A53509"/>
    <w:rsid w:val="00A5359E"/>
    <w:rsid w:val="00A536FF"/>
    <w:rsid w:val="00A53724"/>
    <w:rsid w:val="00A537DE"/>
    <w:rsid w:val="00A537ED"/>
    <w:rsid w:val="00A5387F"/>
    <w:rsid w:val="00A53938"/>
    <w:rsid w:val="00A53A2E"/>
    <w:rsid w:val="00A53A86"/>
    <w:rsid w:val="00A53DA5"/>
    <w:rsid w:val="00A5425C"/>
    <w:rsid w:val="00A54263"/>
    <w:rsid w:val="00A5436A"/>
    <w:rsid w:val="00A5441B"/>
    <w:rsid w:val="00A545E9"/>
    <w:rsid w:val="00A54751"/>
    <w:rsid w:val="00A54A48"/>
    <w:rsid w:val="00A54D21"/>
    <w:rsid w:val="00A5518E"/>
    <w:rsid w:val="00A5520D"/>
    <w:rsid w:val="00A55255"/>
    <w:rsid w:val="00A55384"/>
    <w:rsid w:val="00A554C8"/>
    <w:rsid w:val="00A555F1"/>
    <w:rsid w:val="00A556B8"/>
    <w:rsid w:val="00A556D0"/>
    <w:rsid w:val="00A5577B"/>
    <w:rsid w:val="00A558B3"/>
    <w:rsid w:val="00A558B5"/>
    <w:rsid w:val="00A55D4B"/>
    <w:rsid w:val="00A56005"/>
    <w:rsid w:val="00A56234"/>
    <w:rsid w:val="00A56320"/>
    <w:rsid w:val="00A56389"/>
    <w:rsid w:val="00A56407"/>
    <w:rsid w:val="00A567F1"/>
    <w:rsid w:val="00A56F4C"/>
    <w:rsid w:val="00A57452"/>
    <w:rsid w:val="00A5754F"/>
    <w:rsid w:val="00A5766F"/>
    <w:rsid w:val="00A5772B"/>
    <w:rsid w:val="00A57837"/>
    <w:rsid w:val="00A57873"/>
    <w:rsid w:val="00A57D95"/>
    <w:rsid w:val="00A57DCA"/>
    <w:rsid w:val="00A60027"/>
    <w:rsid w:val="00A600A6"/>
    <w:rsid w:val="00A60331"/>
    <w:rsid w:val="00A604FD"/>
    <w:rsid w:val="00A60545"/>
    <w:rsid w:val="00A6058A"/>
    <w:rsid w:val="00A607A2"/>
    <w:rsid w:val="00A60859"/>
    <w:rsid w:val="00A60910"/>
    <w:rsid w:val="00A60922"/>
    <w:rsid w:val="00A60F22"/>
    <w:rsid w:val="00A6108A"/>
    <w:rsid w:val="00A61098"/>
    <w:rsid w:val="00A61790"/>
    <w:rsid w:val="00A618DE"/>
    <w:rsid w:val="00A61950"/>
    <w:rsid w:val="00A619B9"/>
    <w:rsid w:val="00A619BA"/>
    <w:rsid w:val="00A619D6"/>
    <w:rsid w:val="00A61B75"/>
    <w:rsid w:val="00A61CD5"/>
    <w:rsid w:val="00A61CF3"/>
    <w:rsid w:val="00A61D8D"/>
    <w:rsid w:val="00A61FF9"/>
    <w:rsid w:val="00A6210A"/>
    <w:rsid w:val="00A6213C"/>
    <w:rsid w:val="00A62474"/>
    <w:rsid w:val="00A625AF"/>
    <w:rsid w:val="00A625E7"/>
    <w:rsid w:val="00A62810"/>
    <w:rsid w:val="00A628CE"/>
    <w:rsid w:val="00A62A0D"/>
    <w:rsid w:val="00A62B10"/>
    <w:rsid w:val="00A62DDF"/>
    <w:rsid w:val="00A631B4"/>
    <w:rsid w:val="00A63318"/>
    <w:rsid w:val="00A636D2"/>
    <w:rsid w:val="00A63871"/>
    <w:rsid w:val="00A63929"/>
    <w:rsid w:val="00A63990"/>
    <w:rsid w:val="00A639FA"/>
    <w:rsid w:val="00A63C89"/>
    <w:rsid w:val="00A63CF5"/>
    <w:rsid w:val="00A63E35"/>
    <w:rsid w:val="00A64069"/>
    <w:rsid w:val="00A640B1"/>
    <w:rsid w:val="00A64223"/>
    <w:rsid w:val="00A64254"/>
    <w:rsid w:val="00A642E9"/>
    <w:rsid w:val="00A644D5"/>
    <w:rsid w:val="00A64895"/>
    <w:rsid w:val="00A6491E"/>
    <w:rsid w:val="00A6496C"/>
    <w:rsid w:val="00A64BEE"/>
    <w:rsid w:val="00A64CE8"/>
    <w:rsid w:val="00A64D9C"/>
    <w:rsid w:val="00A64DAF"/>
    <w:rsid w:val="00A64EED"/>
    <w:rsid w:val="00A6538F"/>
    <w:rsid w:val="00A65649"/>
    <w:rsid w:val="00A658A0"/>
    <w:rsid w:val="00A65945"/>
    <w:rsid w:val="00A65A70"/>
    <w:rsid w:val="00A65B22"/>
    <w:rsid w:val="00A66246"/>
    <w:rsid w:val="00A6630F"/>
    <w:rsid w:val="00A6631B"/>
    <w:rsid w:val="00A6631F"/>
    <w:rsid w:val="00A66640"/>
    <w:rsid w:val="00A6684A"/>
    <w:rsid w:val="00A66A8A"/>
    <w:rsid w:val="00A66C37"/>
    <w:rsid w:val="00A66D4C"/>
    <w:rsid w:val="00A66E65"/>
    <w:rsid w:val="00A66EB4"/>
    <w:rsid w:val="00A67075"/>
    <w:rsid w:val="00A6726D"/>
    <w:rsid w:val="00A674EB"/>
    <w:rsid w:val="00A67551"/>
    <w:rsid w:val="00A678A3"/>
    <w:rsid w:val="00A67AB8"/>
    <w:rsid w:val="00A67E28"/>
    <w:rsid w:val="00A67F9F"/>
    <w:rsid w:val="00A67FAA"/>
    <w:rsid w:val="00A70070"/>
    <w:rsid w:val="00A700DF"/>
    <w:rsid w:val="00A70202"/>
    <w:rsid w:val="00A702C5"/>
    <w:rsid w:val="00A7045A"/>
    <w:rsid w:val="00A704A8"/>
    <w:rsid w:val="00A704FE"/>
    <w:rsid w:val="00A70794"/>
    <w:rsid w:val="00A707C6"/>
    <w:rsid w:val="00A70ABB"/>
    <w:rsid w:val="00A70B3F"/>
    <w:rsid w:val="00A70D08"/>
    <w:rsid w:val="00A711AF"/>
    <w:rsid w:val="00A711B4"/>
    <w:rsid w:val="00A7120F"/>
    <w:rsid w:val="00A712C0"/>
    <w:rsid w:val="00A713A4"/>
    <w:rsid w:val="00A71569"/>
    <w:rsid w:val="00A71619"/>
    <w:rsid w:val="00A716D4"/>
    <w:rsid w:val="00A716E9"/>
    <w:rsid w:val="00A719B6"/>
    <w:rsid w:val="00A71B59"/>
    <w:rsid w:val="00A71D02"/>
    <w:rsid w:val="00A720EC"/>
    <w:rsid w:val="00A72458"/>
    <w:rsid w:val="00A726C3"/>
    <w:rsid w:val="00A7281D"/>
    <w:rsid w:val="00A72A23"/>
    <w:rsid w:val="00A72AD6"/>
    <w:rsid w:val="00A72C1A"/>
    <w:rsid w:val="00A72D24"/>
    <w:rsid w:val="00A7300A"/>
    <w:rsid w:val="00A7320B"/>
    <w:rsid w:val="00A73299"/>
    <w:rsid w:val="00A73454"/>
    <w:rsid w:val="00A736A0"/>
    <w:rsid w:val="00A73A5F"/>
    <w:rsid w:val="00A73B36"/>
    <w:rsid w:val="00A73B8C"/>
    <w:rsid w:val="00A73DA1"/>
    <w:rsid w:val="00A73F55"/>
    <w:rsid w:val="00A7409B"/>
    <w:rsid w:val="00A740C2"/>
    <w:rsid w:val="00A7418F"/>
    <w:rsid w:val="00A741C7"/>
    <w:rsid w:val="00A74311"/>
    <w:rsid w:val="00A74418"/>
    <w:rsid w:val="00A7447B"/>
    <w:rsid w:val="00A745BF"/>
    <w:rsid w:val="00A74754"/>
    <w:rsid w:val="00A74A67"/>
    <w:rsid w:val="00A74C3A"/>
    <w:rsid w:val="00A74D45"/>
    <w:rsid w:val="00A74FA1"/>
    <w:rsid w:val="00A75075"/>
    <w:rsid w:val="00A7512C"/>
    <w:rsid w:val="00A751C9"/>
    <w:rsid w:val="00A753AB"/>
    <w:rsid w:val="00A7544A"/>
    <w:rsid w:val="00A75590"/>
    <w:rsid w:val="00A756A4"/>
    <w:rsid w:val="00A7596C"/>
    <w:rsid w:val="00A75AC0"/>
    <w:rsid w:val="00A75CB0"/>
    <w:rsid w:val="00A75CE5"/>
    <w:rsid w:val="00A75EC2"/>
    <w:rsid w:val="00A75EDE"/>
    <w:rsid w:val="00A7631E"/>
    <w:rsid w:val="00A7636F"/>
    <w:rsid w:val="00A76379"/>
    <w:rsid w:val="00A763EA"/>
    <w:rsid w:val="00A7640F"/>
    <w:rsid w:val="00A766BD"/>
    <w:rsid w:val="00A766CC"/>
    <w:rsid w:val="00A7679B"/>
    <w:rsid w:val="00A76835"/>
    <w:rsid w:val="00A76988"/>
    <w:rsid w:val="00A76B17"/>
    <w:rsid w:val="00A76CFF"/>
    <w:rsid w:val="00A76DFB"/>
    <w:rsid w:val="00A76E8E"/>
    <w:rsid w:val="00A76F1D"/>
    <w:rsid w:val="00A77006"/>
    <w:rsid w:val="00A770E5"/>
    <w:rsid w:val="00A77517"/>
    <w:rsid w:val="00A775D8"/>
    <w:rsid w:val="00A7766F"/>
    <w:rsid w:val="00A77729"/>
    <w:rsid w:val="00A77730"/>
    <w:rsid w:val="00A77991"/>
    <w:rsid w:val="00A77BFE"/>
    <w:rsid w:val="00A77CEF"/>
    <w:rsid w:val="00A800EB"/>
    <w:rsid w:val="00A801D7"/>
    <w:rsid w:val="00A801E3"/>
    <w:rsid w:val="00A80350"/>
    <w:rsid w:val="00A803A0"/>
    <w:rsid w:val="00A805C6"/>
    <w:rsid w:val="00A808C6"/>
    <w:rsid w:val="00A80C75"/>
    <w:rsid w:val="00A80D92"/>
    <w:rsid w:val="00A81086"/>
    <w:rsid w:val="00A8111F"/>
    <w:rsid w:val="00A812BB"/>
    <w:rsid w:val="00A81844"/>
    <w:rsid w:val="00A819D2"/>
    <w:rsid w:val="00A81ADB"/>
    <w:rsid w:val="00A81E7C"/>
    <w:rsid w:val="00A81F25"/>
    <w:rsid w:val="00A821AB"/>
    <w:rsid w:val="00A8243D"/>
    <w:rsid w:val="00A82443"/>
    <w:rsid w:val="00A82529"/>
    <w:rsid w:val="00A82647"/>
    <w:rsid w:val="00A82822"/>
    <w:rsid w:val="00A82892"/>
    <w:rsid w:val="00A829DE"/>
    <w:rsid w:val="00A82A8C"/>
    <w:rsid w:val="00A82C9B"/>
    <w:rsid w:val="00A830AE"/>
    <w:rsid w:val="00A831A6"/>
    <w:rsid w:val="00A83212"/>
    <w:rsid w:val="00A83487"/>
    <w:rsid w:val="00A834AB"/>
    <w:rsid w:val="00A8351D"/>
    <w:rsid w:val="00A83A7C"/>
    <w:rsid w:val="00A83AA3"/>
    <w:rsid w:val="00A83B29"/>
    <w:rsid w:val="00A83B83"/>
    <w:rsid w:val="00A83C00"/>
    <w:rsid w:val="00A841A8"/>
    <w:rsid w:val="00A8445F"/>
    <w:rsid w:val="00A8450E"/>
    <w:rsid w:val="00A847B7"/>
    <w:rsid w:val="00A848C1"/>
    <w:rsid w:val="00A84A3E"/>
    <w:rsid w:val="00A84B61"/>
    <w:rsid w:val="00A84C3B"/>
    <w:rsid w:val="00A84D74"/>
    <w:rsid w:val="00A8514F"/>
    <w:rsid w:val="00A8516E"/>
    <w:rsid w:val="00A85329"/>
    <w:rsid w:val="00A85620"/>
    <w:rsid w:val="00A85938"/>
    <w:rsid w:val="00A85B48"/>
    <w:rsid w:val="00A85CAB"/>
    <w:rsid w:val="00A85E53"/>
    <w:rsid w:val="00A863A3"/>
    <w:rsid w:val="00A864F9"/>
    <w:rsid w:val="00A865F6"/>
    <w:rsid w:val="00A86730"/>
    <w:rsid w:val="00A8683F"/>
    <w:rsid w:val="00A869D3"/>
    <w:rsid w:val="00A86DBF"/>
    <w:rsid w:val="00A86DDC"/>
    <w:rsid w:val="00A86FB3"/>
    <w:rsid w:val="00A87378"/>
    <w:rsid w:val="00A87467"/>
    <w:rsid w:val="00A87BEC"/>
    <w:rsid w:val="00A87BF8"/>
    <w:rsid w:val="00A87CAC"/>
    <w:rsid w:val="00A87D3B"/>
    <w:rsid w:val="00A90042"/>
    <w:rsid w:val="00A9015C"/>
    <w:rsid w:val="00A90235"/>
    <w:rsid w:val="00A90505"/>
    <w:rsid w:val="00A905CB"/>
    <w:rsid w:val="00A90620"/>
    <w:rsid w:val="00A9070B"/>
    <w:rsid w:val="00A9073D"/>
    <w:rsid w:val="00A90803"/>
    <w:rsid w:val="00A90978"/>
    <w:rsid w:val="00A90A8D"/>
    <w:rsid w:val="00A90ABC"/>
    <w:rsid w:val="00A90B53"/>
    <w:rsid w:val="00A90C86"/>
    <w:rsid w:val="00A90DB3"/>
    <w:rsid w:val="00A90E58"/>
    <w:rsid w:val="00A9114E"/>
    <w:rsid w:val="00A911FA"/>
    <w:rsid w:val="00A91259"/>
    <w:rsid w:val="00A9132C"/>
    <w:rsid w:val="00A91621"/>
    <w:rsid w:val="00A9181D"/>
    <w:rsid w:val="00A91859"/>
    <w:rsid w:val="00A918C5"/>
    <w:rsid w:val="00A918FD"/>
    <w:rsid w:val="00A91A37"/>
    <w:rsid w:val="00A91A41"/>
    <w:rsid w:val="00A91BF2"/>
    <w:rsid w:val="00A91BFC"/>
    <w:rsid w:val="00A91C2A"/>
    <w:rsid w:val="00A91DD1"/>
    <w:rsid w:val="00A92106"/>
    <w:rsid w:val="00A9248B"/>
    <w:rsid w:val="00A92605"/>
    <w:rsid w:val="00A9263B"/>
    <w:rsid w:val="00A926BA"/>
    <w:rsid w:val="00A92AE5"/>
    <w:rsid w:val="00A92B88"/>
    <w:rsid w:val="00A92C6B"/>
    <w:rsid w:val="00A92D21"/>
    <w:rsid w:val="00A93350"/>
    <w:rsid w:val="00A935DB"/>
    <w:rsid w:val="00A93624"/>
    <w:rsid w:val="00A9368C"/>
    <w:rsid w:val="00A93937"/>
    <w:rsid w:val="00A93A4B"/>
    <w:rsid w:val="00A93B90"/>
    <w:rsid w:val="00A93C1F"/>
    <w:rsid w:val="00A93CC3"/>
    <w:rsid w:val="00A93D8D"/>
    <w:rsid w:val="00A93DF9"/>
    <w:rsid w:val="00A93F4E"/>
    <w:rsid w:val="00A941A4"/>
    <w:rsid w:val="00A94307"/>
    <w:rsid w:val="00A94580"/>
    <w:rsid w:val="00A9469C"/>
    <w:rsid w:val="00A94701"/>
    <w:rsid w:val="00A948E6"/>
    <w:rsid w:val="00A94DAA"/>
    <w:rsid w:val="00A9513D"/>
    <w:rsid w:val="00A95200"/>
    <w:rsid w:val="00A95271"/>
    <w:rsid w:val="00A95314"/>
    <w:rsid w:val="00A95356"/>
    <w:rsid w:val="00A9565B"/>
    <w:rsid w:val="00A95723"/>
    <w:rsid w:val="00A95748"/>
    <w:rsid w:val="00A95D11"/>
    <w:rsid w:val="00A95DCC"/>
    <w:rsid w:val="00A96021"/>
    <w:rsid w:val="00A9615C"/>
    <w:rsid w:val="00A9619F"/>
    <w:rsid w:val="00A96240"/>
    <w:rsid w:val="00A96335"/>
    <w:rsid w:val="00A9641D"/>
    <w:rsid w:val="00A96432"/>
    <w:rsid w:val="00A96614"/>
    <w:rsid w:val="00A966D2"/>
    <w:rsid w:val="00A96703"/>
    <w:rsid w:val="00A967EA"/>
    <w:rsid w:val="00A9688D"/>
    <w:rsid w:val="00A9689B"/>
    <w:rsid w:val="00A968B1"/>
    <w:rsid w:val="00A96C1F"/>
    <w:rsid w:val="00A970DC"/>
    <w:rsid w:val="00A97134"/>
    <w:rsid w:val="00A97228"/>
    <w:rsid w:val="00A97678"/>
    <w:rsid w:val="00A9777A"/>
    <w:rsid w:val="00A977F3"/>
    <w:rsid w:val="00A978D2"/>
    <w:rsid w:val="00A97A66"/>
    <w:rsid w:val="00A97C08"/>
    <w:rsid w:val="00A97E30"/>
    <w:rsid w:val="00A97EF1"/>
    <w:rsid w:val="00AA01DF"/>
    <w:rsid w:val="00AA01F0"/>
    <w:rsid w:val="00AA026D"/>
    <w:rsid w:val="00AA038C"/>
    <w:rsid w:val="00AA03BC"/>
    <w:rsid w:val="00AA04FA"/>
    <w:rsid w:val="00AA0744"/>
    <w:rsid w:val="00AA07B5"/>
    <w:rsid w:val="00AA0BA4"/>
    <w:rsid w:val="00AA0BB8"/>
    <w:rsid w:val="00AA0BCB"/>
    <w:rsid w:val="00AA0C25"/>
    <w:rsid w:val="00AA1143"/>
    <w:rsid w:val="00AA11B0"/>
    <w:rsid w:val="00AA138F"/>
    <w:rsid w:val="00AA1405"/>
    <w:rsid w:val="00AA146B"/>
    <w:rsid w:val="00AA16B1"/>
    <w:rsid w:val="00AA1720"/>
    <w:rsid w:val="00AA18AC"/>
    <w:rsid w:val="00AA191E"/>
    <w:rsid w:val="00AA19A5"/>
    <w:rsid w:val="00AA1B8F"/>
    <w:rsid w:val="00AA1BCB"/>
    <w:rsid w:val="00AA1ED3"/>
    <w:rsid w:val="00AA1FE0"/>
    <w:rsid w:val="00AA211C"/>
    <w:rsid w:val="00AA212A"/>
    <w:rsid w:val="00AA2174"/>
    <w:rsid w:val="00AA2185"/>
    <w:rsid w:val="00AA2387"/>
    <w:rsid w:val="00AA24C5"/>
    <w:rsid w:val="00AA2507"/>
    <w:rsid w:val="00AA258C"/>
    <w:rsid w:val="00AA25CA"/>
    <w:rsid w:val="00AA2719"/>
    <w:rsid w:val="00AA273F"/>
    <w:rsid w:val="00AA2D41"/>
    <w:rsid w:val="00AA2DAB"/>
    <w:rsid w:val="00AA2E3A"/>
    <w:rsid w:val="00AA3071"/>
    <w:rsid w:val="00AA30A5"/>
    <w:rsid w:val="00AA30CC"/>
    <w:rsid w:val="00AA321D"/>
    <w:rsid w:val="00AA3733"/>
    <w:rsid w:val="00AA3952"/>
    <w:rsid w:val="00AA398A"/>
    <w:rsid w:val="00AA3C0A"/>
    <w:rsid w:val="00AA3F99"/>
    <w:rsid w:val="00AA4003"/>
    <w:rsid w:val="00AA4065"/>
    <w:rsid w:val="00AA40D6"/>
    <w:rsid w:val="00AA42CF"/>
    <w:rsid w:val="00AA4A4D"/>
    <w:rsid w:val="00AA4A7D"/>
    <w:rsid w:val="00AA4A82"/>
    <w:rsid w:val="00AA4C11"/>
    <w:rsid w:val="00AA4E0E"/>
    <w:rsid w:val="00AA4E98"/>
    <w:rsid w:val="00AA51F3"/>
    <w:rsid w:val="00AA53F3"/>
    <w:rsid w:val="00AA53FF"/>
    <w:rsid w:val="00AA55EE"/>
    <w:rsid w:val="00AA56C9"/>
    <w:rsid w:val="00AA5706"/>
    <w:rsid w:val="00AA59F5"/>
    <w:rsid w:val="00AA5C90"/>
    <w:rsid w:val="00AA5D36"/>
    <w:rsid w:val="00AA5D79"/>
    <w:rsid w:val="00AA6126"/>
    <w:rsid w:val="00AA6154"/>
    <w:rsid w:val="00AA6180"/>
    <w:rsid w:val="00AA6211"/>
    <w:rsid w:val="00AA6259"/>
    <w:rsid w:val="00AA6683"/>
    <w:rsid w:val="00AA66D8"/>
    <w:rsid w:val="00AA687C"/>
    <w:rsid w:val="00AA68F4"/>
    <w:rsid w:val="00AA691D"/>
    <w:rsid w:val="00AA6961"/>
    <w:rsid w:val="00AA6B36"/>
    <w:rsid w:val="00AA6D1A"/>
    <w:rsid w:val="00AA6D87"/>
    <w:rsid w:val="00AA6E63"/>
    <w:rsid w:val="00AA70B3"/>
    <w:rsid w:val="00AA7380"/>
    <w:rsid w:val="00AA74BA"/>
    <w:rsid w:val="00AA7768"/>
    <w:rsid w:val="00AA78B6"/>
    <w:rsid w:val="00AA7A43"/>
    <w:rsid w:val="00AB001E"/>
    <w:rsid w:val="00AB00BE"/>
    <w:rsid w:val="00AB0113"/>
    <w:rsid w:val="00AB01E7"/>
    <w:rsid w:val="00AB03FF"/>
    <w:rsid w:val="00AB0437"/>
    <w:rsid w:val="00AB0589"/>
    <w:rsid w:val="00AB0762"/>
    <w:rsid w:val="00AB07D9"/>
    <w:rsid w:val="00AB07F4"/>
    <w:rsid w:val="00AB09A2"/>
    <w:rsid w:val="00AB09F9"/>
    <w:rsid w:val="00AB0B15"/>
    <w:rsid w:val="00AB0D64"/>
    <w:rsid w:val="00AB0E40"/>
    <w:rsid w:val="00AB0E84"/>
    <w:rsid w:val="00AB0EB0"/>
    <w:rsid w:val="00AB0FBB"/>
    <w:rsid w:val="00AB116B"/>
    <w:rsid w:val="00AB116C"/>
    <w:rsid w:val="00AB122E"/>
    <w:rsid w:val="00AB1247"/>
    <w:rsid w:val="00AB13D3"/>
    <w:rsid w:val="00AB1615"/>
    <w:rsid w:val="00AB19E9"/>
    <w:rsid w:val="00AB1A05"/>
    <w:rsid w:val="00AB1AF8"/>
    <w:rsid w:val="00AB1D1B"/>
    <w:rsid w:val="00AB1E18"/>
    <w:rsid w:val="00AB205D"/>
    <w:rsid w:val="00AB21D1"/>
    <w:rsid w:val="00AB22F8"/>
    <w:rsid w:val="00AB254F"/>
    <w:rsid w:val="00AB274D"/>
    <w:rsid w:val="00AB2B92"/>
    <w:rsid w:val="00AB2D2D"/>
    <w:rsid w:val="00AB2F95"/>
    <w:rsid w:val="00AB30FD"/>
    <w:rsid w:val="00AB32E2"/>
    <w:rsid w:val="00AB335B"/>
    <w:rsid w:val="00AB356A"/>
    <w:rsid w:val="00AB38C3"/>
    <w:rsid w:val="00AB3904"/>
    <w:rsid w:val="00AB3938"/>
    <w:rsid w:val="00AB3AEF"/>
    <w:rsid w:val="00AB3D2B"/>
    <w:rsid w:val="00AB3E1F"/>
    <w:rsid w:val="00AB3E36"/>
    <w:rsid w:val="00AB3E4B"/>
    <w:rsid w:val="00AB4169"/>
    <w:rsid w:val="00AB419C"/>
    <w:rsid w:val="00AB421B"/>
    <w:rsid w:val="00AB4732"/>
    <w:rsid w:val="00AB47FE"/>
    <w:rsid w:val="00AB48DE"/>
    <w:rsid w:val="00AB498F"/>
    <w:rsid w:val="00AB4B7F"/>
    <w:rsid w:val="00AB4BD3"/>
    <w:rsid w:val="00AB4DA9"/>
    <w:rsid w:val="00AB4DE2"/>
    <w:rsid w:val="00AB4E33"/>
    <w:rsid w:val="00AB4ED5"/>
    <w:rsid w:val="00AB4EDC"/>
    <w:rsid w:val="00AB4EFD"/>
    <w:rsid w:val="00AB4FE9"/>
    <w:rsid w:val="00AB5102"/>
    <w:rsid w:val="00AB5186"/>
    <w:rsid w:val="00AB543D"/>
    <w:rsid w:val="00AB5862"/>
    <w:rsid w:val="00AB59CA"/>
    <w:rsid w:val="00AB5A84"/>
    <w:rsid w:val="00AB5D2B"/>
    <w:rsid w:val="00AB5FCF"/>
    <w:rsid w:val="00AB5FE1"/>
    <w:rsid w:val="00AB624D"/>
    <w:rsid w:val="00AB62BA"/>
    <w:rsid w:val="00AB632A"/>
    <w:rsid w:val="00AB646D"/>
    <w:rsid w:val="00AB6506"/>
    <w:rsid w:val="00AB65AB"/>
    <w:rsid w:val="00AB67AF"/>
    <w:rsid w:val="00AB7128"/>
    <w:rsid w:val="00AB7453"/>
    <w:rsid w:val="00AB7753"/>
    <w:rsid w:val="00AB7777"/>
    <w:rsid w:val="00AB7858"/>
    <w:rsid w:val="00AB7A73"/>
    <w:rsid w:val="00AB7A98"/>
    <w:rsid w:val="00AC004F"/>
    <w:rsid w:val="00AC00EE"/>
    <w:rsid w:val="00AC019D"/>
    <w:rsid w:val="00AC01A3"/>
    <w:rsid w:val="00AC03DE"/>
    <w:rsid w:val="00AC040E"/>
    <w:rsid w:val="00AC054E"/>
    <w:rsid w:val="00AC0617"/>
    <w:rsid w:val="00AC06B2"/>
    <w:rsid w:val="00AC0985"/>
    <w:rsid w:val="00AC0BB6"/>
    <w:rsid w:val="00AC0E2A"/>
    <w:rsid w:val="00AC0E59"/>
    <w:rsid w:val="00AC0E77"/>
    <w:rsid w:val="00AC0FFA"/>
    <w:rsid w:val="00AC11CF"/>
    <w:rsid w:val="00AC13DB"/>
    <w:rsid w:val="00AC17E0"/>
    <w:rsid w:val="00AC1836"/>
    <w:rsid w:val="00AC1AB3"/>
    <w:rsid w:val="00AC1EDC"/>
    <w:rsid w:val="00AC1F80"/>
    <w:rsid w:val="00AC2144"/>
    <w:rsid w:val="00AC25F7"/>
    <w:rsid w:val="00AC26A9"/>
    <w:rsid w:val="00AC2700"/>
    <w:rsid w:val="00AC295A"/>
    <w:rsid w:val="00AC29DB"/>
    <w:rsid w:val="00AC2A7C"/>
    <w:rsid w:val="00AC2AA8"/>
    <w:rsid w:val="00AC2BA9"/>
    <w:rsid w:val="00AC2E7F"/>
    <w:rsid w:val="00AC333B"/>
    <w:rsid w:val="00AC3403"/>
    <w:rsid w:val="00AC346F"/>
    <w:rsid w:val="00AC35CC"/>
    <w:rsid w:val="00AC3865"/>
    <w:rsid w:val="00AC3A06"/>
    <w:rsid w:val="00AC3A56"/>
    <w:rsid w:val="00AC3C6B"/>
    <w:rsid w:val="00AC3D73"/>
    <w:rsid w:val="00AC3E48"/>
    <w:rsid w:val="00AC3FBD"/>
    <w:rsid w:val="00AC4315"/>
    <w:rsid w:val="00AC468A"/>
    <w:rsid w:val="00AC48F6"/>
    <w:rsid w:val="00AC4981"/>
    <w:rsid w:val="00AC4C7E"/>
    <w:rsid w:val="00AC4D4B"/>
    <w:rsid w:val="00AC4DC0"/>
    <w:rsid w:val="00AC4DDE"/>
    <w:rsid w:val="00AC4E5A"/>
    <w:rsid w:val="00AC50D5"/>
    <w:rsid w:val="00AC52A1"/>
    <w:rsid w:val="00AC53C6"/>
    <w:rsid w:val="00AC55FA"/>
    <w:rsid w:val="00AC5633"/>
    <w:rsid w:val="00AC56D9"/>
    <w:rsid w:val="00AC578B"/>
    <w:rsid w:val="00AC57CA"/>
    <w:rsid w:val="00AC5BFA"/>
    <w:rsid w:val="00AC5FB7"/>
    <w:rsid w:val="00AC60E6"/>
    <w:rsid w:val="00AC6142"/>
    <w:rsid w:val="00AC6147"/>
    <w:rsid w:val="00AC6302"/>
    <w:rsid w:val="00AC6313"/>
    <w:rsid w:val="00AC6529"/>
    <w:rsid w:val="00AC6604"/>
    <w:rsid w:val="00AC69D6"/>
    <w:rsid w:val="00AC6AB5"/>
    <w:rsid w:val="00AC6B77"/>
    <w:rsid w:val="00AC6C7C"/>
    <w:rsid w:val="00AC6E56"/>
    <w:rsid w:val="00AC6ECF"/>
    <w:rsid w:val="00AC70E0"/>
    <w:rsid w:val="00AC7172"/>
    <w:rsid w:val="00AC7276"/>
    <w:rsid w:val="00AC74A0"/>
    <w:rsid w:val="00AC7596"/>
    <w:rsid w:val="00AC78E8"/>
    <w:rsid w:val="00AC78F6"/>
    <w:rsid w:val="00AC7B3C"/>
    <w:rsid w:val="00AC7D58"/>
    <w:rsid w:val="00AC7DD9"/>
    <w:rsid w:val="00AC7FED"/>
    <w:rsid w:val="00AD0032"/>
    <w:rsid w:val="00AD003F"/>
    <w:rsid w:val="00AD007B"/>
    <w:rsid w:val="00AD01F5"/>
    <w:rsid w:val="00AD0234"/>
    <w:rsid w:val="00AD0271"/>
    <w:rsid w:val="00AD0344"/>
    <w:rsid w:val="00AD03C9"/>
    <w:rsid w:val="00AD0487"/>
    <w:rsid w:val="00AD053B"/>
    <w:rsid w:val="00AD05B5"/>
    <w:rsid w:val="00AD0601"/>
    <w:rsid w:val="00AD07A9"/>
    <w:rsid w:val="00AD0808"/>
    <w:rsid w:val="00AD08A3"/>
    <w:rsid w:val="00AD09B1"/>
    <w:rsid w:val="00AD0B11"/>
    <w:rsid w:val="00AD0DBD"/>
    <w:rsid w:val="00AD1209"/>
    <w:rsid w:val="00AD1256"/>
    <w:rsid w:val="00AD12CC"/>
    <w:rsid w:val="00AD140F"/>
    <w:rsid w:val="00AD143D"/>
    <w:rsid w:val="00AD180F"/>
    <w:rsid w:val="00AD1834"/>
    <w:rsid w:val="00AD1836"/>
    <w:rsid w:val="00AD187F"/>
    <w:rsid w:val="00AD18C1"/>
    <w:rsid w:val="00AD1A52"/>
    <w:rsid w:val="00AD1AE9"/>
    <w:rsid w:val="00AD1BDB"/>
    <w:rsid w:val="00AD1C3C"/>
    <w:rsid w:val="00AD1CAC"/>
    <w:rsid w:val="00AD1E2A"/>
    <w:rsid w:val="00AD1F42"/>
    <w:rsid w:val="00AD2059"/>
    <w:rsid w:val="00AD2147"/>
    <w:rsid w:val="00AD22E8"/>
    <w:rsid w:val="00AD2382"/>
    <w:rsid w:val="00AD24F2"/>
    <w:rsid w:val="00AD2617"/>
    <w:rsid w:val="00AD271D"/>
    <w:rsid w:val="00AD2760"/>
    <w:rsid w:val="00AD2771"/>
    <w:rsid w:val="00AD27AD"/>
    <w:rsid w:val="00AD28F6"/>
    <w:rsid w:val="00AD2911"/>
    <w:rsid w:val="00AD2A02"/>
    <w:rsid w:val="00AD2AE5"/>
    <w:rsid w:val="00AD2CC2"/>
    <w:rsid w:val="00AD2D38"/>
    <w:rsid w:val="00AD2DCE"/>
    <w:rsid w:val="00AD339D"/>
    <w:rsid w:val="00AD35DB"/>
    <w:rsid w:val="00AD398D"/>
    <w:rsid w:val="00AD39CF"/>
    <w:rsid w:val="00AD3A65"/>
    <w:rsid w:val="00AD3BAB"/>
    <w:rsid w:val="00AD3FF1"/>
    <w:rsid w:val="00AD447E"/>
    <w:rsid w:val="00AD45E5"/>
    <w:rsid w:val="00AD4691"/>
    <w:rsid w:val="00AD46EC"/>
    <w:rsid w:val="00AD476E"/>
    <w:rsid w:val="00AD4D53"/>
    <w:rsid w:val="00AD4F1B"/>
    <w:rsid w:val="00AD4F72"/>
    <w:rsid w:val="00AD4F93"/>
    <w:rsid w:val="00AD502B"/>
    <w:rsid w:val="00AD5079"/>
    <w:rsid w:val="00AD50D7"/>
    <w:rsid w:val="00AD5191"/>
    <w:rsid w:val="00AD51C0"/>
    <w:rsid w:val="00AD51CD"/>
    <w:rsid w:val="00AD539F"/>
    <w:rsid w:val="00AD53EC"/>
    <w:rsid w:val="00AD543C"/>
    <w:rsid w:val="00AD5473"/>
    <w:rsid w:val="00AD5779"/>
    <w:rsid w:val="00AD5A00"/>
    <w:rsid w:val="00AD5A9B"/>
    <w:rsid w:val="00AD5AE0"/>
    <w:rsid w:val="00AD5E14"/>
    <w:rsid w:val="00AD6186"/>
    <w:rsid w:val="00AD61AA"/>
    <w:rsid w:val="00AD61FA"/>
    <w:rsid w:val="00AD6373"/>
    <w:rsid w:val="00AD6452"/>
    <w:rsid w:val="00AD64A6"/>
    <w:rsid w:val="00AD64D1"/>
    <w:rsid w:val="00AD64E2"/>
    <w:rsid w:val="00AD6537"/>
    <w:rsid w:val="00AD6584"/>
    <w:rsid w:val="00AD6649"/>
    <w:rsid w:val="00AD671F"/>
    <w:rsid w:val="00AD677F"/>
    <w:rsid w:val="00AD6D41"/>
    <w:rsid w:val="00AD6E1D"/>
    <w:rsid w:val="00AD6E2A"/>
    <w:rsid w:val="00AD6F9F"/>
    <w:rsid w:val="00AD6FF1"/>
    <w:rsid w:val="00AD7026"/>
    <w:rsid w:val="00AD7315"/>
    <w:rsid w:val="00AD73E1"/>
    <w:rsid w:val="00AD7470"/>
    <w:rsid w:val="00AD74C6"/>
    <w:rsid w:val="00AD762D"/>
    <w:rsid w:val="00AD79E5"/>
    <w:rsid w:val="00AD7A92"/>
    <w:rsid w:val="00AD7B8D"/>
    <w:rsid w:val="00AD7D94"/>
    <w:rsid w:val="00AE00A3"/>
    <w:rsid w:val="00AE00E4"/>
    <w:rsid w:val="00AE0419"/>
    <w:rsid w:val="00AE0445"/>
    <w:rsid w:val="00AE057D"/>
    <w:rsid w:val="00AE05DC"/>
    <w:rsid w:val="00AE05F7"/>
    <w:rsid w:val="00AE0781"/>
    <w:rsid w:val="00AE08B0"/>
    <w:rsid w:val="00AE0A20"/>
    <w:rsid w:val="00AE0AD1"/>
    <w:rsid w:val="00AE0B48"/>
    <w:rsid w:val="00AE0CFD"/>
    <w:rsid w:val="00AE0F06"/>
    <w:rsid w:val="00AE1039"/>
    <w:rsid w:val="00AE1069"/>
    <w:rsid w:val="00AE145B"/>
    <w:rsid w:val="00AE148C"/>
    <w:rsid w:val="00AE1568"/>
    <w:rsid w:val="00AE1621"/>
    <w:rsid w:val="00AE1682"/>
    <w:rsid w:val="00AE1CCE"/>
    <w:rsid w:val="00AE1DB3"/>
    <w:rsid w:val="00AE1DDB"/>
    <w:rsid w:val="00AE1DDF"/>
    <w:rsid w:val="00AE1FEC"/>
    <w:rsid w:val="00AE212D"/>
    <w:rsid w:val="00AE218D"/>
    <w:rsid w:val="00AE21F8"/>
    <w:rsid w:val="00AE2285"/>
    <w:rsid w:val="00AE25D1"/>
    <w:rsid w:val="00AE275E"/>
    <w:rsid w:val="00AE2B2F"/>
    <w:rsid w:val="00AE2B57"/>
    <w:rsid w:val="00AE2BAB"/>
    <w:rsid w:val="00AE2BF4"/>
    <w:rsid w:val="00AE2C2E"/>
    <w:rsid w:val="00AE2DAD"/>
    <w:rsid w:val="00AE2DBA"/>
    <w:rsid w:val="00AE2E5F"/>
    <w:rsid w:val="00AE3026"/>
    <w:rsid w:val="00AE30DF"/>
    <w:rsid w:val="00AE319D"/>
    <w:rsid w:val="00AE321F"/>
    <w:rsid w:val="00AE326C"/>
    <w:rsid w:val="00AE33D5"/>
    <w:rsid w:val="00AE3A63"/>
    <w:rsid w:val="00AE3B33"/>
    <w:rsid w:val="00AE3C76"/>
    <w:rsid w:val="00AE3CAD"/>
    <w:rsid w:val="00AE3CF5"/>
    <w:rsid w:val="00AE3D94"/>
    <w:rsid w:val="00AE3F5C"/>
    <w:rsid w:val="00AE3FF5"/>
    <w:rsid w:val="00AE4268"/>
    <w:rsid w:val="00AE4282"/>
    <w:rsid w:val="00AE4393"/>
    <w:rsid w:val="00AE44F2"/>
    <w:rsid w:val="00AE4952"/>
    <w:rsid w:val="00AE4CA8"/>
    <w:rsid w:val="00AE4D8A"/>
    <w:rsid w:val="00AE4D99"/>
    <w:rsid w:val="00AE4DAC"/>
    <w:rsid w:val="00AE4EB4"/>
    <w:rsid w:val="00AE4F79"/>
    <w:rsid w:val="00AE5142"/>
    <w:rsid w:val="00AE525E"/>
    <w:rsid w:val="00AE5299"/>
    <w:rsid w:val="00AE5472"/>
    <w:rsid w:val="00AE5592"/>
    <w:rsid w:val="00AE55B1"/>
    <w:rsid w:val="00AE589D"/>
    <w:rsid w:val="00AE58E9"/>
    <w:rsid w:val="00AE5906"/>
    <w:rsid w:val="00AE5A48"/>
    <w:rsid w:val="00AE5DA5"/>
    <w:rsid w:val="00AE5DAA"/>
    <w:rsid w:val="00AE5E17"/>
    <w:rsid w:val="00AE5E73"/>
    <w:rsid w:val="00AE618C"/>
    <w:rsid w:val="00AE622D"/>
    <w:rsid w:val="00AE660F"/>
    <w:rsid w:val="00AE6986"/>
    <w:rsid w:val="00AE6BC2"/>
    <w:rsid w:val="00AE6BD5"/>
    <w:rsid w:val="00AE6C69"/>
    <w:rsid w:val="00AE6E1E"/>
    <w:rsid w:val="00AE6EDE"/>
    <w:rsid w:val="00AE76C3"/>
    <w:rsid w:val="00AE76CC"/>
    <w:rsid w:val="00AE7E10"/>
    <w:rsid w:val="00AE7E12"/>
    <w:rsid w:val="00AF011E"/>
    <w:rsid w:val="00AF01CB"/>
    <w:rsid w:val="00AF0303"/>
    <w:rsid w:val="00AF03B7"/>
    <w:rsid w:val="00AF07FC"/>
    <w:rsid w:val="00AF08FC"/>
    <w:rsid w:val="00AF11D0"/>
    <w:rsid w:val="00AF14B9"/>
    <w:rsid w:val="00AF1635"/>
    <w:rsid w:val="00AF1659"/>
    <w:rsid w:val="00AF16E5"/>
    <w:rsid w:val="00AF1826"/>
    <w:rsid w:val="00AF1A99"/>
    <w:rsid w:val="00AF1CA7"/>
    <w:rsid w:val="00AF1CCE"/>
    <w:rsid w:val="00AF1DDB"/>
    <w:rsid w:val="00AF1E91"/>
    <w:rsid w:val="00AF2417"/>
    <w:rsid w:val="00AF245B"/>
    <w:rsid w:val="00AF246D"/>
    <w:rsid w:val="00AF2627"/>
    <w:rsid w:val="00AF262C"/>
    <w:rsid w:val="00AF2AAD"/>
    <w:rsid w:val="00AF2B1B"/>
    <w:rsid w:val="00AF2C27"/>
    <w:rsid w:val="00AF2C3E"/>
    <w:rsid w:val="00AF2FBC"/>
    <w:rsid w:val="00AF310E"/>
    <w:rsid w:val="00AF31C1"/>
    <w:rsid w:val="00AF3292"/>
    <w:rsid w:val="00AF366D"/>
    <w:rsid w:val="00AF383D"/>
    <w:rsid w:val="00AF399B"/>
    <w:rsid w:val="00AF3A7F"/>
    <w:rsid w:val="00AF3B17"/>
    <w:rsid w:val="00AF3B5A"/>
    <w:rsid w:val="00AF3BB4"/>
    <w:rsid w:val="00AF3D70"/>
    <w:rsid w:val="00AF3E6C"/>
    <w:rsid w:val="00AF3F27"/>
    <w:rsid w:val="00AF3F43"/>
    <w:rsid w:val="00AF4090"/>
    <w:rsid w:val="00AF4159"/>
    <w:rsid w:val="00AF41AC"/>
    <w:rsid w:val="00AF41BF"/>
    <w:rsid w:val="00AF4369"/>
    <w:rsid w:val="00AF43D8"/>
    <w:rsid w:val="00AF44E3"/>
    <w:rsid w:val="00AF4503"/>
    <w:rsid w:val="00AF46FA"/>
    <w:rsid w:val="00AF4723"/>
    <w:rsid w:val="00AF4D64"/>
    <w:rsid w:val="00AF4F3A"/>
    <w:rsid w:val="00AF5000"/>
    <w:rsid w:val="00AF5180"/>
    <w:rsid w:val="00AF53A8"/>
    <w:rsid w:val="00AF5894"/>
    <w:rsid w:val="00AF59A6"/>
    <w:rsid w:val="00AF5A32"/>
    <w:rsid w:val="00AF5C31"/>
    <w:rsid w:val="00AF6211"/>
    <w:rsid w:val="00AF624E"/>
    <w:rsid w:val="00AF6595"/>
    <w:rsid w:val="00AF6598"/>
    <w:rsid w:val="00AF6669"/>
    <w:rsid w:val="00AF6696"/>
    <w:rsid w:val="00AF66FB"/>
    <w:rsid w:val="00AF689B"/>
    <w:rsid w:val="00AF6A53"/>
    <w:rsid w:val="00AF6BCF"/>
    <w:rsid w:val="00AF6CCD"/>
    <w:rsid w:val="00AF6F60"/>
    <w:rsid w:val="00AF6FC2"/>
    <w:rsid w:val="00AF6FC5"/>
    <w:rsid w:val="00AF70B6"/>
    <w:rsid w:val="00AF70F0"/>
    <w:rsid w:val="00AF73E3"/>
    <w:rsid w:val="00AF7529"/>
    <w:rsid w:val="00AF7698"/>
    <w:rsid w:val="00AF7A8F"/>
    <w:rsid w:val="00AF7C23"/>
    <w:rsid w:val="00AF7CE2"/>
    <w:rsid w:val="00AF7E3D"/>
    <w:rsid w:val="00AF7E5F"/>
    <w:rsid w:val="00AF7F11"/>
    <w:rsid w:val="00B001E9"/>
    <w:rsid w:val="00B0046C"/>
    <w:rsid w:val="00B006ED"/>
    <w:rsid w:val="00B00842"/>
    <w:rsid w:val="00B00962"/>
    <w:rsid w:val="00B00A2B"/>
    <w:rsid w:val="00B00BD1"/>
    <w:rsid w:val="00B00D96"/>
    <w:rsid w:val="00B01004"/>
    <w:rsid w:val="00B01105"/>
    <w:rsid w:val="00B01112"/>
    <w:rsid w:val="00B011F0"/>
    <w:rsid w:val="00B01262"/>
    <w:rsid w:val="00B014EC"/>
    <w:rsid w:val="00B01521"/>
    <w:rsid w:val="00B01790"/>
    <w:rsid w:val="00B01A22"/>
    <w:rsid w:val="00B01B9C"/>
    <w:rsid w:val="00B01BF4"/>
    <w:rsid w:val="00B01C6E"/>
    <w:rsid w:val="00B01D8C"/>
    <w:rsid w:val="00B01E77"/>
    <w:rsid w:val="00B023FB"/>
    <w:rsid w:val="00B024DB"/>
    <w:rsid w:val="00B0255C"/>
    <w:rsid w:val="00B027B9"/>
    <w:rsid w:val="00B027D1"/>
    <w:rsid w:val="00B02934"/>
    <w:rsid w:val="00B02AC0"/>
    <w:rsid w:val="00B02E89"/>
    <w:rsid w:val="00B02F3A"/>
    <w:rsid w:val="00B03007"/>
    <w:rsid w:val="00B0323B"/>
    <w:rsid w:val="00B032F4"/>
    <w:rsid w:val="00B0335C"/>
    <w:rsid w:val="00B03882"/>
    <w:rsid w:val="00B03912"/>
    <w:rsid w:val="00B03CF4"/>
    <w:rsid w:val="00B042A6"/>
    <w:rsid w:val="00B042B6"/>
    <w:rsid w:val="00B04308"/>
    <w:rsid w:val="00B0436E"/>
    <w:rsid w:val="00B04577"/>
    <w:rsid w:val="00B04582"/>
    <w:rsid w:val="00B048ED"/>
    <w:rsid w:val="00B04B13"/>
    <w:rsid w:val="00B04B70"/>
    <w:rsid w:val="00B04C60"/>
    <w:rsid w:val="00B04D6D"/>
    <w:rsid w:val="00B04DC7"/>
    <w:rsid w:val="00B04EC0"/>
    <w:rsid w:val="00B051DA"/>
    <w:rsid w:val="00B052F6"/>
    <w:rsid w:val="00B05481"/>
    <w:rsid w:val="00B054AF"/>
    <w:rsid w:val="00B05749"/>
    <w:rsid w:val="00B058C5"/>
    <w:rsid w:val="00B05AC4"/>
    <w:rsid w:val="00B05D67"/>
    <w:rsid w:val="00B05EC8"/>
    <w:rsid w:val="00B05EE9"/>
    <w:rsid w:val="00B06055"/>
    <w:rsid w:val="00B0611D"/>
    <w:rsid w:val="00B0647F"/>
    <w:rsid w:val="00B065AC"/>
    <w:rsid w:val="00B067DA"/>
    <w:rsid w:val="00B06AF3"/>
    <w:rsid w:val="00B06B0D"/>
    <w:rsid w:val="00B06BBB"/>
    <w:rsid w:val="00B06D09"/>
    <w:rsid w:val="00B06D1E"/>
    <w:rsid w:val="00B06E4B"/>
    <w:rsid w:val="00B06E9E"/>
    <w:rsid w:val="00B07022"/>
    <w:rsid w:val="00B07484"/>
    <w:rsid w:val="00B074A1"/>
    <w:rsid w:val="00B07594"/>
    <w:rsid w:val="00B07659"/>
    <w:rsid w:val="00B07771"/>
    <w:rsid w:val="00B0784D"/>
    <w:rsid w:val="00B07881"/>
    <w:rsid w:val="00B07E63"/>
    <w:rsid w:val="00B07F26"/>
    <w:rsid w:val="00B10190"/>
    <w:rsid w:val="00B103FA"/>
    <w:rsid w:val="00B104D6"/>
    <w:rsid w:val="00B106A6"/>
    <w:rsid w:val="00B10C55"/>
    <w:rsid w:val="00B10D62"/>
    <w:rsid w:val="00B10E31"/>
    <w:rsid w:val="00B10F4E"/>
    <w:rsid w:val="00B1111C"/>
    <w:rsid w:val="00B11153"/>
    <w:rsid w:val="00B1134A"/>
    <w:rsid w:val="00B113B8"/>
    <w:rsid w:val="00B113C4"/>
    <w:rsid w:val="00B114FC"/>
    <w:rsid w:val="00B11509"/>
    <w:rsid w:val="00B11539"/>
    <w:rsid w:val="00B117E7"/>
    <w:rsid w:val="00B118E3"/>
    <w:rsid w:val="00B11B2C"/>
    <w:rsid w:val="00B11C00"/>
    <w:rsid w:val="00B11C25"/>
    <w:rsid w:val="00B11D4E"/>
    <w:rsid w:val="00B11DBF"/>
    <w:rsid w:val="00B11F74"/>
    <w:rsid w:val="00B1227D"/>
    <w:rsid w:val="00B12324"/>
    <w:rsid w:val="00B123DD"/>
    <w:rsid w:val="00B12477"/>
    <w:rsid w:val="00B12544"/>
    <w:rsid w:val="00B126B0"/>
    <w:rsid w:val="00B12847"/>
    <w:rsid w:val="00B1296F"/>
    <w:rsid w:val="00B12999"/>
    <w:rsid w:val="00B12BFD"/>
    <w:rsid w:val="00B12D4D"/>
    <w:rsid w:val="00B12E48"/>
    <w:rsid w:val="00B12EC0"/>
    <w:rsid w:val="00B13239"/>
    <w:rsid w:val="00B13262"/>
    <w:rsid w:val="00B133AA"/>
    <w:rsid w:val="00B133E1"/>
    <w:rsid w:val="00B1362F"/>
    <w:rsid w:val="00B13773"/>
    <w:rsid w:val="00B1393F"/>
    <w:rsid w:val="00B13A41"/>
    <w:rsid w:val="00B13D16"/>
    <w:rsid w:val="00B13D69"/>
    <w:rsid w:val="00B13D84"/>
    <w:rsid w:val="00B13DC5"/>
    <w:rsid w:val="00B13E36"/>
    <w:rsid w:val="00B14177"/>
    <w:rsid w:val="00B1417D"/>
    <w:rsid w:val="00B142AB"/>
    <w:rsid w:val="00B14344"/>
    <w:rsid w:val="00B1465E"/>
    <w:rsid w:val="00B14A0D"/>
    <w:rsid w:val="00B14A43"/>
    <w:rsid w:val="00B14AA0"/>
    <w:rsid w:val="00B14C1C"/>
    <w:rsid w:val="00B14F93"/>
    <w:rsid w:val="00B1506F"/>
    <w:rsid w:val="00B15211"/>
    <w:rsid w:val="00B15352"/>
    <w:rsid w:val="00B15576"/>
    <w:rsid w:val="00B15702"/>
    <w:rsid w:val="00B15877"/>
    <w:rsid w:val="00B15BBE"/>
    <w:rsid w:val="00B15C4A"/>
    <w:rsid w:val="00B15D5A"/>
    <w:rsid w:val="00B15D92"/>
    <w:rsid w:val="00B15E10"/>
    <w:rsid w:val="00B160E4"/>
    <w:rsid w:val="00B16157"/>
    <w:rsid w:val="00B161AB"/>
    <w:rsid w:val="00B163C9"/>
    <w:rsid w:val="00B163D3"/>
    <w:rsid w:val="00B164E3"/>
    <w:rsid w:val="00B165EE"/>
    <w:rsid w:val="00B16616"/>
    <w:rsid w:val="00B16A98"/>
    <w:rsid w:val="00B16AE3"/>
    <w:rsid w:val="00B16F59"/>
    <w:rsid w:val="00B171F9"/>
    <w:rsid w:val="00B1728B"/>
    <w:rsid w:val="00B175A7"/>
    <w:rsid w:val="00B177C2"/>
    <w:rsid w:val="00B177C6"/>
    <w:rsid w:val="00B178C1"/>
    <w:rsid w:val="00B17A35"/>
    <w:rsid w:val="00B20495"/>
    <w:rsid w:val="00B20594"/>
    <w:rsid w:val="00B206B4"/>
    <w:rsid w:val="00B206CE"/>
    <w:rsid w:val="00B20778"/>
    <w:rsid w:val="00B2086A"/>
    <w:rsid w:val="00B20996"/>
    <w:rsid w:val="00B209A0"/>
    <w:rsid w:val="00B209F5"/>
    <w:rsid w:val="00B20C18"/>
    <w:rsid w:val="00B211C5"/>
    <w:rsid w:val="00B21837"/>
    <w:rsid w:val="00B21BF7"/>
    <w:rsid w:val="00B22035"/>
    <w:rsid w:val="00B22356"/>
    <w:rsid w:val="00B22466"/>
    <w:rsid w:val="00B22498"/>
    <w:rsid w:val="00B226EB"/>
    <w:rsid w:val="00B22AF1"/>
    <w:rsid w:val="00B22BB9"/>
    <w:rsid w:val="00B22C4D"/>
    <w:rsid w:val="00B22DFB"/>
    <w:rsid w:val="00B231B3"/>
    <w:rsid w:val="00B23251"/>
    <w:rsid w:val="00B23485"/>
    <w:rsid w:val="00B23582"/>
    <w:rsid w:val="00B23759"/>
    <w:rsid w:val="00B2394A"/>
    <w:rsid w:val="00B23BA9"/>
    <w:rsid w:val="00B23CA0"/>
    <w:rsid w:val="00B23D7F"/>
    <w:rsid w:val="00B23DF9"/>
    <w:rsid w:val="00B23EB0"/>
    <w:rsid w:val="00B24003"/>
    <w:rsid w:val="00B24058"/>
    <w:rsid w:val="00B24185"/>
    <w:rsid w:val="00B24386"/>
    <w:rsid w:val="00B2439C"/>
    <w:rsid w:val="00B2482D"/>
    <w:rsid w:val="00B24942"/>
    <w:rsid w:val="00B24B7D"/>
    <w:rsid w:val="00B24BD6"/>
    <w:rsid w:val="00B24DAD"/>
    <w:rsid w:val="00B24E57"/>
    <w:rsid w:val="00B24E5E"/>
    <w:rsid w:val="00B24E83"/>
    <w:rsid w:val="00B25356"/>
    <w:rsid w:val="00B25464"/>
    <w:rsid w:val="00B25635"/>
    <w:rsid w:val="00B25646"/>
    <w:rsid w:val="00B2567E"/>
    <w:rsid w:val="00B25869"/>
    <w:rsid w:val="00B259CC"/>
    <w:rsid w:val="00B25B92"/>
    <w:rsid w:val="00B25CE0"/>
    <w:rsid w:val="00B25D19"/>
    <w:rsid w:val="00B25D45"/>
    <w:rsid w:val="00B26007"/>
    <w:rsid w:val="00B26257"/>
    <w:rsid w:val="00B26425"/>
    <w:rsid w:val="00B26449"/>
    <w:rsid w:val="00B26478"/>
    <w:rsid w:val="00B26745"/>
    <w:rsid w:val="00B267B7"/>
    <w:rsid w:val="00B267D6"/>
    <w:rsid w:val="00B26807"/>
    <w:rsid w:val="00B26861"/>
    <w:rsid w:val="00B269E4"/>
    <w:rsid w:val="00B26ABB"/>
    <w:rsid w:val="00B26B53"/>
    <w:rsid w:val="00B26B69"/>
    <w:rsid w:val="00B26C6A"/>
    <w:rsid w:val="00B26D16"/>
    <w:rsid w:val="00B26E04"/>
    <w:rsid w:val="00B26FD8"/>
    <w:rsid w:val="00B271EA"/>
    <w:rsid w:val="00B2724F"/>
    <w:rsid w:val="00B27410"/>
    <w:rsid w:val="00B27444"/>
    <w:rsid w:val="00B27520"/>
    <w:rsid w:val="00B27529"/>
    <w:rsid w:val="00B27695"/>
    <w:rsid w:val="00B27982"/>
    <w:rsid w:val="00B27CA1"/>
    <w:rsid w:val="00B27D39"/>
    <w:rsid w:val="00B27EC9"/>
    <w:rsid w:val="00B27F01"/>
    <w:rsid w:val="00B301B4"/>
    <w:rsid w:val="00B3026C"/>
    <w:rsid w:val="00B30324"/>
    <w:rsid w:val="00B3060D"/>
    <w:rsid w:val="00B30692"/>
    <w:rsid w:val="00B30944"/>
    <w:rsid w:val="00B30CF3"/>
    <w:rsid w:val="00B30CF6"/>
    <w:rsid w:val="00B30D70"/>
    <w:rsid w:val="00B30EDA"/>
    <w:rsid w:val="00B30F4B"/>
    <w:rsid w:val="00B30F90"/>
    <w:rsid w:val="00B3117A"/>
    <w:rsid w:val="00B311B6"/>
    <w:rsid w:val="00B31229"/>
    <w:rsid w:val="00B3148B"/>
    <w:rsid w:val="00B3189C"/>
    <w:rsid w:val="00B31A63"/>
    <w:rsid w:val="00B31BDB"/>
    <w:rsid w:val="00B31CEE"/>
    <w:rsid w:val="00B31D04"/>
    <w:rsid w:val="00B31D11"/>
    <w:rsid w:val="00B322F6"/>
    <w:rsid w:val="00B32530"/>
    <w:rsid w:val="00B327D8"/>
    <w:rsid w:val="00B328A4"/>
    <w:rsid w:val="00B32AAF"/>
    <w:rsid w:val="00B32E65"/>
    <w:rsid w:val="00B32EB6"/>
    <w:rsid w:val="00B33165"/>
    <w:rsid w:val="00B33266"/>
    <w:rsid w:val="00B333D9"/>
    <w:rsid w:val="00B334A3"/>
    <w:rsid w:val="00B334A9"/>
    <w:rsid w:val="00B33506"/>
    <w:rsid w:val="00B335C0"/>
    <w:rsid w:val="00B335D5"/>
    <w:rsid w:val="00B336C7"/>
    <w:rsid w:val="00B338B3"/>
    <w:rsid w:val="00B33B0D"/>
    <w:rsid w:val="00B33EA2"/>
    <w:rsid w:val="00B33EBE"/>
    <w:rsid w:val="00B33EE5"/>
    <w:rsid w:val="00B33F09"/>
    <w:rsid w:val="00B3429E"/>
    <w:rsid w:val="00B342B6"/>
    <w:rsid w:val="00B3452D"/>
    <w:rsid w:val="00B3467C"/>
    <w:rsid w:val="00B34939"/>
    <w:rsid w:val="00B349EF"/>
    <w:rsid w:val="00B34C90"/>
    <w:rsid w:val="00B34E5B"/>
    <w:rsid w:val="00B35061"/>
    <w:rsid w:val="00B354ED"/>
    <w:rsid w:val="00B35514"/>
    <w:rsid w:val="00B358F1"/>
    <w:rsid w:val="00B35B1B"/>
    <w:rsid w:val="00B35EF3"/>
    <w:rsid w:val="00B35F57"/>
    <w:rsid w:val="00B35F64"/>
    <w:rsid w:val="00B35FD0"/>
    <w:rsid w:val="00B36010"/>
    <w:rsid w:val="00B36013"/>
    <w:rsid w:val="00B36052"/>
    <w:rsid w:val="00B3616A"/>
    <w:rsid w:val="00B361AE"/>
    <w:rsid w:val="00B362E0"/>
    <w:rsid w:val="00B363A7"/>
    <w:rsid w:val="00B363B6"/>
    <w:rsid w:val="00B363D2"/>
    <w:rsid w:val="00B36500"/>
    <w:rsid w:val="00B36600"/>
    <w:rsid w:val="00B366B3"/>
    <w:rsid w:val="00B366E4"/>
    <w:rsid w:val="00B36D95"/>
    <w:rsid w:val="00B36DCD"/>
    <w:rsid w:val="00B36FEC"/>
    <w:rsid w:val="00B37175"/>
    <w:rsid w:val="00B37390"/>
    <w:rsid w:val="00B3755D"/>
    <w:rsid w:val="00B37672"/>
    <w:rsid w:val="00B379C2"/>
    <w:rsid w:val="00B37B70"/>
    <w:rsid w:val="00B37B96"/>
    <w:rsid w:val="00B37C1B"/>
    <w:rsid w:val="00B37CF6"/>
    <w:rsid w:val="00B37F5D"/>
    <w:rsid w:val="00B37F70"/>
    <w:rsid w:val="00B37FA9"/>
    <w:rsid w:val="00B37FFB"/>
    <w:rsid w:val="00B40173"/>
    <w:rsid w:val="00B4026A"/>
    <w:rsid w:val="00B406B9"/>
    <w:rsid w:val="00B407FB"/>
    <w:rsid w:val="00B40894"/>
    <w:rsid w:val="00B40B60"/>
    <w:rsid w:val="00B41026"/>
    <w:rsid w:val="00B4108B"/>
    <w:rsid w:val="00B41366"/>
    <w:rsid w:val="00B41706"/>
    <w:rsid w:val="00B41D68"/>
    <w:rsid w:val="00B41D6E"/>
    <w:rsid w:val="00B41E66"/>
    <w:rsid w:val="00B41E71"/>
    <w:rsid w:val="00B42441"/>
    <w:rsid w:val="00B4262C"/>
    <w:rsid w:val="00B426DE"/>
    <w:rsid w:val="00B427C7"/>
    <w:rsid w:val="00B4291F"/>
    <w:rsid w:val="00B42B4E"/>
    <w:rsid w:val="00B42C9E"/>
    <w:rsid w:val="00B42CB5"/>
    <w:rsid w:val="00B42CDB"/>
    <w:rsid w:val="00B42D69"/>
    <w:rsid w:val="00B42DD2"/>
    <w:rsid w:val="00B4309E"/>
    <w:rsid w:val="00B43145"/>
    <w:rsid w:val="00B432F1"/>
    <w:rsid w:val="00B43529"/>
    <w:rsid w:val="00B436D5"/>
    <w:rsid w:val="00B4370D"/>
    <w:rsid w:val="00B437C6"/>
    <w:rsid w:val="00B437FD"/>
    <w:rsid w:val="00B43843"/>
    <w:rsid w:val="00B43A0A"/>
    <w:rsid w:val="00B43A7D"/>
    <w:rsid w:val="00B43AF1"/>
    <w:rsid w:val="00B43BF3"/>
    <w:rsid w:val="00B43D55"/>
    <w:rsid w:val="00B44028"/>
    <w:rsid w:val="00B442C3"/>
    <w:rsid w:val="00B442E2"/>
    <w:rsid w:val="00B44386"/>
    <w:rsid w:val="00B4451E"/>
    <w:rsid w:val="00B447C9"/>
    <w:rsid w:val="00B44811"/>
    <w:rsid w:val="00B44868"/>
    <w:rsid w:val="00B44B88"/>
    <w:rsid w:val="00B44E83"/>
    <w:rsid w:val="00B44FA6"/>
    <w:rsid w:val="00B4527C"/>
    <w:rsid w:val="00B45404"/>
    <w:rsid w:val="00B45465"/>
    <w:rsid w:val="00B45515"/>
    <w:rsid w:val="00B45523"/>
    <w:rsid w:val="00B455C5"/>
    <w:rsid w:val="00B4584B"/>
    <w:rsid w:val="00B45B3E"/>
    <w:rsid w:val="00B45BA5"/>
    <w:rsid w:val="00B45E0E"/>
    <w:rsid w:val="00B45F39"/>
    <w:rsid w:val="00B46294"/>
    <w:rsid w:val="00B463F9"/>
    <w:rsid w:val="00B46453"/>
    <w:rsid w:val="00B4658D"/>
    <w:rsid w:val="00B465D7"/>
    <w:rsid w:val="00B467AC"/>
    <w:rsid w:val="00B467F3"/>
    <w:rsid w:val="00B46824"/>
    <w:rsid w:val="00B4682B"/>
    <w:rsid w:val="00B468E2"/>
    <w:rsid w:val="00B468F9"/>
    <w:rsid w:val="00B46CA3"/>
    <w:rsid w:val="00B46F4D"/>
    <w:rsid w:val="00B47149"/>
    <w:rsid w:val="00B47388"/>
    <w:rsid w:val="00B47516"/>
    <w:rsid w:val="00B476A3"/>
    <w:rsid w:val="00B47825"/>
    <w:rsid w:val="00B47868"/>
    <w:rsid w:val="00B47AFC"/>
    <w:rsid w:val="00B47CA8"/>
    <w:rsid w:val="00B47E37"/>
    <w:rsid w:val="00B47EFA"/>
    <w:rsid w:val="00B501F4"/>
    <w:rsid w:val="00B505B4"/>
    <w:rsid w:val="00B50726"/>
    <w:rsid w:val="00B507FA"/>
    <w:rsid w:val="00B50878"/>
    <w:rsid w:val="00B50AD4"/>
    <w:rsid w:val="00B50D07"/>
    <w:rsid w:val="00B50F36"/>
    <w:rsid w:val="00B511B6"/>
    <w:rsid w:val="00B51868"/>
    <w:rsid w:val="00B51BBA"/>
    <w:rsid w:val="00B51CA5"/>
    <w:rsid w:val="00B5205D"/>
    <w:rsid w:val="00B5226A"/>
    <w:rsid w:val="00B52541"/>
    <w:rsid w:val="00B527DE"/>
    <w:rsid w:val="00B5288D"/>
    <w:rsid w:val="00B528F6"/>
    <w:rsid w:val="00B529F8"/>
    <w:rsid w:val="00B5316F"/>
    <w:rsid w:val="00B53267"/>
    <w:rsid w:val="00B53353"/>
    <w:rsid w:val="00B53530"/>
    <w:rsid w:val="00B5362A"/>
    <w:rsid w:val="00B5378B"/>
    <w:rsid w:val="00B53837"/>
    <w:rsid w:val="00B53846"/>
    <w:rsid w:val="00B53969"/>
    <w:rsid w:val="00B53A8E"/>
    <w:rsid w:val="00B53B4D"/>
    <w:rsid w:val="00B53C6A"/>
    <w:rsid w:val="00B53CFA"/>
    <w:rsid w:val="00B53EA6"/>
    <w:rsid w:val="00B5428B"/>
    <w:rsid w:val="00B547F9"/>
    <w:rsid w:val="00B548A4"/>
    <w:rsid w:val="00B54992"/>
    <w:rsid w:val="00B54B05"/>
    <w:rsid w:val="00B54B25"/>
    <w:rsid w:val="00B54CDE"/>
    <w:rsid w:val="00B54F0D"/>
    <w:rsid w:val="00B54F3F"/>
    <w:rsid w:val="00B54F9D"/>
    <w:rsid w:val="00B54FC9"/>
    <w:rsid w:val="00B54FF7"/>
    <w:rsid w:val="00B55079"/>
    <w:rsid w:val="00B5507C"/>
    <w:rsid w:val="00B5536E"/>
    <w:rsid w:val="00B55429"/>
    <w:rsid w:val="00B554CB"/>
    <w:rsid w:val="00B55506"/>
    <w:rsid w:val="00B5582C"/>
    <w:rsid w:val="00B558FF"/>
    <w:rsid w:val="00B55B3C"/>
    <w:rsid w:val="00B55D8C"/>
    <w:rsid w:val="00B55E64"/>
    <w:rsid w:val="00B55EA9"/>
    <w:rsid w:val="00B5602B"/>
    <w:rsid w:val="00B561ED"/>
    <w:rsid w:val="00B562A2"/>
    <w:rsid w:val="00B562D1"/>
    <w:rsid w:val="00B5633E"/>
    <w:rsid w:val="00B564E5"/>
    <w:rsid w:val="00B56595"/>
    <w:rsid w:val="00B567D4"/>
    <w:rsid w:val="00B568FE"/>
    <w:rsid w:val="00B569AC"/>
    <w:rsid w:val="00B569EF"/>
    <w:rsid w:val="00B56A70"/>
    <w:rsid w:val="00B56C43"/>
    <w:rsid w:val="00B56D66"/>
    <w:rsid w:val="00B56E48"/>
    <w:rsid w:val="00B56ED8"/>
    <w:rsid w:val="00B57360"/>
    <w:rsid w:val="00B578A1"/>
    <w:rsid w:val="00B579E6"/>
    <w:rsid w:val="00B579FF"/>
    <w:rsid w:val="00B57A74"/>
    <w:rsid w:val="00B57A90"/>
    <w:rsid w:val="00B57BA0"/>
    <w:rsid w:val="00B57C6E"/>
    <w:rsid w:val="00B57DED"/>
    <w:rsid w:val="00B57F31"/>
    <w:rsid w:val="00B6004B"/>
    <w:rsid w:val="00B602FB"/>
    <w:rsid w:val="00B6039E"/>
    <w:rsid w:val="00B603BF"/>
    <w:rsid w:val="00B6047D"/>
    <w:rsid w:val="00B604C8"/>
    <w:rsid w:val="00B605EE"/>
    <w:rsid w:val="00B60735"/>
    <w:rsid w:val="00B608A8"/>
    <w:rsid w:val="00B6093D"/>
    <w:rsid w:val="00B60EDA"/>
    <w:rsid w:val="00B61055"/>
    <w:rsid w:val="00B61404"/>
    <w:rsid w:val="00B61599"/>
    <w:rsid w:val="00B615D6"/>
    <w:rsid w:val="00B61627"/>
    <w:rsid w:val="00B617A1"/>
    <w:rsid w:val="00B618A4"/>
    <w:rsid w:val="00B61921"/>
    <w:rsid w:val="00B61DA6"/>
    <w:rsid w:val="00B61EF2"/>
    <w:rsid w:val="00B62249"/>
    <w:rsid w:val="00B623AA"/>
    <w:rsid w:val="00B627B1"/>
    <w:rsid w:val="00B62801"/>
    <w:rsid w:val="00B62975"/>
    <w:rsid w:val="00B629D9"/>
    <w:rsid w:val="00B630AD"/>
    <w:rsid w:val="00B6315F"/>
    <w:rsid w:val="00B63255"/>
    <w:rsid w:val="00B6327F"/>
    <w:rsid w:val="00B63461"/>
    <w:rsid w:val="00B6355A"/>
    <w:rsid w:val="00B63684"/>
    <w:rsid w:val="00B63741"/>
    <w:rsid w:val="00B63A17"/>
    <w:rsid w:val="00B63C10"/>
    <w:rsid w:val="00B63DEF"/>
    <w:rsid w:val="00B64000"/>
    <w:rsid w:val="00B641F7"/>
    <w:rsid w:val="00B645BE"/>
    <w:rsid w:val="00B64655"/>
    <w:rsid w:val="00B646D2"/>
    <w:rsid w:val="00B64902"/>
    <w:rsid w:val="00B64942"/>
    <w:rsid w:val="00B64AAC"/>
    <w:rsid w:val="00B64ADF"/>
    <w:rsid w:val="00B64B39"/>
    <w:rsid w:val="00B64C9C"/>
    <w:rsid w:val="00B64D01"/>
    <w:rsid w:val="00B64E22"/>
    <w:rsid w:val="00B64E9A"/>
    <w:rsid w:val="00B64F6A"/>
    <w:rsid w:val="00B64FFD"/>
    <w:rsid w:val="00B651D4"/>
    <w:rsid w:val="00B6521D"/>
    <w:rsid w:val="00B652DE"/>
    <w:rsid w:val="00B6549E"/>
    <w:rsid w:val="00B65508"/>
    <w:rsid w:val="00B65619"/>
    <w:rsid w:val="00B65806"/>
    <w:rsid w:val="00B65CEF"/>
    <w:rsid w:val="00B65D9C"/>
    <w:rsid w:val="00B65DFC"/>
    <w:rsid w:val="00B65F56"/>
    <w:rsid w:val="00B6638A"/>
    <w:rsid w:val="00B663BD"/>
    <w:rsid w:val="00B66517"/>
    <w:rsid w:val="00B665C9"/>
    <w:rsid w:val="00B6665D"/>
    <w:rsid w:val="00B66727"/>
    <w:rsid w:val="00B667E8"/>
    <w:rsid w:val="00B668D3"/>
    <w:rsid w:val="00B66C81"/>
    <w:rsid w:val="00B66CB2"/>
    <w:rsid w:val="00B66FD6"/>
    <w:rsid w:val="00B67184"/>
    <w:rsid w:val="00B671BF"/>
    <w:rsid w:val="00B6747C"/>
    <w:rsid w:val="00B6758A"/>
    <w:rsid w:val="00B6763A"/>
    <w:rsid w:val="00B6777E"/>
    <w:rsid w:val="00B678CD"/>
    <w:rsid w:val="00B67B3A"/>
    <w:rsid w:val="00B67B80"/>
    <w:rsid w:val="00B67BE6"/>
    <w:rsid w:val="00B67CE5"/>
    <w:rsid w:val="00B67D7A"/>
    <w:rsid w:val="00B67E50"/>
    <w:rsid w:val="00B702CD"/>
    <w:rsid w:val="00B703DC"/>
    <w:rsid w:val="00B704C9"/>
    <w:rsid w:val="00B70637"/>
    <w:rsid w:val="00B70712"/>
    <w:rsid w:val="00B70A74"/>
    <w:rsid w:val="00B70A97"/>
    <w:rsid w:val="00B70B27"/>
    <w:rsid w:val="00B70B5F"/>
    <w:rsid w:val="00B70C90"/>
    <w:rsid w:val="00B70C9D"/>
    <w:rsid w:val="00B70D73"/>
    <w:rsid w:val="00B70D91"/>
    <w:rsid w:val="00B70E28"/>
    <w:rsid w:val="00B70E58"/>
    <w:rsid w:val="00B70F61"/>
    <w:rsid w:val="00B70F6D"/>
    <w:rsid w:val="00B71014"/>
    <w:rsid w:val="00B710B0"/>
    <w:rsid w:val="00B711E5"/>
    <w:rsid w:val="00B711E6"/>
    <w:rsid w:val="00B7130E"/>
    <w:rsid w:val="00B713EF"/>
    <w:rsid w:val="00B71662"/>
    <w:rsid w:val="00B716C9"/>
    <w:rsid w:val="00B71824"/>
    <w:rsid w:val="00B718A3"/>
    <w:rsid w:val="00B719EF"/>
    <w:rsid w:val="00B71AB8"/>
    <w:rsid w:val="00B71AE3"/>
    <w:rsid w:val="00B71F03"/>
    <w:rsid w:val="00B7202F"/>
    <w:rsid w:val="00B72032"/>
    <w:rsid w:val="00B72075"/>
    <w:rsid w:val="00B720DE"/>
    <w:rsid w:val="00B722B3"/>
    <w:rsid w:val="00B726F6"/>
    <w:rsid w:val="00B72736"/>
    <w:rsid w:val="00B72745"/>
    <w:rsid w:val="00B7291C"/>
    <w:rsid w:val="00B72BD7"/>
    <w:rsid w:val="00B72BE9"/>
    <w:rsid w:val="00B72E5A"/>
    <w:rsid w:val="00B72EA0"/>
    <w:rsid w:val="00B7303E"/>
    <w:rsid w:val="00B73153"/>
    <w:rsid w:val="00B7328F"/>
    <w:rsid w:val="00B73447"/>
    <w:rsid w:val="00B735FA"/>
    <w:rsid w:val="00B73795"/>
    <w:rsid w:val="00B73A90"/>
    <w:rsid w:val="00B73AFA"/>
    <w:rsid w:val="00B73D0D"/>
    <w:rsid w:val="00B73FFC"/>
    <w:rsid w:val="00B741C3"/>
    <w:rsid w:val="00B7424C"/>
    <w:rsid w:val="00B742CC"/>
    <w:rsid w:val="00B743FA"/>
    <w:rsid w:val="00B744CE"/>
    <w:rsid w:val="00B745B3"/>
    <w:rsid w:val="00B7467B"/>
    <w:rsid w:val="00B746C7"/>
    <w:rsid w:val="00B74D24"/>
    <w:rsid w:val="00B74E3E"/>
    <w:rsid w:val="00B7513D"/>
    <w:rsid w:val="00B75213"/>
    <w:rsid w:val="00B75250"/>
    <w:rsid w:val="00B7525B"/>
    <w:rsid w:val="00B75316"/>
    <w:rsid w:val="00B75326"/>
    <w:rsid w:val="00B753A0"/>
    <w:rsid w:val="00B7566E"/>
    <w:rsid w:val="00B7567B"/>
    <w:rsid w:val="00B756DE"/>
    <w:rsid w:val="00B75819"/>
    <w:rsid w:val="00B759B5"/>
    <w:rsid w:val="00B75B33"/>
    <w:rsid w:val="00B75D6D"/>
    <w:rsid w:val="00B75F88"/>
    <w:rsid w:val="00B760B8"/>
    <w:rsid w:val="00B761ED"/>
    <w:rsid w:val="00B7635A"/>
    <w:rsid w:val="00B76912"/>
    <w:rsid w:val="00B76CC8"/>
    <w:rsid w:val="00B76E2E"/>
    <w:rsid w:val="00B76F34"/>
    <w:rsid w:val="00B77069"/>
    <w:rsid w:val="00B772AC"/>
    <w:rsid w:val="00B773A3"/>
    <w:rsid w:val="00B77409"/>
    <w:rsid w:val="00B7745A"/>
    <w:rsid w:val="00B774FE"/>
    <w:rsid w:val="00B7761D"/>
    <w:rsid w:val="00B77675"/>
    <w:rsid w:val="00B7767C"/>
    <w:rsid w:val="00B77945"/>
    <w:rsid w:val="00B77CCF"/>
    <w:rsid w:val="00B77E0F"/>
    <w:rsid w:val="00B77E2F"/>
    <w:rsid w:val="00B77E4D"/>
    <w:rsid w:val="00B8025D"/>
    <w:rsid w:val="00B80568"/>
    <w:rsid w:val="00B80578"/>
    <w:rsid w:val="00B80903"/>
    <w:rsid w:val="00B80A28"/>
    <w:rsid w:val="00B80AF6"/>
    <w:rsid w:val="00B80E41"/>
    <w:rsid w:val="00B80ED8"/>
    <w:rsid w:val="00B81069"/>
    <w:rsid w:val="00B8109A"/>
    <w:rsid w:val="00B81108"/>
    <w:rsid w:val="00B814C5"/>
    <w:rsid w:val="00B81667"/>
    <w:rsid w:val="00B8188B"/>
    <w:rsid w:val="00B8191C"/>
    <w:rsid w:val="00B81992"/>
    <w:rsid w:val="00B81A55"/>
    <w:rsid w:val="00B81B6F"/>
    <w:rsid w:val="00B81B81"/>
    <w:rsid w:val="00B81C1F"/>
    <w:rsid w:val="00B81D79"/>
    <w:rsid w:val="00B81D84"/>
    <w:rsid w:val="00B820B9"/>
    <w:rsid w:val="00B820DC"/>
    <w:rsid w:val="00B823DD"/>
    <w:rsid w:val="00B826E0"/>
    <w:rsid w:val="00B827FD"/>
    <w:rsid w:val="00B8285C"/>
    <w:rsid w:val="00B82898"/>
    <w:rsid w:val="00B828E9"/>
    <w:rsid w:val="00B8299B"/>
    <w:rsid w:val="00B82AB7"/>
    <w:rsid w:val="00B830CA"/>
    <w:rsid w:val="00B83250"/>
    <w:rsid w:val="00B8329F"/>
    <w:rsid w:val="00B8331E"/>
    <w:rsid w:val="00B83449"/>
    <w:rsid w:val="00B83496"/>
    <w:rsid w:val="00B83498"/>
    <w:rsid w:val="00B838C3"/>
    <w:rsid w:val="00B83930"/>
    <w:rsid w:val="00B839E2"/>
    <w:rsid w:val="00B83AB9"/>
    <w:rsid w:val="00B83CCE"/>
    <w:rsid w:val="00B83DAB"/>
    <w:rsid w:val="00B840B9"/>
    <w:rsid w:val="00B84176"/>
    <w:rsid w:val="00B842BB"/>
    <w:rsid w:val="00B842FD"/>
    <w:rsid w:val="00B8443A"/>
    <w:rsid w:val="00B84663"/>
    <w:rsid w:val="00B84854"/>
    <w:rsid w:val="00B849B3"/>
    <w:rsid w:val="00B84B8B"/>
    <w:rsid w:val="00B84BB4"/>
    <w:rsid w:val="00B8571D"/>
    <w:rsid w:val="00B85934"/>
    <w:rsid w:val="00B859D2"/>
    <w:rsid w:val="00B859F8"/>
    <w:rsid w:val="00B85C56"/>
    <w:rsid w:val="00B85EF7"/>
    <w:rsid w:val="00B86110"/>
    <w:rsid w:val="00B8651A"/>
    <w:rsid w:val="00B8654B"/>
    <w:rsid w:val="00B86654"/>
    <w:rsid w:val="00B86828"/>
    <w:rsid w:val="00B8690C"/>
    <w:rsid w:val="00B86CFB"/>
    <w:rsid w:val="00B86D97"/>
    <w:rsid w:val="00B86E59"/>
    <w:rsid w:val="00B8700A"/>
    <w:rsid w:val="00B8701C"/>
    <w:rsid w:val="00B87075"/>
    <w:rsid w:val="00B872C1"/>
    <w:rsid w:val="00B873DE"/>
    <w:rsid w:val="00B875F9"/>
    <w:rsid w:val="00B87872"/>
    <w:rsid w:val="00B8788F"/>
    <w:rsid w:val="00B87995"/>
    <w:rsid w:val="00B87C36"/>
    <w:rsid w:val="00B87CED"/>
    <w:rsid w:val="00B902DB"/>
    <w:rsid w:val="00B90523"/>
    <w:rsid w:val="00B9053F"/>
    <w:rsid w:val="00B906D5"/>
    <w:rsid w:val="00B907FA"/>
    <w:rsid w:val="00B90B90"/>
    <w:rsid w:val="00B90C2B"/>
    <w:rsid w:val="00B91043"/>
    <w:rsid w:val="00B910B1"/>
    <w:rsid w:val="00B910D5"/>
    <w:rsid w:val="00B9121C"/>
    <w:rsid w:val="00B91261"/>
    <w:rsid w:val="00B9146F"/>
    <w:rsid w:val="00B914F1"/>
    <w:rsid w:val="00B915A1"/>
    <w:rsid w:val="00B91639"/>
    <w:rsid w:val="00B9166B"/>
    <w:rsid w:val="00B916C4"/>
    <w:rsid w:val="00B91756"/>
    <w:rsid w:val="00B91794"/>
    <w:rsid w:val="00B91B82"/>
    <w:rsid w:val="00B91BE9"/>
    <w:rsid w:val="00B91C41"/>
    <w:rsid w:val="00B91D5F"/>
    <w:rsid w:val="00B91D6C"/>
    <w:rsid w:val="00B91E23"/>
    <w:rsid w:val="00B91F1F"/>
    <w:rsid w:val="00B91FF5"/>
    <w:rsid w:val="00B925C2"/>
    <w:rsid w:val="00B9262D"/>
    <w:rsid w:val="00B926AF"/>
    <w:rsid w:val="00B928BD"/>
    <w:rsid w:val="00B9291F"/>
    <w:rsid w:val="00B92921"/>
    <w:rsid w:val="00B92AF9"/>
    <w:rsid w:val="00B92DC8"/>
    <w:rsid w:val="00B92E6B"/>
    <w:rsid w:val="00B92F19"/>
    <w:rsid w:val="00B93354"/>
    <w:rsid w:val="00B93465"/>
    <w:rsid w:val="00B93625"/>
    <w:rsid w:val="00B93664"/>
    <w:rsid w:val="00B9379E"/>
    <w:rsid w:val="00B937EE"/>
    <w:rsid w:val="00B93901"/>
    <w:rsid w:val="00B9393B"/>
    <w:rsid w:val="00B9395E"/>
    <w:rsid w:val="00B93B49"/>
    <w:rsid w:val="00B93E79"/>
    <w:rsid w:val="00B94062"/>
    <w:rsid w:val="00B940FD"/>
    <w:rsid w:val="00B9423B"/>
    <w:rsid w:val="00B942D9"/>
    <w:rsid w:val="00B94323"/>
    <w:rsid w:val="00B94402"/>
    <w:rsid w:val="00B94709"/>
    <w:rsid w:val="00B94A51"/>
    <w:rsid w:val="00B94F35"/>
    <w:rsid w:val="00B950F4"/>
    <w:rsid w:val="00B950FD"/>
    <w:rsid w:val="00B9521D"/>
    <w:rsid w:val="00B952C5"/>
    <w:rsid w:val="00B9538B"/>
    <w:rsid w:val="00B95477"/>
    <w:rsid w:val="00B95669"/>
    <w:rsid w:val="00B956E0"/>
    <w:rsid w:val="00B95850"/>
    <w:rsid w:val="00B95903"/>
    <w:rsid w:val="00B9596B"/>
    <w:rsid w:val="00B95A0B"/>
    <w:rsid w:val="00B95A0F"/>
    <w:rsid w:val="00B95C6E"/>
    <w:rsid w:val="00B962CF"/>
    <w:rsid w:val="00B96458"/>
    <w:rsid w:val="00B965A6"/>
    <w:rsid w:val="00B965B3"/>
    <w:rsid w:val="00B9668A"/>
    <w:rsid w:val="00B968CF"/>
    <w:rsid w:val="00B9692D"/>
    <w:rsid w:val="00B96A0D"/>
    <w:rsid w:val="00B96A8F"/>
    <w:rsid w:val="00B96AD8"/>
    <w:rsid w:val="00B96D1C"/>
    <w:rsid w:val="00B96D7A"/>
    <w:rsid w:val="00B96EF8"/>
    <w:rsid w:val="00B96FE9"/>
    <w:rsid w:val="00B971EE"/>
    <w:rsid w:val="00B9730B"/>
    <w:rsid w:val="00B97434"/>
    <w:rsid w:val="00B97693"/>
    <w:rsid w:val="00B97753"/>
    <w:rsid w:val="00B979FA"/>
    <w:rsid w:val="00B97D86"/>
    <w:rsid w:val="00B97DDD"/>
    <w:rsid w:val="00B97E8B"/>
    <w:rsid w:val="00BA049C"/>
    <w:rsid w:val="00BA05E2"/>
    <w:rsid w:val="00BA075D"/>
    <w:rsid w:val="00BA094D"/>
    <w:rsid w:val="00BA09B6"/>
    <w:rsid w:val="00BA10EB"/>
    <w:rsid w:val="00BA11CD"/>
    <w:rsid w:val="00BA136A"/>
    <w:rsid w:val="00BA13C8"/>
    <w:rsid w:val="00BA1413"/>
    <w:rsid w:val="00BA1440"/>
    <w:rsid w:val="00BA1512"/>
    <w:rsid w:val="00BA1868"/>
    <w:rsid w:val="00BA19BC"/>
    <w:rsid w:val="00BA1A16"/>
    <w:rsid w:val="00BA1D13"/>
    <w:rsid w:val="00BA1EAB"/>
    <w:rsid w:val="00BA1ECA"/>
    <w:rsid w:val="00BA1ECC"/>
    <w:rsid w:val="00BA208E"/>
    <w:rsid w:val="00BA20F1"/>
    <w:rsid w:val="00BA224B"/>
    <w:rsid w:val="00BA2319"/>
    <w:rsid w:val="00BA2347"/>
    <w:rsid w:val="00BA23E6"/>
    <w:rsid w:val="00BA23ED"/>
    <w:rsid w:val="00BA2411"/>
    <w:rsid w:val="00BA2518"/>
    <w:rsid w:val="00BA259F"/>
    <w:rsid w:val="00BA25A6"/>
    <w:rsid w:val="00BA2713"/>
    <w:rsid w:val="00BA28F2"/>
    <w:rsid w:val="00BA2A04"/>
    <w:rsid w:val="00BA2B76"/>
    <w:rsid w:val="00BA2C05"/>
    <w:rsid w:val="00BA2D95"/>
    <w:rsid w:val="00BA2DD7"/>
    <w:rsid w:val="00BA2DD9"/>
    <w:rsid w:val="00BA32BB"/>
    <w:rsid w:val="00BA361E"/>
    <w:rsid w:val="00BA3725"/>
    <w:rsid w:val="00BA376F"/>
    <w:rsid w:val="00BA3A28"/>
    <w:rsid w:val="00BA3B5F"/>
    <w:rsid w:val="00BA3BAA"/>
    <w:rsid w:val="00BA3BB7"/>
    <w:rsid w:val="00BA3C50"/>
    <w:rsid w:val="00BA3E58"/>
    <w:rsid w:val="00BA40A8"/>
    <w:rsid w:val="00BA41AE"/>
    <w:rsid w:val="00BA4431"/>
    <w:rsid w:val="00BA46D3"/>
    <w:rsid w:val="00BA4701"/>
    <w:rsid w:val="00BA4765"/>
    <w:rsid w:val="00BA4A0D"/>
    <w:rsid w:val="00BA4A15"/>
    <w:rsid w:val="00BA4A16"/>
    <w:rsid w:val="00BA4C8D"/>
    <w:rsid w:val="00BA4E10"/>
    <w:rsid w:val="00BA4ED5"/>
    <w:rsid w:val="00BA4EE4"/>
    <w:rsid w:val="00BA51A1"/>
    <w:rsid w:val="00BA5257"/>
    <w:rsid w:val="00BA5284"/>
    <w:rsid w:val="00BA5305"/>
    <w:rsid w:val="00BA53CF"/>
    <w:rsid w:val="00BA5470"/>
    <w:rsid w:val="00BA5983"/>
    <w:rsid w:val="00BA5B39"/>
    <w:rsid w:val="00BA5BC9"/>
    <w:rsid w:val="00BA5E4B"/>
    <w:rsid w:val="00BA5EBB"/>
    <w:rsid w:val="00BA64C3"/>
    <w:rsid w:val="00BA661C"/>
    <w:rsid w:val="00BA66AC"/>
    <w:rsid w:val="00BA6AC9"/>
    <w:rsid w:val="00BA6BEE"/>
    <w:rsid w:val="00BA6DAF"/>
    <w:rsid w:val="00BA6E0D"/>
    <w:rsid w:val="00BA6E28"/>
    <w:rsid w:val="00BA72CE"/>
    <w:rsid w:val="00BA761B"/>
    <w:rsid w:val="00BA7710"/>
    <w:rsid w:val="00BA78B0"/>
    <w:rsid w:val="00BA7A31"/>
    <w:rsid w:val="00BA7E3D"/>
    <w:rsid w:val="00BA7E68"/>
    <w:rsid w:val="00BA7E90"/>
    <w:rsid w:val="00BA7FAA"/>
    <w:rsid w:val="00BB0020"/>
    <w:rsid w:val="00BB00E4"/>
    <w:rsid w:val="00BB023F"/>
    <w:rsid w:val="00BB032D"/>
    <w:rsid w:val="00BB067D"/>
    <w:rsid w:val="00BB069E"/>
    <w:rsid w:val="00BB07A1"/>
    <w:rsid w:val="00BB098C"/>
    <w:rsid w:val="00BB09EF"/>
    <w:rsid w:val="00BB0B46"/>
    <w:rsid w:val="00BB0DB0"/>
    <w:rsid w:val="00BB0DEE"/>
    <w:rsid w:val="00BB0E3D"/>
    <w:rsid w:val="00BB0FC3"/>
    <w:rsid w:val="00BB1023"/>
    <w:rsid w:val="00BB1104"/>
    <w:rsid w:val="00BB13A7"/>
    <w:rsid w:val="00BB164C"/>
    <w:rsid w:val="00BB179C"/>
    <w:rsid w:val="00BB17CD"/>
    <w:rsid w:val="00BB17F1"/>
    <w:rsid w:val="00BB18A9"/>
    <w:rsid w:val="00BB18B0"/>
    <w:rsid w:val="00BB18D7"/>
    <w:rsid w:val="00BB190C"/>
    <w:rsid w:val="00BB1926"/>
    <w:rsid w:val="00BB1A97"/>
    <w:rsid w:val="00BB1C20"/>
    <w:rsid w:val="00BB205D"/>
    <w:rsid w:val="00BB22E6"/>
    <w:rsid w:val="00BB25C3"/>
    <w:rsid w:val="00BB272B"/>
    <w:rsid w:val="00BB2781"/>
    <w:rsid w:val="00BB2A3B"/>
    <w:rsid w:val="00BB2E30"/>
    <w:rsid w:val="00BB31A0"/>
    <w:rsid w:val="00BB32B6"/>
    <w:rsid w:val="00BB34E8"/>
    <w:rsid w:val="00BB3597"/>
    <w:rsid w:val="00BB367D"/>
    <w:rsid w:val="00BB3D26"/>
    <w:rsid w:val="00BB3D55"/>
    <w:rsid w:val="00BB3D94"/>
    <w:rsid w:val="00BB4054"/>
    <w:rsid w:val="00BB40A2"/>
    <w:rsid w:val="00BB44B7"/>
    <w:rsid w:val="00BB45E5"/>
    <w:rsid w:val="00BB46B6"/>
    <w:rsid w:val="00BB481B"/>
    <w:rsid w:val="00BB487D"/>
    <w:rsid w:val="00BB4D62"/>
    <w:rsid w:val="00BB501E"/>
    <w:rsid w:val="00BB51EE"/>
    <w:rsid w:val="00BB5281"/>
    <w:rsid w:val="00BB52E1"/>
    <w:rsid w:val="00BB53DA"/>
    <w:rsid w:val="00BB567E"/>
    <w:rsid w:val="00BB57C0"/>
    <w:rsid w:val="00BB5A6B"/>
    <w:rsid w:val="00BB5DF7"/>
    <w:rsid w:val="00BB5EE5"/>
    <w:rsid w:val="00BB61EA"/>
    <w:rsid w:val="00BB675B"/>
    <w:rsid w:val="00BB6AE6"/>
    <w:rsid w:val="00BB6C66"/>
    <w:rsid w:val="00BB6CB8"/>
    <w:rsid w:val="00BB71EF"/>
    <w:rsid w:val="00BB727C"/>
    <w:rsid w:val="00BB72E7"/>
    <w:rsid w:val="00BB74E1"/>
    <w:rsid w:val="00BB785F"/>
    <w:rsid w:val="00BB7895"/>
    <w:rsid w:val="00BB7A4E"/>
    <w:rsid w:val="00BB7ADA"/>
    <w:rsid w:val="00BB7B21"/>
    <w:rsid w:val="00BB7B27"/>
    <w:rsid w:val="00BB7EB1"/>
    <w:rsid w:val="00BC00D0"/>
    <w:rsid w:val="00BC016D"/>
    <w:rsid w:val="00BC0261"/>
    <w:rsid w:val="00BC0281"/>
    <w:rsid w:val="00BC02A8"/>
    <w:rsid w:val="00BC0370"/>
    <w:rsid w:val="00BC0559"/>
    <w:rsid w:val="00BC085A"/>
    <w:rsid w:val="00BC0935"/>
    <w:rsid w:val="00BC0AB1"/>
    <w:rsid w:val="00BC0C8F"/>
    <w:rsid w:val="00BC0CCC"/>
    <w:rsid w:val="00BC0E3A"/>
    <w:rsid w:val="00BC0FB8"/>
    <w:rsid w:val="00BC102C"/>
    <w:rsid w:val="00BC10DB"/>
    <w:rsid w:val="00BC120A"/>
    <w:rsid w:val="00BC126D"/>
    <w:rsid w:val="00BC12D3"/>
    <w:rsid w:val="00BC1575"/>
    <w:rsid w:val="00BC15E4"/>
    <w:rsid w:val="00BC15F2"/>
    <w:rsid w:val="00BC19C7"/>
    <w:rsid w:val="00BC1E84"/>
    <w:rsid w:val="00BC1F1E"/>
    <w:rsid w:val="00BC21FC"/>
    <w:rsid w:val="00BC2348"/>
    <w:rsid w:val="00BC2903"/>
    <w:rsid w:val="00BC2958"/>
    <w:rsid w:val="00BC2CA2"/>
    <w:rsid w:val="00BC2D20"/>
    <w:rsid w:val="00BC2F05"/>
    <w:rsid w:val="00BC2FEE"/>
    <w:rsid w:val="00BC3115"/>
    <w:rsid w:val="00BC3171"/>
    <w:rsid w:val="00BC34DF"/>
    <w:rsid w:val="00BC3529"/>
    <w:rsid w:val="00BC3574"/>
    <w:rsid w:val="00BC3930"/>
    <w:rsid w:val="00BC3AA9"/>
    <w:rsid w:val="00BC3B20"/>
    <w:rsid w:val="00BC3B9F"/>
    <w:rsid w:val="00BC3CAC"/>
    <w:rsid w:val="00BC3E36"/>
    <w:rsid w:val="00BC400A"/>
    <w:rsid w:val="00BC4084"/>
    <w:rsid w:val="00BC4116"/>
    <w:rsid w:val="00BC42D7"/>
    <w:rsid w:val="00BC46AF"/>
    <w:rsid w:val="00BC47DE"/>
    <w:rsid w:val="00BC4803"/>
    <w:rsid w:val="00BC490A"/>
    <w:rsid w:val="00BC4AFE"/>
    <w:rsid w:val="00BC4DFE"/>
    <w:rsid w:val="00BC5099"/>
    <w:rsid w:val="00BC51A1"/>
    <w:rsid w:val="00BC51BF"/>
    <w:rsid w:val="00BC5214"/>
    <w:rsid w:val="00BC5424"/>
    <w:rsid w:val="00BC5514"/>
    <w:rsid w:val="00BC5660"/>
    <w:rsid w:val="00BC5694"/>
    <w:rsid w:val="00BC577E"/>
    <w:rsid w:val="00BC5926"/>
    <w:rsid w:val="00BC5AEC"/>
    <w:rsid w:val="00BC5BA2"/>
    <w:rsid w:val="00BC5D3F"/>
    <w:rsid w:val="00BC5DFC"/>
    <w:rsid w:val="00BC627D"/>
    <w:rsid w:val="00BC648D"/>
    <w:rsid w:val="00BC6501"/>
    <w:rsid w:val="00BC65D0"/>
    <w:rsid w:val="00BC662C"/>
    <w:rsid w:val="00BC6943"/>
    <w:rsid w:val="00BC69C5"/>
    <w:rsid w:val="00BC6D7A"/>
    <w:rsid w:val="00BC6E78"/>
    <w:rsid w:val="00BC7060"/>
    <w:rsid w:val="00BC708E"/>
    <w:rsid w:val="00BC70F3"/>
    <w:rsid w:val="00BC7187"/>
    <w:rsid w:val="00BC71DA"/>
    <w:rsid w:val="00BC782D"/>
    <w:rsid w:val="00BC7AEC"/>
    <w:rsid w:val="00BC7C89"/>
    <w:rsid w:val="00BC7ECF"/>
    <w:rsid w:val="00BD0152"/>
    <w:rsid w:val="00BD038D"/>
    <w:rsid w:val="00BD04E7"/>
    <w:rsid w:val="00BD0530"/>
    <w:rsid w:val="00BD058E"/>
    <w:rsid w:val="00BD06C5"/>
    <w:rsid w:val="00BD0A44"/>
    <w:rsid w:val="00BD0A7D"/>
    <w:rsid w:val="00BD0C4A"/>
    <w:rsid w:val="00BD0CBB"/>
    <w:rsid w:val="00BD0DFE"/>
    <w:rsid w:val="00BD0E63"/>
    <w:rsid w:val="00BD0FE3"/>
    <w:rsid w:val="00BD10F4"/>
    <w:rsid w:val="00BD138D"/>
    <w:rsid w:val="00BD14AB"/>
    <w:rsid w:val="00BD14C7"/>
    <w:rsid w:val="00BD14DA"/>
    <w:rsid w:val="00BD1559"/>
    <w:rsid w:val="00BD1773"/>
    <w:rsid w:val="00BD17D2"/>
    <w:rsid w:val="00BD1AA3"/>
    <w:rsid w:val="00BD23D0"/>
    <w:rsid w:val="00BD24BB"/>
    <w:rsid w:val="00BD254B"/>
    <w:rsid w:val="00BD259A"/>
    <w:rsid w:val="00BD26C2"/>
    <w:rsid w:val="00BD2853"/>
    <w:rsid w:val="00BD291B"/>
    <w:rsid w:val="00BD2962"/>
    <w:rsid w:val="00BD2AA1"/>
    <w:rsid w:val="00BD2B83"/>
    <w:rsid w:val="00BD2CB8"/>
    <w:rsid w:val="00BD2EB0"/>
    <w:rsid w:val="00BD3085"/>
    <w:rsid w:val="00BD30A6"/>
    <w:rsid w:val="00BD30BD"/>
    <w:rsid w:val="00BD3135"/>
    <w:rsid w:val="00BD3205"/>
    <w:rsid w:val="00BD3265"/>
    <w:rsid w:val="00BD3340"/>
    <w:rsid w:val="00BD339E"/>
    <w:rsid w:val="00BD33A6"/>
    <w:rsid w:val="00BD35E0"/>
    <w:rsid w:val="00BD362E"/>
    <w:rsid w:val="00BD368E"/>
    <w:rsid w:val="00BD36E8"/>
    <w:rsid w:val="00BD375E"/>
    <w:rsid w:val="00BD39D4"/>
    <w:rsid w:val="00BD3B71"/>
    <w:rsid w:val="00BD3FCE"/>
    <w:rsid w:val="00BD4009"/>
    <w:rsid w:val="00BD40E7"/>
    <w:rsid w:val="00BD4300"/>
    <w:rsid w:val="00BD430E"/>
    <w:rsid w:val="00BD433A"/>
    <w:rsid w:val="00BD437D"/>
    <w:rsid w:val="00BD43E4"/>
    <w:rsid w:val="00BD452B"/>
    <w:rsid w:val="00BD4697"/>
    <w:rsid w:val="00BD47C7"/>
    <w:rsid w:val="00BD483D"/>
    <w:rsid w:val="00BD4879"/>
    <w:rsid w:val="00BD49BB"/>
    <w:rsid w:val="00BD4AD3"/>
    <w:rsid w:val="00BD4B21"/>
    <w:rsid w:val="00BD4B96"/>
    <w:rsid w:val="00BD4E22"/>
    <w:rsid w:val="00BD4E7A"/>
    <w:rsid w:val="00BD4EC9"/>
    <w:rsid w:val="00BD5236"/>
    <w:rsid w:val="00BD526F"/>
    <w:rsid w:val="00BD53D8"/>
    <w:rsid w:val="00BD53E5"/>
    <w:rsid w:val="00BD556D"/>
    <w:rsid w:val="00BD5614"/>
    <w:rsid w:val="00BD5628"/>
    <w:rsid w:val="00BD574E"/>
    <w:rsid w:val="00BD5976"/>
    <w:rsid w:val="00BD59F3"/>
    <w:rsid w:val="00BD5A5B"/>
    <w:rsid w:val="00BD5B31"/>
    <w:rsid w:val="00BD5BB3"/>
    <w:rsid w:val="00BD5FAB"/>
    <w:rsid w:val="00BD602B"/>
    <w:rsid w:val="00BD60C2"/>
    <w:rsid w:val="00BD60F8"/>
    <w:rsid w:val="00BD62FB"/>
    <w:rsid w:val="00BD6473"/>
    <w:rsid w:val="00BD64F6"/>
    <w:rsid w:val="00BD696A"/>
    <w:rsid w:val="00BD6A5A"/>
    <w:rsid w:val="00BD6B47"/>
    <w:rsid w:val="00BD6BB5"/>
    <w:rsid w:val="00BD6FCE"/>
    <w:rsid w:val="00BD70D0"/>
    <w:rsid w:val="00BD7172"/>
    <w:rsid w:val="00BD720A"/>
    <w:rsid w:val="00BD7281"/>
    <w:rsid w:val="00BD72D7"/>
    <w:rsid w:val="00BD7428"/>
    <w:rsid w:val="00BD758F"/>
    <w:rsid w:val="00BD76A9"/>
    <w:rsid w:val="00BD778C"/>
    <w:rsid w:val="00BD7964"/>
    <w:rsid w:val="00BD7A81"/>
    <w:rsid w:val="00BD7BFE"/>
    <w:rsid w:val="00BD7DBB"/>
    <w:rsid w:val="00BD7E05"/>
    <w:rsid w:val="00BD7F2A"/>
    <w:rsid w:val="00BD7FB9"/>
    <w:rsid w:val="00BE01C4"/>
    <w:rsid w:val="00BE04BE"/>
    <w:rsid w:val="00BE0688"/>
    <w:rsid w:val="00BE0738"/>
    <w:rsid w:val="00BE077E"/>
    <w:rsid w:val="00BE0A4B"/>
    <w:rsid w:val="00BE0BD6"/>
    <w:rsid w:val="00BE0CAB"/>
    <w:rsid w:val="00BE11CD"/>
    <w:rsid w:val="00BE12D3"/>
    <w:rsid w:val="00BE140C"/>
    <w:rsid w:val="00BE14FB"/>
    <w:rsid w:val="00BE1579"/>
    <w:rsid w:val="00BE163E"/>
    <w:rsid w:val="00BE17B9"/>
    <w:rsid w:val="00BE19FD"/>
    <w:rsid w:val="00BE1BCB"/>
    <w:rsid w:val="00BE1CAD"/>
    <w:rsid w:val="00BE1E6E"/>
    <w:rsid w:val="00BE1F3C"/>
    <w:rsid w:val="00BE1FFC"/>
    <w:rsid w:val="00BE23D6"/>
    <w:rsid w:val="00BE248B"/>
    <w:rsid w:val="00BE2699"/>
    <w:rsid w:val="00BE274B"/>
    <w:rsid w:val="00BE2B29"/>
    <w:rsid w:val="00BE2B36"/>
    <w:rsid w:val="00BE3039"/>
    <w:rsid w:val="00BE3099"/>
    <w:rsid w:val="00BE31F8"/>
    <w:rsid w:val="00BE32E5"/>
    <w:rsid w:val="00BE33D0"/>
    <w:rsid w:val="00BE34A6"/>
    <w:rsid w:val="00BE34D0"/>
    <w:rsid w:val="00BE3909"/>
    <w:rsid w:val="00BE39F2"/>
    <w:rsid w:val="00BE3B4C"/>
    <w:rsid w:val="00BE3D95"/>
    <w:rsid w:val="00BE3DA3"/>
    <w:rsid w:val="00BE3DCD"/>
    <w:rsid w:val="00BE3EBB"/>
    <w:rsid w:val="00BE3FB1"/>
    <w:rsid w:val="00BE40A3"/>
    <w:rsid w:val="00BE40C6"/>
    <w:rsid w:val="00BE42CA"/>
    <w:rsid w:val="00BE440A"/>
    <w:rsid w:val="00BE4510"/>
    <w:rsid w:val="00BE4879"/>
    <w:rsid w:val="00BE4B78"/>
    <w:rsid w:val="00BE4BAF"/>
    <w:rsid w:val="00BE4BC9"/>
    <w:rsid w:val="00BE4CD5"/>
    <w:rsid w:val="00BE4D02"/>
    <w:rsid w:val="00BE4D59"/>
    <w:rsid w:val="00BE50FB"/>
    <w:rsid w:val="00BE5235"/>
    <w:rsid w:val="00BE551E"/>
    <w:rsid w:val="00BE57B0"/>
    <w:rsid w:val="00BE5A7C"/>
    <w:rsid w:val="00BE5ADD"/>
    <w:rsid w:val="00BE5B7F"/>
    <w:rsid w:val="00BE5BA4"/>
    <w:rsid w:val="00BE5DD0"/>
    <w:rsid w:val="00BE5E91"/>
    <w:rsid w:val="00BE5FD2"/>
    <w:rsid w:val="00BE60BD"/>
    <w:rsid w:val="00BE6664"/>
    <w:rsid w:val="00BE6716"/>
    <w:rsid w:val="00BE6818"/>
    <w:rsid w:val="00BE69A1"/>
    <w:rsid w:val="00BE6CD5"/>
    <w:rsid w:val="00BE6D50"/>
    <w:rsid w:val="00BE7011"/>
    <w:rsid w:val="00BE70F2"/>
    <w:rsid w:val="00BE71FF"/>
    <w:rsid w:val="00BE726B"/>
    <w:rsid w:val="00BE7493"/>
    <w:rsid w:val="00BE74CD"/>
    <w:rsid w:val="00BE77E6"/>
    <w:rsid w:val="00BE7CF9"/>
    <w:rsid w:val="00BE7E90"/>
    <w:rsid w:val="00BE7FB3"/>
    <w:rsid w:val="00BF0074"/>
    <w:rsid w:val="00BF0136"/>
    <w:rsid w:val="00BF014E"/>
    <w:rsid w:val="00BF0205"/>
    <w:rsid w:val="00BF0515"/>
    <w:rsid w:val="00BF05F9"/>
    <w:rsid w:val="00BF087E"/>
    <w:rsid w:val="00BF0A0F"/>
    <w:rsid w:val="00BF0BF7"/>
    <w:rsid w:val="00BF0E73"/>
    <w:rsid w:val="00BF0EC4"/>
    <w:rsid w:val="00BF148A"/>
    <w:rsid w:val="00BF14AF"/>
    <w:rsid w:val="00BF1550"/>
    <w:rsid w:val="00BF1573"/>
    <w:rsid w:val="00BF1608"/>
    <w:rsid w:val="00BF163C"/>
    <w:rsid w:val="00BF18D5"/>
    <w:rsid w:val="00BF1925"/>
    <w:rsid w:val="00BF1953"/>
    <w:rsid w:val="00BF19A0"/>
    <w:rsid w:val="00BF19C2"/>
    <w:rsid w:val="00BF1A87"/>
    <w:rsid w:val="00BF1C27"/>
    <w:rsid w:val="00BF1C70"/>
    <w:rsid w:val="00BF1EB4"/>
    <w:rsid w:val="00BF1F1F"/>
    <w:rsid w:val="00BF20E7"/>
    <w:rsid w:val="00BF21E6"/>
    <w:rsid w:val="00BF2243"/>
    <w:rsid w:val="00BF236E"/>
    <w:rsid w:val="00BF2404"/>
    <w:rsid w:val="00BF2512"/>
    <w:rsid w:val="00BF2550"/>
    <w:rsid w:val="00BF2698"/>
    <w:rsid w:val="00BF2707"/>
    <w:rsid w:val="00BF29EC"/>
    <w:rsid w:val="00BF2C71"/>
    <w:rsid w:val="00BF2D58"/>
    <w:rsid w:val="00BF2F2C"/>
    <w:rsid w:val="00BF30FE"/>
    <w:rsid w:val="00BF321C"/>
    <w:rsid w:val="00BF3520"/>
    <w:rsid w:val="00BF3532"/>
    <w:rsid w:val="00BF39BA"/>
    <w:rsid w:val="00BF3A9E"/>
    <w:rsid w:val="00BF3B64"/>
    <w:rsid w:val="00BF3E9F"/>
    <w:rsid w:val="00BF40EE"/>
    <w:rsid w:val="00BF4104"/>
    <w:rsid w:val="00BF41BA"/>
    <w:rsid w:val="00BF425D"/>
    <w:rsid w:val="00BF463F"/>
    <w:rsid w:val="00BF465E"/>
    <w:rsid w:val="00BF4708"/>
    <w:rsid w:val="00BF48D4"/>
    <w:rsid w:val="00BF4A5E"/>
    <w:rsid w:val="00BF4C10"/>
    <w:rsid w:val="00BF4C69"/>
    <w:rsid w:val="00BF4DF5"/>
    <w:rsid w:val="00BF4E07"/>
    <w:rsid w:val="00BF4FFE"/>
    <w:rsid w:val="00BF507B"/>
    <w:rsid w:val="00BF51B1"/>
    <w:rsid w:val="00BF51CA"/>
    <w:rsid w:val="00BF521A"/>
    <w:rsid w:val="00BF53BC"/>
    <w:rsid w:val="00BF53D2"/>
    <w:rsid w:val="00BF5487"/>
    <w:rsid w:val="00BF54C7"/>
    <w:rsid w:val="00BF5620"/>
    <w:rsid w:val="00BF58D3"/>
    <w:rsid w:val="00BF59AD"/>
    <w:rsid w:val="00BF5D36"/>
    <w:rsid w:val="00BF5F2F"/>
    <w:rsid w:val="00BF5F8A"/>
    <w:rsid w:val="00BF5F99"/>
    <w:rsid w:val="00BF5FCD"/>
    <w:rsid w:val="00BF6145"/>
    <w:rsid w:val="00BF6185"/>
    <w:rsid w:val="00BF61F3"/>
    <w:rsid w:val="00BF636C"/>
    <w:rsid w:val="00BF644D"/>
    <w:rsid w:val="00BF6469"/>
    <w:rsid w:val="00BF6828"/>
    <w:rsid w:val="00BF685C"/>
    <w:rsid w:val="00BF68AD"/>
    <w:rsid w:val="00BF6A02"/>
    <w:rsid w:val="00BF6B8D"/>
    <w:rsid w:val="00BF6C19"/>
    <w:rsid w:val="00BF6C5B"/>
    <w:rsid w:val="00BF6CDA"/>
    <w:rsid w:val="00BF6CE2"/>
    <w:rsid w:val="00BF716D"/>
    <w:rsid w:val="00BF71F8"/>
    <w:rsid w:val="00BF7727"/>
    <w:rsid w:val="00BF773B"/>
    <w:rsid w:val="00BF77D4"/>
    <w:rsid w:val="00BF79B2"/>
    <w:rsid w:val="00BF79E5"/>
    <w:rsid w:val="00BF7A44"/>
    <w:rsid w:val="00BF7BA0"/>
    <w:rsid w:val="00BF7FD1"/>
    <w:rsid w:val="00C00013"/>
    <w:rsid w:val="00C00076"/>
    <w:rsid w:val="00C000C5"/>
    <w:rsid w:val="00C002B0"/>
    <w:rsid w:val="00C00576"/>
    <w:rsid w:val="00C0066F"/>
    <w:rsid w:val="00C006AE"/>
    <w:rsid w:val="00C0071B"/>
    <w:rsid w:val="00C0087E"/>
    <w:rsid w:val="00C008CE"/>
    <w:rsid w:val="00C00972"/>
    <w:rsid w:val="00C0098A"/>
    <w:rsid w:val="00C00B8E"/>
    <w:rsid w:val="00C00F05"/>
    <w:rsid w:val="00C011AE"/>
    <w:rsid w:val="00C01250"/>
    <w:rsid w:val="00C01430"/>
    <w:rsid w:val="00C0143D"/>
    <w:rsid w:val="00C014C9"/>
    <w:rsid w:val="00C015C0"/>
    <w:rsid w:val="00C015DF"/>
    <w:rsid w:val="00C016E1"/>
    <w:rsid w:val="00C016ED"/>
    <w:rsid w:val="00C01B56"/>
    <w:rsid w:val="00C01D18"/>
    <w:rsid w:val="00C021DB"/>
    <w:rsid w:val="00C023DA"/>
    <w:rsid w:val="00C02420"/>
    <w:rsid w:val="00C025A4"/>
    <w:rsid w:val="00C028E5"/>
    <w:rsid w:val="00C02916"/>
    <w:rsid w:val="00C02967"/>
    <w:rsid w:val="00C02999"/>
    <w:rsid w:val="00C02A75"/>
    <w:rsid w:val="00C02B42"/>
    <w:rsid w:val="00C02B96"/>
    <w:rsid w:val="00C02D92"/>
    <w:rsid w:val="00C02E78"/>
    <w:rsid w:val="00C030F3"/>
    <w:rsid w:val="00C03426"/>
    <w:rsid w:val="00C034BF"/>
    <w:rsid w:val="00C03580"/>
    <w:rsid w:val="00C0364B"/>
    <w:rsid w:val="00C036EE"/>
    <w:rsid w:val="00C03A21"/>
    <w:rsid w:val="00C03BD1"/>
    <w:rsid w:val="00C03DE8"/>
    <w:rsid w:val="00C03EC5"/>
    <w:rsid w:val="00C03FE4"/>
    <w:rsid w:val="00C040AA"/>
    <w:rsid w:val="00C041E9"/>
    <w:rsid w:val="00C04205"/>
    <w:rsid w:val="00C0427B"/>
    <w:rsid w:val="00C04312"/>
    <w:rsid w:val="00C04382"/>
    <w:rsid w:val="00C04483"/>
    <w:rsid w:val="00C0449A"/>
    <w:rsid w:val="00C04571"/>
    <w:rsid w:val="00C04809"/>
    <w:rsid w:val="00C04A06"/>
    <w:rsid w:val="00C04A14"/>
    <w:rsid w:val="00C04A86"/>
    <w:rsid w:val="00C04AC6"/>
    <w:rsid w:val="00C04DDF"/>
    <w:rsid w:val="00C04E60"/>
    <w:rsid w:val="00C04FC6"/>
    <w:rsid w:val="00C0507F"/>
    <w:rsid w:val="00C05238"/>
    <w:rsid w:val="00C054E3"/>
    <w:rsid w:val="00C055D4"/>
    <w:rsid w:val="00C05939"/>
    <w:rsid w:val="00C05E6F"/>
    <w:rsid w:val="00C05F4A"/>
    <w:rsid w:val="00C060D5"/>
    <w:rsid w:val="00C06195"/>
    <w:rsid w:val="00C0619A"/>
    <w:rsid w:val="00C0640A"/>
    <w:rsid w:val="00C0648B"/>
    <w:rsid w:val="00C067DC"/>
    <w:rsid w:val="00C068B6"/>
    <w:rsid w:val="00C0698D"/>
    <w:rsid w:val="00C06AF7"/>
    <w:rsid w:val="00C06BFE"/>
    <w:rsid w:val="00C06EEE"/>
    <w:rsid w:val="00C06F95"/>
    <w:rsid w:val="00C07040"/>
    <w:rsid w:val="00C07043"/>
    <w:rsid w:val="00C070B3"/>
    <w:rsid w:val="00C070CC"/>
    <w:rsid w:val="00C0713A"/>
    <w:rsid w:val="00C07199"/>
    <w:rsid w:val="00C0726B"/>
    <w:rsid w:val="00C073D7"/>
    <w:rsid w:val="00C075A5"/>
    <w:rsid w:val="00C076D0"/>
    <w:rsid w:val="00C07704"/>
    <w:rsid w:val="00C07736"/>
    <w:rsid w:val="00C0777A"/>
    <w:rsid w:val="00C07B41"/>
    <w:rsid w:val="00C07EBC"/>
    <w:rsid w:val="00C10035"/>
    <w:rsid w:val="00C1003D"/>
    <w:rsid w:val="00C101EF"/>
    <w:rsid w:val="00C10347"/>
    <w:rsid w:val="00C10705"/>
    <w:rsid w:val="00C107FF"/>
    <w:rsid w:val="00C1084D"/>
    <w:rsid w:val="00C10877"/>
    <w:rsid w:val="00C10BF5"/>
    <w:rsid w:val="00C10C3F"/>
    <w:rsid w:val="00C10C49"/>
    <w:rsid w:val="00C10C85"/>
    <w:rsid w:val="00C10C95"/>
    <w:rsid w:val="00C10DD5"/>
    <w:rsid w:val="00C11014"/>
    <w:rsid w:val="00C1102D"/>
    <w:rsid w:val="00C11040"/>
    <w:rsid w:val="00C1105D"/>
    <w:rsid w:val="00C1130A"/>
    <w:rsid w:val="00C1136A"/>
    <w:rsid w:val="00C114C4"/>
    <w:rsid w:val="00C114DD"/>
    <w:rsid w:val="00C1156D"/>
    <w:rsid w:val="00C11892"/>
    <w:rsid w:val="00C11961"/>
    <w:rsid w:val="00C11A17"/>
    <w:rsid w:val="00C11C62"/>
    <w:rsid w:val="00C11D0C"/>
    <w:rsid w:val="00C11D0E"/>
    <w:rsid w:val="00C11D96"/>
    <w:rsid w:val="00C11E69"/>
    <w:rsid w:val="00C1200F"/>
    <w:rsid w:val="00C1205F"/>
    <w:rsid w:val="00C12103"/>
    <w:rsid w:val="00C121A9"/>
    <w:rsid w:val="00C12497"/>
    <w:rsid w:val="00C126FC"/>
    <w:rsid w:val="00C12B4D"/>
    <w:rsid w:val="00C12BB6"/>
    <w:rsid w:val="00C12BBD"/>
    <w:rsid w:val="00C12DA9"/>
    <w:rsid w:val="00C13174"/>
    <w:rsid w:val="00C1345F"/>
    <w:rsid w:val="00C1355C"/>
    <w:rsid w:val="00C1356D"/>
    <w:rsid w:val="00C136C4"/>
    <w:rsid w:val="00C13903"/>
    <w:rsid w:val="00C13C50"/>
    <w:rsid w:val="00C13CE6"/>
    <w:rsid w:val="00C13D45"/>
    <w:rsid w:val="00C13FAF"/>
    <w:rsid w:val="00C143D4"/>
    <w:rsid w:val="00C144D8"/>
    <w:rsid w:val="00C145A6"/>
    <w:rsid w:val="00C147E1"/>
    <w:rsid w:val="00C147EA"/>
    <w:rsid w:val="00C14911"/>
    <w:rsid w:val="00C1499A"/>
    <w:rsid w:val="00C14AFC"/>
    <w:rsid w:val="00C14B09"/>
    <w:rsid w:val="00C14B61"/>
    <w:rsid w:val="00C14D26"/>
    <w:rsid w:val="00C14E8F"/>
    <w:rsid w:val="00C1514B"/>
    <w:rsid w:val="00C15303"/>
    <w:rsid w:val="00C1539E"/>
    <w:rsid w:val="00C15418"/>
    <w:rsid w:val="00C15438"/>
    <w:rsid w:val="00C154F4"/>
    <w:rsid w:val="00C155C6"/>
    <w:rsid w:val="00C15637"/>
    <w:rsid w:val="00C15740"/>
    <w:rsid w:val="00C158CF"/>
    <w:rsid w:val="00C158FB"/>
    <w:rsid w:val="00C15A5D"/>
    <w:rsid w:val="00C15B12"/>
    <w:rsid w:val="00C15C6C"/>
    <w:rsid w:val="00C15E61"/>
    <w:rsid w:val="00C16204"/>
    <w:rsid w:val="00C1622D"/>
    <w:rsid w:val="00C162E1"/>
    <w:rsid w:val="00C16464"/>
    <w:rsid w:val="00C16ADE"/>
    <w:rsid w:val="00C16BC7"/>
    <w:rsid w:val="00C16EBD"/>
    <w:rsid w:val="00C16F22"/>
    <w:rsid w:val="00C17007"/>
    <w:rsid w:val="00C170A7"/>
    <w:rsid w:val="00C170FB"/>
    <w:rsid w:val="00C1762D"/>
    <w:rsid w:val="00C17BA6"/>
    <w:rsid w:val="00C17C8B"/>
    <w:rsid w:val="00C17E2C"/>
    <w:rsid w:val="00C2044C"/>
    <w:rsid w:val="00C2046B"/>
    <w:rsid w:val="00C204DD"/>
    <w:rsid w:val="00C2056F"/>
    <w:rsid w:val="00C207B0"/>
    <w:rsid w:val="00C209FF"/>
    <w:rsid w:val="00C20B18"/>
    <w:rsid w:val="00C20E2D"/>
    <w:rsid w:val="00C212C5"/>
    <w:rsid w:val="00C2130D"/>
    <w:rsid w:val="00C213F4"/>
    <w:rsid w:val="00C21445"/>
    <w:rsid w:val="00C214C5"/>
    <w:rsid w:val="00C214E8"/>
    <w:rsid w:val="00C2161A"/>
    <w:rsid w:val="00C2161D"/>
    <w:rsid w:val="00C216FC"/>
    <w:rsid w:val="00C2175B"/>
    <w:rsid w:val="00C218A2"/>
    <w:rsid w:val="00C218D7"/>
    <w:rsid w:val="00C2197F"/>
    <w:rsid w:val="00C21A28"/>
    <w:rsid w:val="00C21A7F"/>
    <w:rsid w:val="00C21AB0"/>
    <w:rsid w:val="00C21ADA"/>
    <w:rsid w:val="00C21F64"/>
    <w:rsid w:val="00C2221A"/>
    <w:rsid w:val="00C223EF"/>
    <w:rsid w:val="00C2246D"/>
    <w:rsid w:val="00C225AE"/>
    <w:rsid w:val="00C226FB"/>
    <w:rsid w:val="00C227C7"/>
    <w:rsid w:val="00C22892"/>
    <w:rsid w:val="00C22AF5"/>
    <w:rsid w:val="00C22B78"/>
    <w:rsid w:val="00C22C18"/>
    <w:rsid w:val="00C22D2F"/>
    <w:rsid w:val="00C22D86"/>
    <w:rsid w:val="00C22FF2"/>
    <w:rsid w:val="00C23255"/>
    <w:rsid w:val="00C2361F"/>
    <w:rsid w:val="00C23767"/>
    <w:rsid w:val="00C237FF"/>
    <w:rsid w:val="00C2385D"/>
    <w:rsid w:val="00C23939"/>
    <w:rsid w:val="00C239B1"/>
    <w:rsid w:val="00C23A1D"/>
    <w:rsid w:val="00C23B18"/>
    <w:rsid w:val="00C23D8A"/>
    <w:rsid w:val="00C23DE0"/>
    <w:rsid w:val="00C23EC5"/>
    <w:rsid w:val="00C24066"/>
    <w:rsid w:val="00C24144"/>
    <w:rsid w:val="00C242C0"/>
    <w:rsid w:val="00C2446A"/>
    <w:rsid w:val="00C2448B"/>
    <w:rsid w:val="00C24495"/>
    <w:rsid w:val="00C245AB"/>
    <w:rsid w:val="00C245C0"/>
    <w:rsid w:val="00C245CC"/>
    <w:rsid w:val="00C247EB"/>
    <w:rsid w:val="00C24AD8"/>
    <w:rsid w:val="00C24AFE"/>
    <w:rsid w:val="00C24BD1"/>
    <w:rsid w:val="00C24BEF"/>
    <w:rsid w:val="00C24D5E"/>
    <w:rsid w:val="00C24FE7"/>
    <w:rsid w:val="00C2514F"/>
    <w:rsid w:val="00C251AD"/>
    <w:rsid w:val="00C251DF"/>
    <w:rsid w:val="00C2586E"/>
    <w:rsid w:val="00C25C14"/>
    <w:rsid w:val="00C25E88"/>
    <w:rsid w:val="00C25FF5"/>
    <w:rsid w:val="00C26242"/>
    <w:rsid w:val="00C26453"/>
    <w:rsid w:val="00C266D8"/>
    <w:rsid w:val="00C2674E"/>
    <w:rsid w:val="00C267DA"/>
    <w:rsid w:val="00C2691D"/>
    <w:rsid w:val="00C26965"/>
    <w:rsid w:val="00C26B05"/>
    <w:rsid w:val="00C26BE0"/>
    <w:rsid w:val="00C26E8D"/>
    <w:rsid w:val="00C26FA5"/>
    <w:rsid w:val="00C273FF"/>
    <w:rsid w:val="00C27518"/>
    <w:rsid w:val="00C27944"/>
    <w:rsid w:val="00C27968"/>
    <w:rsid w:val="00C279F5"/>
    <w:rsid w:val="00C27A41"/>
    <w:rsid w:val="00C27C06"/>
    <w:rsid w:val="00C30065"/>
    <w:rsid w:val="00C30200"/>
    <w:rsid w:val="00C3021B"/>
    <w:rsid w:val="00C30258"/>
    <w:rsid w:val="00C305B9"/>
    <w:rsid w:val="00C3069E"/>
    <w:rsid w:val="00C3079E"/>
    <w:rsid w:val="00C30929"/>
    <w:rsid w:val="00C309AB"/>
    <w:rsid w:val="00C309B3"/>
    <w:rsid w:val="00C309B6"/>
    <w:rsid w:val="00C30A7C"/>
    <w:rsid w:val="00C30F08"/>
    <w:rsid w:val="00C30F35"/>
    <w:rsid w:val="00C30FB7"/>
    <w:rsid w:val="00C311F7"/>
    <w:rsid w:val="00C31274"/>
    <w:rsid w:val="00C31442"/>
    <w:rsid w:val="00C31486"/>
    <w:rsid w:val="00C3159A"/>
    <w:rsid w:val="00C3164D"/>
    <w:rsid w:val="00C317CD"/>
    <w:rsid w:val="00C317DF"/>
    <w:rsid w:val="00C31829"/>
    <w:rsid w:val="00C319AE"/>
    <w:rsid w:val="00C32040"/>
    <w:rsid w:val="00C3227C"/>
    <w:rsid w:val="00C323E8"/>
    <w:rsid w:val="00C32540"/>
    <w:rsid w:val="00C32909"/>
    <w:rsid w:val="00C329E1"/>
    <w:rsid w:val="00C32D4E"/>
    <w:rsid w:val="00C32FD2"/>
    <w:rsid w:val="00C33072"/>
    <w:rsid w:val="00C3354E"/>
    <w:rsid w:val="00C33628"/>
    <w:rsid w:val="00C336BD"/>
    <w:rsid w:val="00C33D41"/>
    <w:rsid w:val="00C34423"/>
    <w:rsid w:val="00C34868"/>
    <w:rsid w:val="00C34869"/>
    <w:rsid w:val="00C348C9"/>
    <w:rsid w:val="00C3494D"/>
    <w:rsid w:val="00C34A0B"/>
    <w:rsid w:val="00C34A57"/>
    <w:rsid w:val="00C34A5F"/>
    <w:rsid w:val="00C34B13"/>
    <w:rsid w:val="00C34B23"/>
    <w:rsid w:val="00C34BE5"/>
    <w:rsid w:val="00C34C4A"/>
    <w:rsid w:val="00C34D34"/>
    <w:rsid w:val="00C34DE7"/>
    <w:rsid w:val="00C34F63"/>
    <w:rsid w:val="00C3521C"/>
    <w:rsid w:val="00C35245"/>
    <w:rsid w:val="00C35252"/>
    <w:rsid w:val="00C3526F"/>
    <w:rsid w:val="00C35294"/>
    <w:rsid w:val="00C3531F"/>
    <w:rsid w:val="00C355BD"/>
    <w:rsid w:val="00C356B6"/>
    <w:rsid w:val="00C358CC"/>
    <w:rsid w:val="00C3598B"/>
    <w:rsid w:val="00C35A48"/>
    <w:rsid w:val="00C35BDC"/>
    <w:rsid w:val="00C35CB0"/>
    <w:rsid w:val="00C361BA"/>
    <w:rsid w:val="00C3623F"/>
    <w:rsid w:val="00C362B6"/>
    <w:rsid w:val="00C36362"/>
    <w:rsid w:val="00C3653C"/>
    <w:rsid w:val="00C366FE"/>
    <w:rsid w:val="00C369B2"/>
    <w:rsid w:val="00C36A6E"/>
    <w:rsid w:val="00C36AA1"/>
    <w:rsid w:val="00C36B39"/>
    <w:rsid w:val="00C36B6E"/>
    <w:rsid w:val="00C36DFC"/>
    <w:rsid w:val="00C36DFE"/>
    <w:rsid w:val="00C36EAE"/>
    <w:rsid w:val="00C36F6D"/>
    <w:rsid w:val="00C37141"/>
    <w:rsid w:val="00C371BF"/>
    <w:rsid w:val="00C3721D"/>
    <w:rsid w:val="00C372D0"/>
    <w:rsid w:val="00C375A6"/>
    <w:rsid w:val="00C3797D"/>
    <w:rsid w:val="00C379DF"/>
    <w:rsid w:val="00C37A3C"/>
    <w:rsid w:val="00C37D2D"/>
    <w:rsid w:val="00C40137"/>
    <w:rsid w:val="00C401AA"/>
    <w:rsid w:val="00C40364"/>
    <w:rsid w:val="00C404C2"/>
    <w:rsid w:val="00C40510"/>
    <w:rsid w:val="00C40592"/>
    <w:rsid w:val="00C405B2"/>
    <w:rsid w:val="00C405CE"/>
    <w:rsid w:val="00C40780"/>
    <w:rsid w:val="00C40A78"/>
    <w:rsid w:val="00C40EE1"/>
    <w:rsid w:val="00C40F00"/>
    <w:rsid w:val="00C40F1D"/>
    <w:rsid w:val="00C40F9F"/>
    <w:rsid w:val="00C41198"/>
    <w:rsid w:val="00C4119C"/>
    <w:rsid w:val="00C411E5"/>
    <w:rsid w:val="00C41252"/>
    <w:rsid w:val="00C41375"/>
    <w:rsid w:val="00C4152C"/>
    <w:rsid w:val="00C415EF"/>
    <w:rsid w:val="00C41606"/>
    <w:rsid w:val="00C41638"/>
    <w:rsid w:val="00C41A30"/>
    <w:rsid w:val="00C41A59"/>
    <w:rsid w:val="00C41AF9"/>
    <w:rsid w:val="00C41C30"/>
    <w:rsid w:val="00C41CC2"/>
    <w:rsid w:val="00C41D4D"/>
    <w:rsid w:val="00C41E57"/>
    <w:rsid w:val="00C41F69"/>
    <w:rsid w:val="00C42086"/>
    <w:rsid w:val="00C4217E"/>
    <w:rsid w:val="00C42251"/>
    <w:rsid w:val="00C423A1"/>
    <w:rsid w:val="00C42448"/>
    <w:rsid w:val="00C425F5"/>
    <w:rsid w:val="00C4265C"/>
    <w:rsid w:val="00C426DC"/>
    <w:rsid w:val="00C42807"/>
    <w:rsid w:val="00C42810"/>
    <w:rsid w:val="00C42D9C"/>
    <w:rsid w:val="00C42E07"/>
    <w:rsid w:val="00C42ED6"/>
    <w:rsid w:val="00C43174"/>
    <w:rsid w:val="00C43190"/>
    <w:rsid w:val="00C431C1"/>
    <w:rsid w:val="00C432E7"/>
    <w:rsid w:val="00C43489"/>
    <w:rsid w:val="00C43527"/>
    <w:rsid w:val="00C435D7"/>
    <w:rsid w:val="00C4375D"/>
    <w:rsid w:val="00C43785"/>
    <w:rsid w:val="00C438BD"/>
    <w:rsid w:val="00C43924"/>
    <w:rsid w:val="00C43947"/>
    <w:rsid w:val="00C4398C"/>
    <w:rsid w:val="00C43AD8"/>
    <w:rsid w:val="00C43C19"/>
    <w:rsid w:val="00C43D70"/>
    <w:rsid w:val="00C43F99"/>
    <w:rsid w:val="00C443E2"/>
    <w:rsid w:val="00C44710"/>
    <w:rsid w:val="00C4488C"/>
    <w:rsid w:val="00C44A44"/>
    <w:rsid w:val="00C44B51"/>
    <w:rsid w:val="00C44E19"/>
    <w:rsid w:val="00C44E4E"/>
    <w:rsid w:val="00C44E5B"/>
    <w:rsid w:val="00C45070"/>
    <w:rsid w:val="00C450BC"/>
    <w:rsid w:val="00C452DE"/>
    <w:rsid w:val="00C45566"/>
    <w:rsid w:val="00C45863"/>
    <w:rsid w:val="00C4587E"/>
    <w:rsid w:val="00C45A44"/>
    <w:rsid w:val="00C45A4D"/>
    <w:rsid w:val="00C45B10"/>
    <w:rsid w:val="00C45C28"/>
    <w:rsid w:val="00C45D1F"/>
    <w:rsid w:val="00C45EBC"/>
    <w:rsid w:val="00C45F18"/>
    <w:rsid w:val="00C45F64"/>
    <w:rsid w:val="00C45FE6"/>
    <w:rsid w:val="00C4617E"/>
    <w:rsid w:val="00C46203"/>
    <w:rsid w:val="00C46377"/>
    <w:rsid w:val="00C466AB"/>
    <w:rsid w:val="00C4686F"/>
    <w:rsid w:val="00C468A4"/>
    <w:rsid w:val="00C468E1"/>
    <w:rsid w:val="00C46A13"/>
    <w:rsid w:val="00C47298"/>
    <w:rsid w:val="00C472C6"/>
    <w:rsid w:val="00C474B7"/>
    <w:rsid w:val="00C4767C"/>
    <w:rsid w:val="00C476B1"/>
    <w:rsid w:val="00C477C7"/>
    <w:rsid w:val="00C47845"/>
    <w:rsid w:val="00C479F9"/>
    <w:rsid w:val="00C47A2D"/>
    <w:rsid w:val="00C47B48"/>
    <w:rsid w:val="00C47BCD"/>
    <w:rsid w:val="00C47D11"/>
    <w:rsid w:val="00C47EDA"/>
    <w:rsid w:val="00C47EE4"/>
    <w:rsid w:val="00C47F89"/>
    <w:rsid w:val="00C501D0"/>
    <w:rsid w:val="00C50480"/>
    <w:rsid w:val="00C50666"/>
    <w:rsid w:val="00C506A6"/>
    <w:rsid w:val="00C506F1"/>
    <w:rsid w:val="00C50A21"/>
    <w:rsid w:val="00C50DD5"/>
    <w:rsid w:val="00C50DFC"/>
    <w:rsid w:val="00C50E2F"/>
    <w:rsid w:val="00C50F94"/>
    <w:rsid w:val="00C51311"/>
    <w:rsid w:val="00C514B9"/>
    <w:rsid w:val="00C514BF"/>
    <w:rsid w:val="00C514F6"/>
    <w:rsid w:val="00C516D3"/>
    <w:rsid w:val="00C51B01"/>
    <w:rsid w:val="00C51C1A"/>
    <w:rsid w:val="00C51D4B"/>
    <w:rsid w:val="00C51F57"/>
    <w:rsid w:val="00C51F72"/>
    <w:rsid w:val="00C52095"/>
    <w:rsid w:val="00C52343"/>
    <w:rsid w:val="00C52428"/>
    <w:rsid w:val="00C524FE"/>
    <w:rsid w:val="00C529C6"/>
    <w:rsid w:val="00C52CA0"/>
    <w:rsid w:val="00C52CF0"/>
    <w:rsid w:val="00C52E87"/>
    <w:rsid w:val="00C52FBE"/>
    <w:rsid w:val="00C53127"/>
    <w:rsid w:val="00C53205"/>
    <w:rsid w:val="00C5343B"/>
    <w:rsid w:val="00C535C7"/>
    <w:rsid w:val="00C535D6"/>
    <w:rsid w:val="00C53651"/>
    <w:rsid w:val="00C536FE"/>
    <w:rsid w:val="00C53779"/>
    <w:rsid w:val="00C53792"/>
    <w:rsid w:val="00C53BA4"/>
    <w:rsid w:val="00C53E6B"/>
    <w:rsid w:val="00C53EA2"/>
    <w:rsid w:val="00C5408E"/>
    <w:rsid w:val="00C541ED"/>
    <w:rsid w:val="00C54332"/>
    <w:rsid w:val="00C543EB"/>
    <w:rsid w:val="00C54594"/>
    <w:rsid w:val="00C548A1"/>
    <w:rsid w:val="00C5497D"/>
    <w:rsid w:val="00C549C6"/>
    <w:rsid w:val="00C54A31"/>
    <w:rsid w:val="00C54BD4"/>
    <w:rsid w:val="00C54BF9"/>
    <w:rsid w:val="00C54C1F"/>
    <w:rsid w:val="00C54CB9"/>
    <w:rsid w:val="00C54D6F"/>
    <w:rsid w:val="00C54F20"/>
    <w:rsid w:val="00C54F39"/>
    <w:rsid w:val="00C54F88"/>
    <w:rsid w:val="00C55060"/>
    <w:rsid w:val="00C55132"/>
    <w:rsid w:val="00C554C2"/>
    <w:rsid w:val="00C55572"/>
    <w:rsid w:val="00C55591"/>
    <w:rsid w:val="00C55969"/>
    <w:rsid w:val="00C55B2C"/>
    <w:rsid w:val="00C55CC6"/>
    <w:rsid w:val="00C55D5D"/>
    <w:rsid w:val="00C55D73"/>
    <w:rsid w:val="00C55D87"/>
    <w:rsid w:val="00C55DB3"/>
    <w:rsid w:val="00C55EF8"/>
    <w:rsid w:val="00C5627C"/>
    <w:rsid w:val="00C564F7"/>
    <w:rsid w:val="00C56512"/>
    <w:rsid w:val="00C565A1"/>
    <w:rsid w:val="00C565EA"/>
    <w:rsid w:val="00C56751"/>
    <w:rsid w:val="00C568A4"/>
    <w:rsid w:val="00C568A8"/>
    <w:rsid w:val="00C56A11"/>
    <w:rsid w:val="00C56AB0"/>
    <w:rsid w:val="00C56B3C"/>
    <w:rsid w:val="00C56D01"/>
    <w:rsid w:val="00C56FB4"/>
    <w:rsid w:val="00C56FE0"/>
    <w:rsid w:val="00C57019"/>
    <w:rsid w:val="00C570FC"/>
    <w:rsid w:val="00C57121"/>
    <w:rsid w:val="00C5720F"/>
    <w:rsid w:val="00C575A5"/>
    <w:rsid w:val="00C575F4"/>
    <w:rsid w:val="00C5780F"/>
    <w:rsid w:val="00C5789F"/>
    <w:rsid w:val="00C578D1"/>
    <w:rsid w:val="00C5795A"/>
    <w:rsid w:val="00C579E1"/>
    <w:rsid w:val="00C57B34"/>
    <w:rsid w:val="00C57B79"/>
    <w:rsid w:val="00C57DB0"/>
    <w:rsid w:val="00C57EAE"/>
    <w:rsid w:val="00C60249"/>
    <w:rsid w:val="00C602F9"/>
    <w:rsid w:val="00C604A3"/>
    <w:rsid w:val="00C60822"/>
    <w:rsid w:val="00C60CAB"/>
    <w:rsid w:val="00C60DF4"/>
    <w:rsid w:val="00C60E2B"/>
    <w:rsid w:val="00C60EBD"/>
    <w:rsid w:val="00C60F3E"/>
    <w:rsid w:val="00C60F9E"/>
    <w:rsid w:val="00C61030"/>
    <w:rsid w:val="00C6105B"/>
    <w:rsid w:val="00C61209"/>
    <w:rsid w:val="00C61227"/>
    <w:rsid w:val="00C612E0"/>
    <w:rsid w:val="00C615B3"/>
    <w:rsid w:val="00C61933"/>
    <w:rsid w:val="00C61BD1"/>
    <w:rsid w:val="00C61CB2"/>
    <w:rsid w:val="00C61DDE"/>
    <w:rsid w:val="00C61F44"/>
    <w:rsid w:val="00C62127"/>
    <w:rsid w:val="00C62198"/>
    <w:rsid w:val="00C62218"/>
    <w:rsid w:val="00C6255C"/>
    <w:rsid w:val="00C62675"/>
    <w:rsid w:val="00C6274C"/>
    <w:rsid w:val="00C635E0"/>
    <w:rsid w:val="00C636F2"/>
    <w:rsid w:val="00C63738"/>
    <w:rsid w:val="00C63B67"/>
    <w:rsid w:val="00C63C8B"/>
    <w:rsid w:val="00C63D2F"/>
    <w:rsid w:val="00C63D4A"/>
    <w:rsid w:val="00C640B4"/>
    <w:rsid w:val="00C643D8"/>
    <w:rsid w:val="00C64463"/>
    <w:rsid w:val="00C64527"/>
    <w:rsid w:val="00C64886"/>
    <w:rsid w:val="00C64B0D"/>
    <w:rsid w:val="00C64BBD"/>
    <w:rsid w:val="00C64DCA"/>
    <w:rsid w:val="00C64DEB"/>
    <w:rsid w:val="00C64F7B"/>
    <w:rsid w:val="00C656C9"/>
    <w:rsid w:val="00C658C1"/>
    <w:rsid w:val="00C65952"/>
    <w:rsid w:val="00C65A81"/>
    <w:rsid w:val="00C65AE4"/>
    <w:rsid w:val="00C65C7B"/>
    <w:rsid w:val="00C65D9C"/>
    <w:rsid w:val="00C65F0A"/>
    <w:rsid w:val="00C661CE"/>
    <w:rsid w:val="00C66265"/>
    <w:rsid w:val="00C66308"/>
    <w:rsid w:val="00C66417"/>
    <w:rsid w:val="00C66552"/>
    <w:rsid w:val="00C66590"/>
    <w:rsid w:val="00C665C6"/>
    <w:rsid w:val="00C665F3"/>
    <w:rsid w:val="00C6687E"/>
    <w:rsid w:val="00C66D65"/>
    <w:rsid w:val="00C66E00"/>
    <w:rsid w:val="00C66E4B"/>
    <w:rsid w:val="00C66E8D"/>
    <w:rsid w:val="00C66E98"/>
    <w:rsid w:val="00C66F5A"/>
    <w:rsid w:val="00C6701F"/>
    <w:rsid w:val="00C670FC"/>
    <w:rsid w:val="00C67470"/>
    <w:rsid w:val="00C677E6"/>
    <w:rsid w:val="00C67852"/>
    <w:rsid w:val="00C67872"/>
    <w:rsid w:val="00C679B3"/>
    <w:rsid w:val="00C679BB"/>
    <w:rsid w:val="00C679D0"/>
    <w:rsid w:val="00C67ABB"/>
    <w:rsid w:val="00C67D27"/>
    <w:rsid w:val="00C67F8B"/>
    <w:rsid w:val="00C67FB6"/>
    <w:rsid w:val="00C70179"/>
    <w:rsid w:val="00C7024C"/>
    <w:rsid w:val="00C704B9"/>
    <w:rsid w:val="00C706C7"/>
    <w:rsid w:val="00C70745"/>
    <w:rsid w:val="00C7076B"/>
    <w:rsid w:val="00C707BC"/>
    <w:rsid w:val="00C709E7"/>
    <w:rsid w:val="00C70F21"/>
    <w:rsid w:val="00C71017"/>
    <w:rsid w:val="00C71023"/>
    <w:rsid w:val="00C71078"/>
    <w:rsid w:val="00C710B4"/>
    <w:rsid w:val="00C714F7"/>
    <w:rsid w:val="00C71758"/>
    <w:rsid w:val="00C71962"/>
    <w:rsid w:val="00C71D76"/>
    <w:rsid w:val="00C71DB5"/>
    <w:rsid w:val="00C71E37"/>
    <w:rsid w:val="00C71E6A"/>
    <w:rsid w:val="00C7203A"/>
    <w:rsid w:val="00C721D9"/>
    <w:rsid w:val="00C72242"/>
    <w:rsid w:val="00C725D7"/>
    <w:rsid w:val="00C7299D"/>
    <w:rsid w:val="00C729ED"/>
    <w:rsid w:val="00C72A26"/>
    <w:rsid w:val="00C72A38"/>
    <w:rsid w:val="00C72A41"/>
    <w:rsid w:val="00C72ABD"/>
    <w:rsid w:val="00C72DF0"/>
    <w:rsid w:val="00C72FA9"/>
    <w:rsid w:val="00C73073"/>
    <w:rsid w:val="00C730EC"/>
    <w:rsid w:val="00C732A9"/>
    <w:rsid w:val="00C732CF"/>
    <w:rsid w:val="00C73529"/>
    <w:rsid w:val="00C7363B"/>
    <w:rsid w:val="00C73A49"/>
    <w:rsid w:val="00C73B61"/>
    <w:rsid w:val="00C73B73"/>
    <w:rsid w:val="00C73D8F"/>
    <w:rsid w:val="00C73F59"/>
    <w:rsid w:val="00C74017"/>
    <w:rsid w:val="00C740DE"/>
    <w:rsid w:val="00C74218"/>
    <w:rsid w:val="00C7423D"/>
    <w:rsid w:val="00C74245"/>
    <w:rsid w:val="00C74390"/>
    <w:rsid w:val="00C74519"/>
    <w:rsid w:val="00C7475A"/>
    <w:rsid w:val="00C74840"/>
    <w:rsid w:val="00C74985"/>
    <w:rsid w:val="00C74A97"/>
    <w:rsid w:val="00C74BE3"/>
    <w:rsid w:val="00C74CDE"/>
    <w:rsid w:val="00C74CE5"/>
    <w:rsid w:val="00C75072"/>
    <w:rsid w:val="00C75274"/>
    <w:rsid w:val="00C75326"/>
    <w:rsid w:val="00C75385"/>
    <w:rsid w:val="00C75427"/>
    <w:rsid w:val="00C7567D"/>
    <w:rsid w:val="00C75773"/>
    <w:rsid w:val="00C75A7F"/>
    <w:rsid w:val="00C75B56"/>
    <w:rsid w:val="00C75BDF"/>
    <w:rsid w:val="00C75BE5"/>
    <w:rsid w:val="00C75D24"/>
    <w:rsid w:val="00C75D26"/>
    <w:rsid w:val="00C75D6D"/>
    <w:rsid w:val="00C75D89"/>
    <w:rsid w:val="00C75DAB"/>
    <w:rsid w:val="00C761AB"/>
    <w:rsid w:val="00C76428"/>
    <w:rsid w:val="00C764F5"/>
    <w:rsid w:val="00C7675A"/>
    <w:rsid w:val="00C7682C"/>
    <w:rsid w:val="00C769F6"/>
    <w:rsid w:val="00C76B31"/>
    <w:rsid w:val="00C76CB6"/>
    <w:rsid w:val="00C76D80"/>
    <w:rsid w:val="00C76E35"/>
    <w:rsid w:val="00C770F1"/>
    <w:rsid w:val="00C772B6"/>
    <w:rsid w:val="00C77339"/>
    <w:rsid w:val="00C77342"/>
    <w:rsid w:val="00C773CE"/>
    <w:rsid w:val="00C775C0"/>
    <w:rsid w:val="00C776CB"/>
    <w:rsid w:val="00C779DA"/>
    <w:rsid w:val="00C77B16"/>
    <w:rsid w:val="00C77C7D"/>
    <w:rsid w:val="00C77ED9"/>
    <w:rsid w:val="00C77FBF"/>
    <w:rsid w:val="00C804AF"/>
    <w:rsid w:val="00C8084D"/>
    <w:rsid w:val="00C808FE"/>
    <w:rsid w:val="00C80908"/>
    <w:rsid w:val="00C8094C"/>
    <w:rsid w:val="00C80A3B"/>
    <w:rsid w:val="00C81165"/>
    <w:rsid w:val="00C811B7"/>
    <w:rsid w:val="00C81645"/>
    <w:rsid w:val="00C817EA"/>
    <w:rsid w:val="00C818EB"/>
    <w:rsid w:val="00C81962"/>
    <w:rsid w:val="00C819F4"/>
    <w:rsid w:val="00C81C63"/>
    <w:rsid w:val="00C81CC7"/>
    <w:rsid w:val="00C81D96"/>
    <w:rsid w:val="00C81F3C"/>
    <w:rsid w:val="00C82448"/>
    <w:rsid w:val="00C825A2"/>
    <w:rsid w:val="00C8284F"/>
    <w:rsid w:val="00C82B84"/>
    <w:rsid w:val="00C82B9B"/>
    <w:rsid w:val="00C82CF3"/>
    <w:rsid w:val="00C82DAA"/>
    <w:rsid w:val="00C82DF8"/>
    <w:rsid w:val="00C82EE0"/>
    <w:rsid w:val="00C83161"/>
    <w:rsid w:val="00C832B9"/>
    <w:rsid w:val="00C8339E"/>
    <w:rsid w:val="00C839A3"/>
    <w:rsid w:val="00C83B1D"/>
    <w:rsid w:val="00C83B67"/>
    <w:rsid w:val="00C83CAB"/>
    <w:rsid w:val="00C8403F"/>
    <w:rsid w:val="00C84167"/>
    <w:rsid w:val="00C8430F"/>
    <w:rsid w:val="00C8432A"/>
    <w:rsid w:val="00C845F1"/>
    <w:rsid w:val="00C847B9"/>
    <w:rsid w:val="00C84855"/>
    <w:rsid w:val="00C848ED"/>
    <w:rsid w:val="00C84BB1"/>
    <w:rsid w:val="00C84C83"/>
    <w:rsid w:val="00C84CC4"/>
    <w:rsid w:val="00C84D09"/>
    <w:rsid w:val="00C8501D"/>
    <w:rsid w:val="00C85089"/>
    <w:rsid w:val="00C851F1"/>
    <w:rsid w:val="00C852DE"/>
    <w:rsid w:val="00C85329"/>
    <w:rsid w:val="00C8534A"/>
    <w:rsid w:val="00C853F8"/>
    <w:rsid w:val="00C85469"/>
    <w:rsid w:val="00C856AC"/>
    <w:rsid w:val="00C856CC"/>
    <w:rsid w:val="00C857D0"/>
    <w:rsid w:val="00C857EE"/>
    <w:rsid w:val="00C85BA0"/>
    <w:rsid w:val="00C85C42"/>
    <w:rsid w:val="00C85CDD"/>
    <w:rsid w:val="00C85CDE"/>
    <w:rsid w:val="00C85CE8"/>
    <w:rsid w:val="00C85DF4"/>
    <w:rsid w:val="00C85EDE"/>
    <w:rsid w:val="00C861B5"/>
    <w:rsid w:val="00C86339"/>
    <w:rsid w:val="00C86397"/>
    <w:rsid w:val="00C86430"/>
    <w:rsid w:val="00C867A0"/>
    <w:rsid w:val="00C867C2"/>
    <w:rsid w:val="00C869E2"/>
    <w:rsid w:val="00C86A7A"/>
    <w:rsid w:val="00C86BE8"/>
    <w:rsid w:val="00C86BFD"/>
    <w:rsid w:val="00C86D11"/>
    <w:rsid w:val="00C86DA4"/>
    <w:rsid w:val="00C86ED0"/>
    <w:rsid w:val="00C86F90"/>
    <w:rsid w:val="00C87217"/>
    <w:rsid w:val="00C872B7"/>
    <w:rsid w:val="00C872FD"/>
    <w:rsid w:val="00C875E2"/>
    <w:rsid w:val="00C877A4"/>
    <w:rsid w:val="00C879D6"/>
    <w:rsid w:val="00C879DB"/>
    <w:rsid w:val="00C87A96"/>
    <w:rsid w:val="00C87BA9"/>
    <w:rsid w:val="00C87E33"/>
    <w:rsid w:val="00C90031"/>
    <w:rsid w:val="00C90057"/>
    <w:rsid w:val="00C9020B"/>
    <w:rsid w:val="00C9052D"/>
    <w:rsid w:val="00C90DBA"/>
    <w:rsid w:val="00C90F11"/>
    <w:rsid w:val="00C911E3"/>
    <w:rsid w:val="00C91278"/>
    <w:rsid w:val="00C9145C"/>
    <w:rsid w:val="00C91918"/>
    <w:rsid w:val="00C920C1"/>
    <w:rsid w:val="00C92148"/>
    <w:rsid w:val="00C921DE"/>
    <w:rsid w:val="00C9221F"/>
    <w:rsid w:val="00C925A2"/>
    <w:rsid w:val="00C92629"/>
    <w:rsid w:val="00C92657"/>
    <w:rsid w:val="00C929A9"/>
    <w:rsid w:val="00C92AD7"/>
    <w:rsid w:val="00C92B81"/>
    <w:rsid w:val="00C92BB8"/>
    <w:rsid w:val="00C92C92"/>
    <w:rsid w:val="00C92DEF"/>
    <w:rsid w:val="00C92EBC"/>
    <w:rsid w:val="00C92EF2"/>
    <w:rsid w:val="00C92F0B"/>
    <w:rsid w:val="00C92F5E"/>
    <w:rsid w:val="00C93111"/>
    <w:rsid w:val="00C9333C"/>
    <w:rsid w:val="00C9334C"/>
    <w:rsid w:val="00C93539"/>
    <w:rsid w:val="00C935CC"/>
    <w:rsid w:val="00C93641"/>
    <w:rsid w:val="00C93650"/>
    <w:rsid w:val="00C936DE"/>
    <w:rsid w:val="00C939C7"/>
    <w:rsid w:val="00C93A1C"/>
    <w:rsid w:val="00C93AC6"/>
    <w:rsid w:val="00C93BC2"/>
    <w:rsid w:val="00C93BD3"/>
    <w:rsid w:val="00C93C90"/>
    <w:rsid w:val="00C93DA2"/>
    <w:rsid w:val="00C94213"/>
    <w:rsid w:val="00C94279"/>
    <w:rsid w:val="00C942CA"/>
    <w:rsid w:val="00C946F8"/>
    <w:rsid w:val="00C947B7"/>
    <w:rsid w:val="00C947D9"/>
    <w:rsid w:val="00C94910"/>
    <w:rsid w:val="00C949B6"/>
    <w:rsid w:val="00C94BCB"/>
    <w:rsid w:val="00C94BE5"/>
    <w:rsid w:val="00C94BF1"/>
    <w:rsid w:val="00C94DEA"/>
    <w:rsid w:val="00C94F3B"/>
    <w:rsid w:val="00C94FE8"/>
    <w:rsid w:val="00C9511D"/>
    <w:rsid w:val="00C951F2"/>
    <w:rsid w:val="00C954D6"/>
    <w:rsid w:val="00C955ED"/>
    <w:rsid w:val="00C95746"/>
    <w:rsid w:val="00C957C9"/>
    <w:rsid w:val="00C9581E"/>
    <w:rsid w:val="00C958CE"/>
    <w:rsid w:val="00C95999"/>
    <w:rsid w:val="00C959A0"/>
    <w:rsid w:val="00C95CDF"/>
    <w:rsid w:val="00C95EAB"/>
    <w:rsid w:val="00C95ECF"/>
    <w:rsid w:val="00C9614B"/>
    <w:rsid w:val="00C96239"/>
    <w:rsid w:val="00C96257"/>
    <w:rsid w:val="00C9628B"/>
    <w:rsid w:val="00C9629D"/>
    <w:rsid w:val="00C962C4"/>
    <w:rsid w:val="00C96338"/>
    <w:rsid w:val="00C96369"/>
    <w:rsid w:val="00C964BB"/>
    <w:rsid w:val="00C965D4"/>
    <w:rsid w:val="00C96616"/>
    <w:rsid w:val="00C96713"/>
    <w:rsid w:val="00C967B7"/>
    <w:rsid w:val="00C967D6"/>
    <w:rsid w:val="00C96A89"/>
    <w:rsid w:val="00C96C52"/>
    <w:rsid w:val="00C96DBA"/>
    <w:rsid w:val="00C96E01"/>
    <w:rsid w:val="00C97020"/>
    <w:rsid w:val="00C970CC"/>
    <w:rsid w:val="00C97128"/>
    <w:rsid w:val="00C971CE"/>
    <w:rsid w:val="00C97399"/>
    <w:rsid w:val="00C975F8"/>
    <w:rsid w:val="00C97631"/>
    <w:rsid w:val="00C97896"/>
    <w:rsid w:val="00C978CB"/>
    <w:rsid w:val="00C978EC"/>
    <w:rsid w:val="00C97B1C"/>
    <w:rsid w:val="00C97D12"/>
    <w:rsid w:val="00C97D4F"/>
    <w:rsid w:val="00C97E8C"/>
    <w:rsid w:val="00C97EFD"/>
    <w:rsid w:val="00CA04AC"/>
    <w:rsid w:val="00CA04C6"/>
    <w:rsid w:val="00CA0742"/>
    <w:rsid w:val="00CA082F"/>
    <w:rsid w:val="00CA0835"/>
    <w:rsid w:val="00CA0B4F"/>
    <w:rsid w:val="00CA0E0F"/>
    <w:rsid w:val="00CA1344"/>
    <w:rsid w:val="00CA135E"/>
    <w:rsid w:val="00CA162E"/>
    <w:rsid w:val="00CA19B3"/>
    <w:rsid w:val="00CA1BF3"/>
    <w:rsid w:val="00CA1C5D"/>
    <w:rsid w:val="00CA1DA7"/>
    <w:rsid w:val="00CA1EB4"/>
    <w:rsid w:val="00CA21AD"/>
    <w:rsid w:val="00CA2362"/>
    <w:rsid w:val="00CA237B"/>
    <w:rsid w:val="00CA23F7"/>
    <w:rsid w:val="00CA26EA"/>
    <w:rsid w:val="00CA2736"/>
    <w:rsid w:val="00CA2787"/>
    <w:rsid w:val="00CA27A4"/>
    <w:rsid w:val="00CA2962"/>
    <w:rsid w:val="00CA2B1B"/>
    <w:rsid w:val="00CA2D4D"/>
    <w:rsid w:val="00CA2D4E"/>
    <w:rsid w:val="00CA2D66"/>
    <w:rsid w:val="00CA2FDA"/>
    <w:rsid w:val="00CA301A"/>
    <w:rsid w:val="00CA3160"/>
    <w:rsid w:val="00CA34FB"/>
    <w:rsid w:val="00CA3515"/>
    <w:rsid w:val="00CA365C"/>
    <w:rsid w:val="00CA379F"/>
    <w:rsid w:val="00CA3B28"/>
    <w:rsid w:val="00CA3B29"/>
    <w:rsid w:val="00CA3CE7"/>
    <w:rsid w:val="00CA3DC1"/>
    <w:rsid w:val="00CA4044"/>
    <w:rsid w:val="00CA4064"/>
    <w:rsid w:val="00CA4070"/>
    <w:rsid w:val="00CA40F2"/>
    <w:rsid w:val="00CA4146"/>
    <w:rsid w:val="00CA43FF"/>
    <w:rsid w:val="00CA4596"/>
    <w:rsid w:val="00CA467B"/>
    <w:rsid w:val="00CA4788"/>
    <w:rsid w:val="00CA49B6"/>
    <w:rsid w:val="00CA4A19"/>
    <w:rsid w:val="00CA4AC6"/>
    <w:rsid w:val="00CA4B53"/>
    <w:rsid w:val="00CA4C20"/>
    <w:rsid w:val="00CA4C23"/>
    <w:rsid w:val="00CA4DD2"/>
    <w:rsid w:val="00CA4EA2"/>
    <w:rsid w:val="00CA4F77"/>
    <w:rsid w:val="00CA51A7"/>
    <w:rsid w:val="00CA524B"/>
    <w:rsid w:val="00CA527A"/>
    <w:rsid w:val="00CA531D"/>
    <w:rsid w:val="00CA54D9"/>
    <w:rsid w:val="00CA5989"/>
    <w:rsid w:val="00CA5A90"/>
    <w:rsid w:val="00CA5B84"/>
    <w:rsid w:val="00CA5C2F"/>
    <w:rsid w:val="00CA5E4E"/>
    <w:rsid w:val="00CA5FAC"/>
    <w:rsid w:val="00CA603A"/>
    <w:rsid w:val="00CA61F9"/>
    <w:rsid w:val="00CA6438"/>
    <w:rsid w:val="00CA66F5"/>
    <w:rsid w:val="00CA6A7A"/>
    <w:rsid w:val="00CA6B2D"/>
    <w:rsid w:val="00CA6C99"/>
    <w:rsid w:val="00CA6DF8"/>
    <w:rsid w:val="00CA6F0B"/>
    <w:rsid w:val="00CA6FAC"/>
    <w:rsid w:val="00CA7240"/>
    <w:rsid w:val="00CA7306"/>
    <w:rsid w:val="00CA732B"/>
    <w:rsid w:val="00CA73E1"/>
    <w:rsid w:val="00CA73FC"/>
    <w:rsid w:val="00CA7488"/>
    <w:rsid w:val="00CA763D"/>
    <w:rsid w:val="00CA7689"/>
    <w:rsid w:val="00CA781F"/>
    <w:rsid w:val="00CA7AE5"/>
    <w:rsid w:val="00CA7B63"/>
    <w:rsid w:val="00CA7CBF"/>
    <w:rsid w:val="00CA7D44"/>
    <w:rsid w:val="00CA7E25"/>
    <w:rsid w:val="00CAE35C"/>
    <w:rsid w:val="00CB00B4"/>
    <w:rsid w:val="00CB018E"/>
    <w:rsid w:val="00CB02BF"/>
    <w:rsid w:val="00CB0477"/>
    <w:rsid w:val="00CB08F0"/>
    <w:rsid w:val="00CB0A20"/>
    <w:rsid w:val="00CB0B6A"/>
    <w:rsid w:val="00CB0E44"/>
    <w:rsid w:val="00CB1068"/>
    <w:rsid w:val="00CB11F2"/>
    <w:rsid w:val="00CB13C4"/>
    <w:rsid w:val="00CB13F3"/>
    <w:rsid w:val="00CB1450"/>
    <w:rsid w:val="00CB14A2"/>
    <w:rsid w:val="00CB14CE"/>
    <w:rsid w:val="00CB1663"/>
    <w:rsid w:val="00CB1678"/>
    <w:rsid w:val="00CB167B"/>
    <w:rsid w:val="00CB198A"/>
    <w:rsid w:val="00CB1B2E"/>
    <w:rsid w:val="00CB1C4C"/>
    <w:rsid w:val="00CB1FE4"/>
    <w:rsid w:val="00CB20D5"/>
    <w:rsid w:val="00CB21E2"/>
    <w:rsid w:val="00CB221B"/>
    <w:rsid w:val="00CB22E7"/>
    <w:rsid w:val="00CB234F"/>
    <w:rsid w:val="00CB2393"/>
    <w:rsid w:val="00CB24DA"/>
    <w:rsid w:val="00CB2727"/>
    <w:rsid w:val="00CB2801"/>
    <w:rsid w:val="00CB2B36"/>
    <w:rsid w:val="00CB2BDB"/>
    <w:rsid w:val="00CB2CB9"/>
    <w:rsid w:val="00CB2CC7"/>
    <w:rsid w:val="00CB2E90"/>
    <w:rsid w:val="00CB2FE0"/>
    <w:rsid w:val="00CB31B4"/>
    <w:rsid w:val="00CB342C"/>
    <w:rsid w:val="00CB361A"/>
    <w:rsid w:val="00CB362A"/>
    <w:rsid w:val="00CB36F9"/>
    <w:rsid w:val="00CB386B"/>
    <w:rsid w:val="00CB38E5"/>
    <w:rsid w:val="00CB3A3E"/>
    <w:rsid w:val="00CB3CE6"/>
    <w:rsid w:val="00CB3F74"/>
    <w:rsid w:val="00CB4192"/>
    <w:rsid w:val="00CB431F"/>
    <w:rsid w:val="00CB47AF"/>
    <w:rsid w:val="00CB4C9C"/>
    <w:rsid w:val="00CB4D5E"/>
    <w:rsid w:val="00CB4E4E"/>
    <w:rsid w:val="00CB4E6A"/>
    <w:rsid w:val="00CB4F2B"/>
    <w:rsid w:val="00CB51D3"/>
    <w:rsid w:val="00CB5392"/>
    <w:rsid w:val="00CB5408"/>
    <w:rsid w:val="00CB547B"/>
    <w:rsid w:val="00CB5C15"/>
    <w:rsid w:val="00CB5CF2"/>
    <w:rsid w:val="00CB5DED"/>
    <w:rsid w:val="00CB5DF1"/>
    <w:rsid w:val="00CB5E70"/>
    <w:rsid w:val="00CB5FF1"/>
    <w:rsid w:val="00CB600A"/>
    <w:rsid w:val="00CB620D"/>
    <w:rsid w:val="00CB622E"/>
    <w:rsid w:val="00CB64FB"/>
    <w:rsid w:val="00CB6797"/>
    <w:rsid w:val="00CB69D7"/>
    <w:rsid w:val="00CB6B9A"/>
    <w:rsid w:val="00CB6BA9"/>
    <w:rsid w:val="00CB6C21"/>
    <w:rsid w:val="00CB6C76"/>
    <w:rsid w:val="00CB6C7A"/>
    <w:rsid w:val="00CB6CA0"/>
    <w:rsid w:val="00CB6DD1"/>
    <w:rsid w:val="00CB6DF2"/>
    <w:rsid w:val="00CB7181"/>
    <w:rsid w:val="00CB7245"/>
    <w:rsid w:val="00CB749C"/>
    <w:rsid w:val="00CB75B1"/>
    <w:rsid w:val="00CB76BE"/>
    <w:rsid w:val="00CB76DD"/>
    <w:rsid w:val="00CB783B"/>
    <w:rsid w:val="00CB7A7E"/>
    <w:rsid w:val="00CB7A87"/>
    <w:rsid w:val="00CB7D06"/>
    <w:rsid w:val="00CB7D17"/>
    <w:rsid w:val="00CB7E98"/>
    <w:rsid w:val="00CC00C0"/>
    <w:rsid w:val="00CC0570"/>
    <w:rsid w:val="00CC0686"/>
    <w:rsid w:val="00CC0AFB"/>
    <w:rsid w:val="00CC0B2A"/>
    <w:rsid w:val="00CC0B51"/>
    <w:rsid w:val="00CC0E18"/>
    <w:rsid w:val="00CC1131"/>
    <w:rsid w:val="00CC143B"/>
    <w:rsid w:val="00CC145F"/>
    <w:rsid w:val="00CC152A"/>
    <w:rsid w:val="00CC17E9"/>
    <w:rsid w:val="00CC197B"/>
    <w:rsid w:val="00CC1A98"/>
    <w:rsid w:val="00CC1AF0"/>
    <w:rsid w:val="00CC1C22"/>
    <w:rsid w:val="00CC1DE5"/>
    <w:rsid w:val="00CC1F9E"/>
    <w:rsid w:val="00CC20D5"/>
    <w:rsid w:val="00CC211E"/>
    <w:rsid w:val="00CC217B"/>
    <w:rsid w:val="00CC27DE"/>
    <w:rsid w:val="00CC2840"/>
    <w:rsid w:val="00CC2A85"/>
    <w:rsid w:val="00CC2D37"/>
    <w:rsid w:val="00CC2E40"/>
    <w:rsid w:val="00CC2EEF"/>
    <w:rsid w:val="00CC2EFB"/>
    <w:rsid w:val="00CC2FA0"/>
    <w:rsid w:val="00CC3092"/>
    <w:rsid w:val="00CC309B"/>
    <w:rsid w:val="00CC31AB"/>
    <w:rsid w:val="00CC3A1D"/>
    <w:rsid w:val="00CC3BE5"/>
    <w:rsid w:val="00CC3E24"/>
    <w:rsid w:val="00CC436F"/>
    <w:rsid w:val="00CC4537"/>
    <w:rsid w:val="00CC4703"/>
    <w:rsid w:val="00CC4714"/>
    <w:rsid w:val="00CC4763"/>
    <w:rsid w:val="00CC4980"/>
    <w:rsid w:val="00CC4987"/>
    <w:rsid w:val="00CC49CD"/>
    <w:rsid w:val="00CC4D3F"/>
    <w:rsid w:val="00CC4E9F"/>
    <w:rsid w:val="00CC4FCE"/>
    <w:rsid w:val="00CC5278"/>
    <w:rsid w:val="00CC545B"/>
    <w:rsid w:val="00CC5593"/>
    <w:rsid w:val="00CC580B"/>
    <w:rsid w:val="00CC5980"/>
    <w:rsid w:val="00CC5B92"/>
    <w:rsid w:val="00CC5D22"/>
    <w:rsid w:val="00CC5DA8"/>
    <w:rsid w:val="00CC5E25"/>
    <w:rsid w:val="00CC63E4"/>
    <w:rsid w:val="00CC65CC"/>
    <w:rsid w:val="00CC6630"/>
    <w:rsid w:val="00CC6671"/>
    <w:rsid w:val="00CC6707"/>
    <w:rsid w:val="00CC686A"/>
    <w:rsid w:val="00CC6884"/>
    <w:rsid w:val="00CC690B"/>
    <w:rsid w:val="00CC6E20"/>
    <w:rsid w:val="00CC72E5"/>
    <w:rsid w:val="00CC7457"/>
    <w:rsid w:val="00CC7532"/>
    <w:rsid w:val="00CC7643"/>
    <w:rsid w:val="00CC76BA"/>
    <w:rsid w:val="00CC785F"/>
    <w:rsid w:val="00CC7E90"/>
    <w:rsid w:val="00CD017E"/>
    <w:rsid w:val="00CD01D0"/>
    <w:rsid w:val="00CD0253"/>
    <w:rsid w:val="00CD0458"/>
    <w:rsid w:val="00CD0488"/>
    <w:rsid w:val="00CD062F"/>
    <w:rsid w:val="00CD06EE"/>
    <w:rsid w:val="00CD079F"/>
    <w:rsid w:val="00CD0B25"/>
    <w:rsid w:val="00CD0B37"/>
    <w:rsid w:val="00CD0C22"/>
    <w:rsid w:val="00CD0D8C"/>
    <w:rsid w:val="00CD0E04"/>
    <w:rsid w:val="00CD0EC8"/>
    <w:rsid w:val="00CD1232"/>
    <w:rsid w:val="00CD1521"/>
    <w:rsid w:val="00CD1A72"/>
    <w:rsid w:val="00CD1B28"/>
    <w:rsid w:val="00CD1B7F"/>
    <w:rsid w:val="00CD1BE3"/>
    <w:rsid w:val="00CD1CFA"/>
    <w:rsid w:val="00CD1E18"/>
    <w:rsid w:val="00CD20E9"/>
    <w:rsid w:val="00CD21ED"/>
    <w:rsid w:val="00CD2230"/>
    <w:rsid w:val="00CD2234"/>
    <w:rsid w:val="00CD2235"/>
    <w:rsid w:val="00CD223E"/>
    <w:rsid w:val="00CD248A"/>
    <w:rsid w:val="00CD2625"/>
    <w:rsid w:val="00CD2682"/>
    <w:rsid w:val="00CD2C15"/>
    <w:rsid w:val="00CD2CF1"/>
    <w:rsid w:val="00CD2E28"/>
    <w:rsid w:val="00CD2E42"/>
    <w:rsid w:val="00CD2E99"/>
    <w:rsid w:val="00CD32FF"/>
    <w:rsid w:val="00CD3372"/>
    <w:rsid w:val="00CD3426"/>
    <w:rsid w:val="00CD3442"/>
    <w:rsid w:val="00CD35B3"/>
    <w:rsid w:val="00CD3638"/>
    <w:rsid w:val="00CD3AA0"/>
    <w:rsid w:val="00CD3BC4"/>
    <w:rsid w:val="00CD3CF6"/>
    <w:rsid w:val="00CD40EB"/>
    <w:rsid w:val="00CD41CE"/>
    <w:rsid w:val="00CD46F0"/>
    <w:rsid w:val="00CD496A"/>
    <w:rsid w:val="00CD49AD"/>
    <w:rsid w:val="00CD4AF5"/>
    <w:rsid w:val="00CD4D6B"/>
    <w:rsid w:val="00CD4D99"/>
    <w:rsid w:val="00CD4E8D"/>
    <w:rsid w:val="00CD5243"/>
    <w:rsid w:val="00CD5360"/>
    <w:rsid w:val="00CD550C"/>
    <w:rsid w:val="00CD56CC"/>
    <w:rsid w:val="00CD58A9"/>
    <w:rsid w:val="00CD595C"/>
    <w:rsid w:val="00CD5A6D"/>
    <w:rsid w:val="00CD5B7F"/>
    <w:rsid w:val="00CD5C8C"/>
    <w:rsid w:val="00CD5E72"/>
    <w:rsid w:val="00CD6130"/>
    <w:rsid w:val="00CD61A4"/>
    <w:rsid w:val="00CD6328"/>
    <w:rsid w:val="00CD6608"/>
    <w:rsid w:val="00CD6792"/>
    <w:rsid w:val="00CD67BF"/>
    <w:rsid w:val="00CD68A4"/>
    <w:rsid w:val="00CD6E41"/>
    <w:rsid w:val="00CD7071"/>
    <w:rsid w:val="00CD7134"/>
    <w:rsid w:val="00CD7250"/>
    <w:rsid w:val="00CD72ED"/>
    <w:rsid w:val="00CD7364"/>
    <w:rsid w:val="00CD73C7"/>
    <w:rsid w:val="00CD7449"/>
    <w:rsid w:val="00CD749F"/>
    <w:rsid w:val="00CD74B1"/>
    <w:rsid w:val="00CD7731"/>
    <w:rsid w:val="00CD7BDF"/>
    <w:rsid w:val="00CD7C13"/>
    <w:rsid w:val="00CD7CBC"/>
    <w:rsid w:val="00CD7E6A"/>
    <w:rsid w:val="00CD7E6B"/>
    <w:rsid w:val="00CE05B3"/>
    <w:rsid w:val="00CE09DB"/>
    <w:rsid w:val="00CE0A54"/>
    <w:rsid w:val="00CE13D6"/>
    <w:rsid w:val="00CE1850"/>
    <w:rsid w:val="00CE1856"/>
    <w:rsid w:val="00CE18B4"/>
    <w:rsid w:val="00CE1C73"/>
    <w:rsid w:val="00CE1C93"/>
    <w:rsid w:val="00CE1DFA"/>
    <w:rsid w:val="00CE1ED9"/>
    <w:rsid w:val="00CE1EF9"/>
    <w:rsid w:val="00CE20AA"/>
    <w:rsid w:val="00CE22ED"/>
    <w:rsid w:val="00CE2428"/>
    <w:rsid w:val="00CE2467"/>
    <w:rsid w:val="00CE24EF"/>
    <w:rsid w:val="00CE266A"/>
    <w:rsid w:val="00CE29ED"/>
    <w:rsid w:val="00CE2A1C"/>
    <w:rsid w:val="00CE2A2A"/>
    <w:rsid w:val="00CE2A99"/>
    <w:rsid w:val="00CE2B27"/>
    <w:rsid w:val="00CE2B28"/>
    <w:rsid w:val="00CE2C76"/>
    <w:rsid w:val="00CE32A3"/>
    <w:rsid w:val="00CE3400"/>
    <w:rsid w:val="00CE3A05"/>
    <w:rsid w:val="00CE3AF3"/>
    <w:rsid w:val="00CE3CA8"/>
    <w:rsid w:val="00CE3CC4"/>
    <w:rsid w:val="00CE3EF7"/>
    <w:rsid w:val="00CE42CE"/>
    <w:rsid w:val="00CE4448"/>
    <w:rsid w:val="00CE44DB"/>
    <w:rsid w:val="00CE4526"/>
    <w:rsid w:val="00CE457E"/>
    <w:rsid w:val="00CE45D5"/>
    <w:rsid w:val="00CE461E"/>
    <w:rsid w:val="00CE4A18"/>
    <w:rsid w:val="00CE4AFB"/>
    <w:rsid w:val="00CE4BD1"/>
    <w:rsid w:val="00CE4C20"/>
    <w:rsid w:val="00CE4E33"/>
    <w:rsid w:val="00CE4E55"/>
    <w:rsid w:val="00CE4F35"/>
    <w:rsid w:val="00CE50AF"/>
    <w:rsid w:val="00CE52AD"/>
    <w:rsid w:val="00CE53A4"/>
    <w:rsid w:val="00CE5416"/>
    <w:rsid w:val="00CE575F"/>
    <w:rsid w:val="00CE5760"/>
    <w:rsid w:val="00CE599A"/>
    <w:rsid w:val="00CE5BA6"/>
    <w:rsid w:val="00CE5E1A"/>
    <w:rsid w:val="00CE6043"/>
    <w:rsid w:val="00CE625F"/>
    <w:rsid w:val="00CE6833"/>
    <w:rsid w:val="00CE68AF"/>
    <w:rsid w:val="00CE692F"/>
    <w:rsid w:val="00CE69E1"/>
    <w:rsid w:val="00CE6C85"/>
    <w:rsid w:val="00CE6D21"/>
    <w:rsid w:val="00CE6D2B"/>
    <w:rsid w:val="00CE6EBF"/>
    <w:rsid w:val="00CE7340"/>
    <w:rsid w:val="00CE736A"/>
    <w:rsid w:val="00CE73E4"/>
    <w:rsid w:val="00CE7403"/>
    <w:rsid w:val="00CE7653"/>
    <w:rsid w:val="00CE77EE"/>
    <w:rsid w:val="00CE7A21"/>
    <w:rsid w:val="00CE7A82"/>
    <w:rsid w:val="00CE7AE8"/>
    <w:rsid w:val="00CE7B27"/>
    <w:rsid w:val="00CE7C71"/>
    <w:rsid w:val="00CE7DAC"/>
    <w:rsid w:val="00CE7DF3"/>
    <w:rsid w:val="00CE7E40"/>
    <w:rsid w:val="00CE7EC2"/>
    <w:rsid w:val="00CF0225"/>
    <w:rsid w:val="00CF022F"/>
    <w:rsid w:val="00CF0249"/>
    <w:rsid w:val="00CF0409"/>
    <w:rsid w:val="00CF0506"/>
    <w:rsid w:val="00CF0630"/>
    <w:rsid w:val="00CF0772"/>
    <w:rsid w:val="00CF093A"/>
    <w:rsid w:val="00CF0A05"/>
    <w:rsid w:val="00CF0A64"/>
    <w:rsid w:val="00CF0B07"/>
    <w:rsid w:val="00CF0C97"/>
    <w:rsid w:val="00CF0EDC"/>
    <w:rsid w:val="00CF0F6F"/>
    <w:rsid w:val="00CF1045"/>
    <w:rsid w:val="00CF106D"/>
    <w:rsid w:val="00CF1223"/>
    <w:rsid w:val="00CF12B3"/>
    <w:rsid w:val="00CF1313"/>
    <w:rsid w:val="00CF14C9"/>
    <w:rsid w:val="00CF1568"/>
    <w:rsid w:val="00CF1608"/>
    <w:rsid w:val="00CF1860"/>
    <w:rsid w:val="00CF1C22"/>
    <w:rsid w:val="00CF1C97"/>
    <w:rsid w:val="00CF1DD8"/>
    <w:rsid w:val="00CF1E53"/>
    <w:rsid w:val="00CF1FF5"/>
    <w:rsid w:val="00CF2031"/>
    <w:rsid w:val="00CF246E"/>
    <w:rsid w:val="00CF25F7"/>
    <w:rsid w:val="00CF2689"/>
    <w:rsid w:val="00CF272C"/>
    <w:rsid w:val="00CF282A"/>
    <w:rsid w:val="00CF2881"/>
    <w:rsid w:val="00CF29EE"/>
    <w:rsid w:val="00CF2AFC"/>
    <w:rsid w:val="00CF2BFC"/>
    <w:rsid w:val="00CF2D27"/>
    <w:rsid w:val="00CF2F7A"/>
    <w:rsid w:val="00CF3431"/>
    <w:rsid w:val="00CF36B9"/>
    <w:rsid w:val="00CF37A0"/>
    <w:rsid w:val="00CF385B"/>
    <w:rsid w:val="00CF3873"/>
    <w:rsid w:val="00CF3A3A"/>
    <w:rsid w:val="00CF3C2A"/>
    <w:rsid w:val="00CF3C41"/>
    <w:rsid w:val="00CF3D77"/>
    <w:rsid w:val="00CF3F49"/>
    <w:rsid w:val="00CF3F9A"/>
    <w:rsid w:val="00CF4257"/>
    <w:rsid w:val="00CF4502"/>
    <w:rsid w:val="00CF47F9"/>
    <w:rsid w:val="00CF48AE"/>
    <w:rsid w:val="00CF4AB9"/>
    <w:rsid w:val="00CF4D3B"/>
    <w:rsid w:val="00CF4DA1"/>
    <w:rsid w:val="00CF5145"/>
    <w:rsid w:val="00CF52AC"/>
    <w:rsid w:val="00CF5382"/>
    <w:rsid w:val="00CF53AB"/>
    <w:rsid w:val="00CF55D4"/>
    <w:rsid w:val="00CF56A6"/>
    <w:rsid w:val="00CF5915"/>
    <w:rsid w:val="00CF599B"/>
    <w:rsid w:val="00CF5A80"/>
    <w:rsid w:val="00CF5B1C"/>
    <w:rsid w:val="00CF5CDD"/>
    <w:rsid w:val="00CF5EF4"/>
    <w:rsid w:val="00CF5F4A"/>
    <w:rsid w:val="00CF5FEA"/>
    <w:rsid w:val="00CF600A"/>
    <w:rsid w:val="00CF60A4"/>
    <w:rsid w:val="00CF60CC"/>
    <w:rsid w:val="00CF612D"/>
    <w:rsid w:val="00CF6195"/>
    <w:rsid w:val="00CF6340"/>
    <w:rsid w:val="00CF65A1"/>
    <w:rsid w:val="00CF6656"/>
    <w:rsid w:val="00CF67D9"/>
    <w:rsid w:val="00CF6950"/>
    <w:rsid w:val="00CF695B"/>
    <w:rsid w:val="00CF69DE"/>
    <w:rsid w:val="00CF6A87"/>
    <w:rsid w:val="00CF6BE8"/>
    <w:rsid w:val="00CF6C1C"/>
    <w:rsid w:val="00CF6CB0"/>
    <w:rsid w:val="00CF6DE8"/>
    <w:rsid w:val="00CF6F74"/>
    <w:rsid w:val="00CF7014"/>
    <w:rsid w:val="00CF708F"/>
    <w:rsid w:val="00CF72BC"/>
    <w:rsid w:val="00CF747A"/>
    <w:rsid w:val="00CF7581"/>
    <w:rsid w:val="00CF76D0"/>
    <w:rsid w:val="00CF770C"/>
    <w:rsid w:val="00CF7C6E"/>
    <w:rsid w:val="00CF7CBA"/>
    <w:rsid w:val="00CF7EF2"/>
    <w:rsid w:val="00D00056"/>
    <w:rsid w:val="00D000E0"/>
    <w:rsid w:val="00D002CE"/>
    <w:rsid w:val="00D004DD"/>
    <w:rsid w:val="00D00526"/>
    <w:rsid w:val="00D007B7"/>
    <w:rsid w:val="00D00853"/>
    <w:rsid w:val="00D00A0B"/>
    <w:rsid w:val="00D00B02"/>
    <w:rsid w:val="00D00F35"/>
    <w:rsid w:val="00D01041"/>
    <w:rsid w:val="00D012B9"/>
    <w:rsid w:val="00D014E6"/>
    <w:rsid w:val="00D015B9"/>
    <w:rsid w:val="00D016D4"/>
    <w:rsid w:val="00D017F2"/>
    <w:rsid w:val="00D01919"/>
    <w:rsid w:val="00D01948"/>
    <w:rsid w:val="00D01B67"/>
    <w:rsid w:val="00D01D25"/>
    <w:rsid w:val="00D01FE9"/>
    <w:rsid w:val="00D02026"/>
    <w:rsid w:val="00D02145"/>
    <w:rsid w:val="00D022A5"/>
    <w:rsid w:val="00D0281D"/>
    <w:rsid w:val="00D02823"/>
    <w:rsid w:val="00D02826"/>
    <w:rsid w:val="00D02993"/>
    <w:rsid w:val="00D02A7E"/>
    <w:rsid w:val="00D02B3F"/>
    <w:rsid w:val="00D02BBA"/>
    <w:rsid w:val="00D02D70"/>
    <w:rsid w:val="00D03078"/>
    <w:rsid w:val="00D031EE"/>
    <w:rsid w:val="00D031F2"/>
    <w:rsid w:val="00D034D9"/>
    <w:rsid w:val="00D0356E"/>
    <w:rsid w:val="00D03601"/>
    <w:rsid w:val="00D036EA"/>
    <w:rsid w:val="00D03725"/>
    <w:rsid w:val="00D039A8"/>
    <w:rsid w:val="00D039CC"/>
    <w:rsid w:val="00D03AC2"/>
    <w:rsid w:val="00D03D9F"/>
    <w:rsid w:val="00D03FD8"/>
    <w:rsid w:val="00D04001"/>
    <w:rsid w:val="00D04143"/>
    <w:rsid w:val="00D04357"/>
    <w:rsid w:val="00D04628"/>
    <w:rsid w:val="00D0477D"/>
    <w:rsid w:val="00D047EE"/>
    <w:rsid w:val="00D04847"/>
    <w:rsid w:val="00D049E6"/>
    <w:rsid w:val="00D04AF5"/>
    <w:rsid w:val="00D04F96"/>
    <w:rsid w:val="00D05241"/>
    <w:rsid w:val="00D0527B"/>
    <w:rsid w:val="00D052EC"/>
    <w:rsid w:val="00D05420"/>
    <w:rsid w:val="00D05478"/>
    <w:rsid w:val="00D057B8"/>
    <w:rsid w:val="00D05947"/>
    <w:rsid w:val="00D05A16"/>
    <w:rsid w:val="00D0602E"/>
    <w:rsid w:val="00D061B0"/>
    <w:rsid w:val="00D0623A"/>
    <w:rsid w:val="00D06415"/>
    <w:rsid w:val="00D06432"/>
    <w:rsid w:val="00D064F1"/>
    <w:rsid w:val="00D065CB"/>
    <w:rsid w:val="00D066E0"/>
    <w:rsid w:val="00D06962"/>
    <w:rsid w:val="00D06EA4"/>
    <w:rsid w:val="00D06FE3"/>
    <w:rsid w:val="00D071AD"/>
    <w:rsid w:val="00D07479"/>
    <w:rsid w:val="00D0747A"/>
    <w:rsid w:val="00D075F8"/>
    <w:rsid w:val="00D076FE"/>
    <w:rsid w:val="00D07722"/>
    <w:rsid w:val="00D07ACC"/>
    <w:rsid w:val="00D07BBB"/>
    <w:rsid w:val="00D07CE1"/>
    <w:rsid w:val="00D07DE1"/>
    <w:rsid w:val="00D07E61"/>
    <w:rsid w:val="00D10045"/>
    <w:rsid w:val="00D1006A"/>
    <w:rsid w:val="00D10119"/>
    <w:rsid w:val="00D10386"/>
    <w:rsid w:val="00D1046C"/>
    <w:rsid w:val="00D107C0"/>
    <w:rsid w:val="00D108C7"/>
    <w:rsid w:val="00D109A8"/>
    <w:rsid w:val="00D109E1"/>
    <w:rsid w:val="00D10A07"/>
    <w:rsid w:val="00D10A76"/>
    <w:rsid w:val="00D10F40"/>
    <w:rsid w:val="00D10F48"/>
    <w:rsid w:val="00D11488"/>
    <w:rsid w:val="00D11620"/>
    <w:rsid w:val="00D1171E"/>
    <w:rsid w:val="00D11763"/>
    <w:rsid w:val="00D118AF"/>
    <w:rsid w:val="00D118E0"/>
    <w:rsid w:val="00D11C39"/>
    <w:rsid w:val="00D127E9"/>
    <w:rsid w:val="00D12DF7"/>
    <w:rsid w:val="00D1305F"/>
    <w:rsid w:val="00D13110"/>
    <w:rsid w:val="00D132B2"/>
    <w:rsid w:val="00D13430"/>
    <w:rsid w:val="00D136C5"/>
    <w:rsid w:val="00D13719"/>
    <w:rsid w:val="00D1399A"/>
    <w:rsid w:val="00D13B1D"/>
    <w:rsid w:val="00D13BE0"/>
    <w:rsid w:val="00D13BE9"/>
    <w:rsid w:val="00D13BF1"/>
    <w:rsid w:val="00D13C14"/>
    <w:rsid w:val="00D13CE5"/>
    <w:rsid w:val="00D13D5A"/>
    <w:rsid w:val="00D13DDA"/>
    <w:rsid w:val="00D13ED9"/>
    <w:rsid w:val="00D1451A"/>
    <w:rsid w:val="00D1469F"/>
    <w:rsid w:val="00D14834"/>
    <w:rsid w:val="00D14993"/>
    <w:rsid w:val="00D14AD5"/>
    <w:rsid w:val="00D14BF5"/>
    <w:rsid w:val="00D14CA1"/>
    <w:rsid w:val="00D14CF1"/>
    <w:rsid w:val="00D14E00"/>
    <w:rsid w:val="00D14E23"/>
    <w:rsid w:val="00D1506B"/>
    <w:rsid w:val="00D1516C"/>
    <w:rsid w:val="00D151ED"/>
    <w:rsid w:val="00D1522F"/>
    <w:rsid w:val="00D15311"/>
    <w:rsid w:val="00D15526"/>
    <w:rsid w:val="00D155F4"/>
    <w:rsid w:val="00D15726"/>
    <w:rsid w:val="00D15894"/>
    <w:rsid w:val="00D15944"/>
    <w:rsid w:val="00D15A98"/>
    <w:rsid w:val="00D15C64"/>
    <w:rsid w:val="00D15DD3"/>
    <w:rsid w:val="00D15FCF"/>
    <w:rsid w:val="00D16075"/>
    <w:rsid w:val="00D16093"/>
    <w:rsid w:val="00D162A0"/>
    <w:rsid w:val="00D163C3"/>
    <w:rsid w:val="00D163F3"/>
    <w:rsid w:val="00D16723"/>
    <w:rsid w:val="00D168B3"/>
    <w:rsid w:val="00D16AE5"/>
    <w:rsid w:val="00D16D3B"/>
    <w:rsid w:val="00D170DA"/>
    <w:rsid w:val="00D172F5"/>
    <w:rsid w:val="00D1737D"/>
    <w:rsid w:val="00D175D8"/>
    <w:rsid w:val="00D17A38"/>
    <w:rsid w:val="00D17A49"/>
    <w:rsid w:val="00D17B8B"/>
    <w:rsid w:val="00D17E73"/>
    <w:rsid w:val="00D17F09"/>
    <w:rsid w:val="00D17FE9"/>
    <w:rsid w:val="00D2044D"/>
    <w:rsid w:val="00D20618"/>
    <w:rsid w:val="00D20705"/>
    <w:rsid w:val="00D2070D"/>
    <w:rsid w:val="00D20746"/>
    <w:rsid w:val="00D2084B"/>
    <w:rsid w:val="00D208B9"/>
    <w:rsid w:val="00D20982"/>
    <w:rsid w:val="00D20983"/>
    <w:rsid w:val="00D20999"/>
    <w:rsid w:val="00D209FE"/>
    <w:rsid w:val="00D20B4B"/>
    <w:rsid w:val="00D20C4E"/>
    <w:rsid w:val="00D20D54"/>
    <w:rsid w:val="00D20E3A"/>
    <w:rsid w:val="00D211E5"/>
    <w:rsid w:val="00D212E9"/>
    <w:rsid w:val="00D2131C"/>
    <w:rsid w:val="00D213A7"/>
    <w:rsid w:val="00D2143F"/>
    <w:rsid w:val="00D21526"/>
    <w:rsid w:val="00D216C2"/>
    <w:rsid w:val="00D219EC"/>
    <w:rsid w:val="00D21AC1"/>
    <w:rsid w:val="00D21D25"/>
    <w:rsid w:val="00D21DDA"/>
    <w:rsid w:val="00D22076"/>
    <w:rsid w:val="00D224F2"/>
    <w:rsid w:val="00D2252D"/>
    <w:rsid w:val="00D22575"/>
    <w:rsid w:val="00D2269C"/>
    <w:rsid w:val="00D22746"/>
    <w:rsid w:val="00D22B13"/>
    <w:rsid w:val="00D22CFA"/>
    <w:rsid w:val="00D22D84"/>
    <w:rsid w:val="00D22DC6"/>
    <w:rsid w:val="00D22E78"/>
    <w:rsid w:val="00D23147"/>
    <w:rsid w:val="00D23266"/>
    <w:rsid w:val="00D23653"/>
    <w:rsid w:val="00D236BF"/>
    <w:rsid w:val="00D238D7"/>
    <w:rsid w:val="00D23B2F"/>
    <w:rsid w:val="00D23BA0"/>
    <w:rsid w:val="00D23FC2"/>
    <w:rsid w:val="00D23FE1"/>
    <w:rsid w:val="00D23FFF"/>
    <w:rsid w:val="00D24292"/>
    <w:rsid w:val="00D2451C"/>
    <w:rsid w:val="00D2471E"/>
    <w:rsid w:val="00D24822"/>
    <w:rsid w:val="00D248D5"/>
    <w:rsid w:val="00D24A15"/>
    <w:rsid w:val="00D24F3E"/>
    <w:rsid w:val="00D25267"/>
    <w:rsid w:val="00D25486"/>
    <w:rsid w:val="00D255B9"/>
    <w:rsid w:val="00D255D2"/>
    <w:rsid w:val="00D257F3"/>
    <w:rsid w:val="00D25960"/>
    <w:rsid w:val="00D25B56"/>
    <w:rsid w:val="00D25C5F"/>
    <w:rsid w:val="00D25F81"/>
    <w:rsid w:val="00D2612F"/>
    <w:rsid w:val="00D26487"/>
    <w:rsid w:val="00D26577"/>
    <w:rsid w:val="00D2666F"/>
    <w:rsid w:val="00D26875"/>
    <w:rsid w:val="00D268F6"/>
    <w:rsid w:val="00D2698D"/>
    <w:rsid w:val="00D27121"/>
    <w:rsid w:val="00D2719F"/>
    <w:rsid w:val="00D27396"/>
    <w:rsid w:val="00D27611"/>
    <w:rsid w:val="00D2776C"/>
    <w:rsid w:val="00D2780B"/>
    <w:rsid w:val="00D27C65"/>
    <w:rsid w:val="00D27E3B"/>
    <w:rsid w:val="00D27E59"/>
    <w:rsid w:val="00D27EFD"/>
    <w:rsid w:val="00D27F9C"/>
    <w:rsid w:val="00D27FD7"/>
    <w:rsid w:val="00D30167"/>
    <w:rsid w:val="00D3024C"/>
    <w:rsid w:val="00D302EC"/>
    <w:rsid w:val="00D306F6"/>
    <w:rsid w:val="00D3078A"/>
    <w:rsid w:val="00D3080A"/>
    <w:rsid w:val="00D3081A"/>
    <w:rsid w:val="00D30B3B"/>
    <w:rsid w:val="00D30DB7"/>
    <w:rsid w:val="00D3104E"/>
    <w:rsid w:val="00D311B2"/>
    <w:rsid w:val="00D312F2"/>
    <w:rsid w:val="00D31538"/>
    <w:rsid w:val="00D3163A"/>
    <w:rsid w:val="00D3183C"/>
    <w:rsid w:val="00D318E8"/>
    <w:rsid w:val="00D31C5D"/>
    <w:rsid w:val="00D31C67"/>
    <w:rsid w:val="00D31CCC"/>
    <w:rsid w:val="00D32164"/>
    <w:rsid w:val="00D3238F"/>
    <w:rsid w:val="00D323A4"/>
    <w:rsid w:val="00D3282C"/>
    <w:rsid w:val="00D328AC"/>
    <w:rsid w:val="00D32908"/>
    <w:rsid w:val="00D32E39"/>
    <w:rsid w:val="00D32F3E"/>
    <w:rsid w:val="00D32FDD"/>
    <w:rsid w:val="00D33083"/>
    <w:rsid w:val="00D33096"/>
    <w:rsid w:val="00D33273"/>
    <w:rsid w:val="00D33375"/>
    <w:rsid w:val="00D3363C"/>
    <w:rsid w:val="00D33661"/>
    <w:rsid w:val="00D33897"/>
    <w:rsid w:val="00D33AD3"/>
    <w:rsid w:val="00D33D29"/>
    <w:rsid w:val="00D33E3B"/>
    <w:rsid w:val="00D33E7E"/>
    <w:rsid w:val="00D34033"/>
    <w:rsid w:val="00D3423C"/>
    <w:rsid w:val="00D34275"/>
    <w:rsid w:val="00D3449D"/>
    <w:rsid w:val="00D344EA"/>
    <w:rsid w:val="00D346DA"/>
    <w:rsid w:val="00D3471F"/>
    <w:rsid w:val="00D348CA"/>
    <w:rsid w:val="00D3498E"/>
    <w:rsid w:val="00D34D11"/>
    <w:rsid w:val="00D35054"/>
    <w:rsid w:val="00D35087"/>
    <w:rsid w:val="00D351A7"/>
    <w:rsid w:val="00D35412"/>
    <w:rsid w:val="00D3541A"/>
    <w:rsid w:val="00D35569"/>
    <w:rsid w:val="00D356E9"/>
    <w:rsid w:val="00D35871"/>
    <w:rsid w:val="00D35914"/>
    <w:rsid w:val="00D35CBC"/>
    <w:rsid w:val="00D35E0D"/>
    <w:rsid w:val="00D363FE"/>
    <w:rsid w:val="00D364C5"/>
    <w:rsid w:val="00D3656D"/>
    <w:rsid w:val="00D36778"/>
    <w:rsid w:val="00D367D6"/>
    <w:rsid w:val="00D36AC6"/>
    <w:rsid w:val="00D36B38"/>
    <w:rsid w:val="00D36C04"/>
    <w:rsid w:val="00D36C1A"/>
    <w:rsid w:val="00D3706A"/>
    <w:rsid w:val="00D3714F"/>
    <w:rsid w:val="00D37159"/>
    <w:rsid w:val="00D3725B"/>
    <w:rsid w:val="00D372BF"/>
    <w:rsid w:val="00D3745C"/>
    <w:rsid w:val="00D37583"/>
    <w:rsid w:val="00D375AB"/>
    <w:rsid w:val="00D3765E"/>
    <w:rsid w:val="00D379B8"/>
    <w:rsid w:val="00D40049"/>
    <w:rsid w:val="00D4010E"/>
    <w:rsid w:val="00D4021A"/>
    <w:rsid w:val="00D404D9"/>
    <w:rsid w:val="00D407CA"/>
    <w:rsid w:val="00D40803"/>
    <w:rsid w:val="00D40D33"/>
    <w:rsid w:val="00D40DDC"/>
    <w:rsid w:val="00D411BD"/>
    <w:rsid w:val="00D4154F"/>
    <w:rsid w:val="00D41571"/>
    <w:rsid w:val="00D417DE"/>
    <w:rsid w:val="00D418A4"/>
    <w:rsid w:val="00D418A8"/>
    <w:rsid w:val="00D41917"/>
    <w:rsid w:val="00D419CF"/>
    <w:rsid w:val="00D41A96"/>
    <w:rsid w:val="00D41AAC"/>
    <w:rsid w:val="00D41BDD"/>
    <w:rsid w:val="00D41BE8"/>
    <w:rsid w:val="00D41DB7"/>
    <w:rsid w:val="00D41E62"/>
    <w:rsid w:val="00D41E7C"/>
    <w:rsid w:val="00D41F37"/>
    <w:rsid w:val="00D41FEA"/>
    <w:rsid w:val="00D423F0"/>
    <w:rsid w:val="00D429E9"/>
    <w:rsid w:val="00D429F6"/>
    <w:rsid w:val="00D42AE2"/>
    <w:rsid w:val="00D42BEE"/>
    <w:rsid w:val="00D42CA0"/>
    <w:rsid w:val="00D42CA3"/>
    <w:rsid w:val="00D4356C"/>
    <w:rsid w:val="00D437AB"/>
    <w:rsid w:val="00D437E3"/>
    <w:rsid w:val="00D43935"/>
    <w:rsid w:val="00D439BB"/>
    <w:rsid w:val="00D43B7F"/>
    <w:rsid w:val="00D43DAB"/>
    <w:rsid w:val="00D43E25"/>
    <w:rsid w:val="00D4402C"/>
    <w:rsid w:val="00D44068"/>
    <w:rsid w:val="00D44105"/>
    <w:rsid w:val="00D443EA"/>
    <w:rsid w:val="00D4464D"/>
    <w:rsid w:val="00D446F6"/>
    <w:rsid w:val="00D447FA"/>
    <w:rsid w:val="00D44987"/>
    <w:rsid w:val="00D44A18"/>
    <w:rsid w:val="00D44C2D"/>
    <w:rsid w:val="00D44CA9"/>
    <w:rsid w:val="00D44CFB"/>
    <w:rsid w:val="00D44D6F"/>
    <w:rsid w:val="00D44EB5"/>
    <w:rsid w:val="00D4505C"/>
    <w:rsid w:val="00D4528A"/>
    <w:rsid w:val="00D45524"/>
    <w:rsid w:val="00D455F0"/>
    <w:rsid w:val="00D45602"/>
    <w:rsid w:val="00D45739"/>
    <w:rsid w:val="00D459B3"/>
    <w:rsid w:val="00D45A2A"/>
    <w:rsid w:val="00D45D2F"/>
    <w:rsid w:val="00D45D3D"/>
    <w:rsid w:val="00D45D77"/>
    <w:rsid w:val="00D45FF1"/>
    <w:rsid w:val="00D463AD"/>
    <w:rsid w:val="00D46524"/>
    <w:rsid w:val="00D46587"/>
    <w:rsid w:val="00D46998"/>
    <w:rsid w:val="00D46A33"/>
    <w:rsid w:val="00D46B57"/>
    <w:rsid w:val="00D46BE1"/>
    <w:rsid w:val="00D46DD8"/>
    <w:rsid w:val="00D47175"/>
    <w:rsid w:val="00D4725C"/>
    <w:rsid w:val="00D4742E"/>
    <w:rsid w:val="00D474D8"/>
    <w:rsid w:val="00D47549"/>
    <w:rsid w:val="00D475EB"/>
    <w:rsid w:val="00D47B96"/>
    <w:rsid w:val="00D47D1D"/>
    <w:rsid w:val="00D47E61"/>
    <w:rsid w:val="00D47F00"/>
    <w:rsid w:val="00D5000B"/>
    <w:rsid w:val="00D501CA"/>
    <w:rsid w:val="00D501CF"/>
    <w:rsid w:val="00D502D8"/>
    <w:rsid w:val="00D502F0"/>
    <w:rsid w:val="00D50385"/>
    <w:rsid w:val="00D5042F"/>
    <w:rsid w:val="00D505EB"/>
    <w:rsid w:val="00D50691"/>
    <w:rsid w:val="00D5075B"/>
    <w:rsid w:val="00D5081B"/>
    <w:rsid w:val="00D50BE5"/>
    <w:rsid w:val="00D50C37"/>
    <w:rsid w:val="00D50ED5"/>
    <w:rsid w:val="00D50F8E"/>
    <w:rsid w:val="00D50FB8"/>
    <w:rsid w:val="00D510FC"/>
    <w:rsid w:val="00D517AE"/>
    <w:rsid w:val="00D519E5"/>
    <w:rsid w:val="00D51A27"/>
    <w:rsid w:val="00D51AF2"/>
    <w:rsid w:val="00D51B76"/>
    <w:rsid w:val="00D51E0D"/>
    <w:rsid w:val="00D51EA0"/>
    <w:rsid w:val="00D51F13"/>
    <w:rsid w:val="00D51FD5"/>
    <w:rsid w:val="00D522F9"/>
    <w:rsid w:val="00D52631"/>
    <w:rsid w:val="00D527D2"/>
    <w:rsid w:val="00D5285B"/>
    <w:rsid w:val="00D52961"/>
    <w:rsid w:val="00D52970"/>
    <w:rsid w:val="00D52983"/>
    <w:rsid w:val="00D52A62"/>
    <w:rsid w:val="00D52B15"/>
    <w:rsid w:val="00D52DAF"/>
    <w:rsid w:val="00D52DBB"/>
    <w:rsid w:val="00D53361"/>
    <w:rsid w:val="00D5337A"/>
    <w:rsid w:val="00D5338E"/>
    <w:rsid w:val="00D533FC"/>
    <w:rsid w:val="00D537BD"/>
    <w:rsid w:val="00D53A1A"/>
    <w:rsid w:val="00D53A91"/>
    <w:rsid w:val="00D53B5B"/>
    <w:rsid w:val="00D53D62"/>
    <w:rsid w:val="00D53E6F"/>
    <w:rsid w:val="00D54201"/>
    <w:rsid w:val="00D54248"/>
    <w:rsid w:val="00D5436F"/>
    <w:rsid w:val="00D543FB"/>
    <w:rsid w:val="00D5475B"/>
    <w:rsid w:val="00D5478A"/>
    <w:rsid w:val="00D54B77"/>
    <w:rsid w:val="00D54C01"/>
    <w:rsid w:val="00D54DE6"/>
    <w:rsid w:val="00D55029"/>
    <w:rsid w:val="00D550E6"/>
    <w:rsid w:val="00D55190"/>
    <w:rsid w:val="00D555C3"/>
    <w:rsid w:val="00D5563E"/>
    <w:rsid w:val="00D55699"/>
    <w:rsid w:val="00D55788"/>
    <w:rsid w:val="00D55826"/>
    <w:rsid w:val="00D559A4"/>
    <w:rsid w:val="00D55BD4"/>
    <w:rsid w:val="00D55CCC"/>
    <w:rsid w:val="00D55E07"/>
    <w:rsid w:val="00D55E6D"/>
    <w:rsid w:val="00D56012"/>
    <w:rsid w:val="00D56085"/>
    <w:rsid w:val="00D5613E"/>
    <w:rsid w:val="00D5614E"/>
    <w:rsid w:val="00D56208"/>
    <w:rsid w:val="00D56237"/>
    <w:rsid w:val="00D56389"/>
    <w:rsid w:val="00D56441"/>
    <w:rsid w:val="00D56456"/>
    <w:rsid w:val="00D56A35"/>
    <w:rsid w:val="00D56C7C"/>
    <w:rsid w:val="00D56D6E"/>
    <w:rsid w:val="00D56D9A"/>
    <w:rsid w:val="00D56DB9"/>
    <w:rsid w:val="00D56E9C"/>
    <w:rsid w:val="00D56FAC"/>
    <w:rsid w:val="00D56FE2"/>
    <w:rsid w:val="00D57187"/>
    <w:rsid w:val="00D572A8"/>
    <w:rsid w:val="00D572CE"/>
    <w:rsid w:val="00D5766A"/>
    <w:rsid w:val="00D57694"/>
    <w:rsid w:val="00D57DD2"/>
    <w:rsid w:val="00D57E55"/>
    <w:rsid w:val="00D57E85"/>
    <w:rsid w:val="00D57F97"/>
    <w:rsid w:val="00D57FC2"/>
    <w:rsid w:val="00D600B0"/>
    <w:rsid w:val="00D60220"/>
    <w:rsid w:val="00D60268"/>
    <w:rsid w:val="00D60382"/>
    <w:rsid w:val="00D604F9"/>
    <w:rsid w:val="00D605D9"/>
    <w:rsid w:val="00D60667"/>
    <w:rsid w:val="00D606EB"/>
    <w:rsid w:val="00D607CF"/>
    <w:rsid w:val="00D60829"/>
    <w:rsid w:val="00D60B73"/>
    <w:rsid w:val="00D60ECA"/>
    <w:rsid w:val="00D610D8"/>
    <w:rsid w:val="00D61153"/>
    <w:rsid w:val="00D61181"/>
    <w:rsid w:val="00D6140F"/>
    <w:rsid w:val="00D6150A"/>
    <w:rsid w:val="00D61514"/>
    <w:rsid w:val="00D61722"/>
    <w:rsid w:val="00D61723"/>
    <w:rsid w:val="00D619C4"/>
    <w:rsid w:val="00D61AFB"/>
    <w:rsid w:val="00D61B06"/>
    <w:rsid w:val="00D61B8E"/>
    <w:rsid w:val="00D61EA3"/>
    <w:rsid w:val="00D61F8E"/>
    <w:rsid w:val="00D61FDB"/>
    <w:rsid w:val="00D6209F"/>
    <w:rsid w:val="00D620DE"/>
    <w:rsid w:val="00D6212D"/>
    <w:rsid w:val="00D62205"/>
    <w:rsid w:val="00D622CB"/>
    <w:rsid w:val="00D62582"/>
    <w:rsid w:val="00D62701"/>
    <w:rsid w:val="00D6281C"/>
    <w:rsid w:val="00D6290D"/>
    <w:rsid w:val="00D62ADC"/>
    <w:rsid w:val="00D62C05"/>
    <w:rsid w:val="00D62D07"/>
    <w:rsid w:val="00D62E2F"/>
    <w:rsid w:val="00D62E49"/>
    <w:rsid w:val="00D62F21"/>
    <w:rsid w:val="00D62F6D"/>
    <w:rsid w:val="00D63073"/>
    <w:rsid w:val="00D6333E"/>
    <w:rsid w:val="00D63619"/>
    <w:rsid w:val="00D63859"/>
    <w:rsid w:val="00D63991"/>
    <w:rsid w:val="00D63A44"/>
    <w:rsid w:val="00D63A4C"/>
    <w:rsid w:val="00D63A96"/>
    <w:rsid w:val="00D63BFE"/>
    <w:rsid w:val="00D63C1C"/>
    <w:rsid w:val="00D63CAA"/>
    <w:rsid w:val="00D63D48"/>
    <w:rsid w:val="00D63E4D"/>
    <w:rsid w:val="00D63F4C"/>
    <w:rsid w:val="00D6418D"/>
    <w:rsid w:val="00D642F8"/>
    <w:rsid w:val="00D6434D"/>
    <w:rsid w:val="00D645AF"/>
    <w:rsid w:val="00D6462B"/>
    <w:rsid w:val="00D64877"/>
    <w:rsid w:val="00D64999"/>
    <w:rsid w:val="00D649D2"/>
    <w:rsid w:val="00D64B46"/>
    <w:rsid w:val="00D64C77"/>
    <w:rsid w:val="00D64DBA"/>
    <w:rsid w:val="00D651A7"/>
    <w:rsid w:val="00D6522E"/>
    <w:rsid w:val="00D652F8"/>
    <w:rsid w:val="00D65404"/>
    <w:rsid w:val="00D656A7"/>
    <w:rsid w:val="00D657AA"/>
    <w:rsid w:val="00D65910"/>
    <w:rsid w:val="00D65B8F"/>
    <w:rsid w:val="00D65E93"/>
    <w:rsid w:val="00D660A1"/>
    <w:rsid w:val="00D660D5"/>
    <w:rsid w:val="00D66210"/>
    <w:rsid w:val="00D66327"/>
    <w:rsid w:val="00D66474"/>
    <w:rsid w:val="00D6648A"/>
    <w:rsid w:val="00D664DC"/>
    <w:rsid w:val="00D66556"/>
    <w:rsid w:val="00D66663"/>
    <w:rsid w:val="00D6686D"/>
    <w:rsid w:val="00D6698B"/>
    <w:rsid w:val="00D66A6F"/>
    <w:rsid w:val="00D66C4D"/>
    <w:rsid w:val="00D66F07"/>
    <w:rsid w:val="00D6707A"/>
    <w:rsid w:val="00D67232"/>
    <w:rsid w:val="00D673E2"/>
    <w:rsid w:val="00D6747E"/>
    <w:rsid w:val="00D676A9"/>
    <w:rsid w:val="00D676B5"/>
    <w:rsid w:val="00D676D4"/>
    <w:rsid w:val="00D67754"/>
    <w:rsid w:val="00D678D3"/>
    <w:rsid w:val="00D67950"/>
    <w:rsid w:val="00D6798B"/>
    <w:rsid w:val="00D70180"/>
    <w:rsid w:val="00D701E5"/>
    <w:rsid w:val="00D702AA"/>
    <w:rsid w:val="00D703A7"/>
    <w:rsid w:val="00D70448"/>
    <w:rsid w:val="00D704BA"/>
    <w:rsid w:val="00D704BE"/>
    <w:rsid w:val="00D70570"/>
    <w:rsid w:val="00D7064D"/>
    <w:rsid w:val="00D70A88"/>
    <w:rsid w:val="00D70C61"/>
    <w:rsid w:val="00D70D06"/>
    <w:rsid w:val="00D70E10"/>
    <w:rsid w:val="00D70E5D"/>
    <w:rsid w:val="00D70EDB"/>
    <w:rsid w:val="00D70F13"/>
    <w:rsid w:val="00D70F74"/>
    <w:rsid w:val="00D71034"/>
    <w:rsid w:val="00D7104A"/>
    <w:rsid w:val="00D71194"/>
    <w:rsid w:val="00D711EB"/>
    <w:rsid w:val="00D7130C"/>
    <w:rsid w:val="00D71891"/>
    <w:rsid w:val="00D71B48"/>
    <w:rsid w:val="00D71BEB"/>
    <w:rsid w:val="00D71D27"/>
    <w:rsid w:val="00D71FD3"/>
    <w:rsid w:val="00D72024"/>
    <w:rsid w:val="00D72352"/>
    <w:rsid w:val="00D7236B"/>
    <w:rsid w:val="00D7240C"/>
    <w:rsid w:val="00D7270B"/>
    <w:rsid w:val="00D727C8"/>
    <w:rsid w:val="00D72A8E"/>
    <w:rsid w:val="00D72BF9"/>
    <w:rsid w:val="00D72CA0"/>
    <w:rsid w:val="00D72F0E"/>
    <w:rsid w:val="00D73458"/>
    <w:rsid w:val="00D734CC"/>
    <w:rsid w:val="00D73524"/>
    <w:rsid w:val="00D73557"/>
    <w:rsid w:val="00D739F0"/>
    <w:rsid w:val="00D73A46"/>
    <w:rsid w:val="00D73BAA"/>
    <w:rsid w:val="00D73C19"/>
    <w:rsid w:val="00D73F66"/>
    <w:rsid w:val="00D74176"/>
    <w:rsid w:val="00D74220"/>
    <w:rsid w:val="00D7431F"/>
    <w:rsid w:val="00D74336"/>
    <w:rsid w:val="00D74431"/>
    <w:rsid w:val="00D74480"/>
    <w:rsid w:val="00D744F7"/>
    <w:rsid w:val="00D74680"/>
    <w:rsid w:val="00D7469E"/>
    <w:rsid w:val="00D7479F"/>
    <w:rsid w:val="00D747F2"/>
    <w:rsid w:val="00D7489A"/>
    <w:rsid w:val="00D748AE"/>
    <w:rsid w:val="00D74C67"/>
    <w:rsid w:val="00D74FC3"/>
    <w:rsid w:val="00D75109"/>
    <w:rsid w:val="00D75131"/>
    <w:rsid w:val="00D751BD"/>
    <w:rsid w:val="00D752A8"/>
    <w:rsid w:val="00D752DE"/>
    <w:rsid w:val="00D7545A"/>
    <w:rsid w:val="00D757B2"/>
    <w:rsid w:val="00D75830"/>
    <w:rsid w:val="00D758F9"/>
    <w:rsid w:val="00D75A38"/>
    <w:rsid w:val="00D75A8B"/>
    <w:rsid w:val="00D7611F"/>
    <w:rsid w:val="00D76138"/>
    <w:rsid w:val="00D76226"/>
    <w:rsid w:val="00D762CB"/>
    <w:rsid w:val="00D764A0"/>
    <w:rsid w:val="00D76638"/>
    <w:rsid w:val="00D768DE"/>
    <w:rsid w:val="00D76E77"/>
    <w:rsid w:val="00D77024"/>
    <w:rsid w:val="00D772B8"/>
    <w:rsid w:val="00D77658"/>
    <w:rsid w:val="00D77A84"/>
    <w:rsid w:val="00D77ABB"/>
    <w:rsid w:val="00D77AC2"/>
    <w:rsid w:val="00D77B55"/>
    <w:rsid w:val="00D77B5F"/>
    <w:rsid w:val="00D77BE6"/>
    <w:rsid w:val="00D77C86"/>
    <w:rsid w:val="00D77E6F"/>
    <w:rsid w:val="00D77F85"/>
    <w:rsid w:val="00D80022"/>
    <w:rsid w:val="00D80069"/>
    <w:rsid w:val="00D80083"/>
    <w:rsid w:val="00D80132"/>
    <w:rsid w:val="00D80787"/>
    <w:rsid w:val="00D80B14"/>
    <w:rsid w:val="00D80B2A"/>
    <w:rsid w:val="00D80B30"/>
    <w:rsid w:val="00D80B84"/>
    <w:rsid w:val="00D80C00"/>
    <w:rsid w:val="00D80F9D"/>
    <w:rsid w:val="00D811B3"/>
    <w:rsid w:val="00D8122D"/>
    <w:rsid w:val="00D81363"/>
    <w:rsid w:val="00D815D1"/>
    <w:rsid w:val="00D816FF"/>
    <w:rsid w:val="00D817F8"/>
    <w:rsid w:val="00D8182C"/>
    <w:rsid w:val="00D81A0F"/>
    <w:rsid w:val="00D81C79"/>
    <w:rsid w:val="00D81CCC"/>
    <w:rsid w:val="00D81F71"/>
    <w:rsid w:val="00D827ED"/>
    <w:rsid w:val="00D8297C"/>
    <w:rsid w:val="00D82980"/>
    <w:rsid w:val="00D829A4"/>
    <w:rsid w:val="00D82BF7"/>
    <w:rsid w:val="00D82C8D"/>
    <w:rsid w:val="00D82DB8"/>
    <w:rsid w:val="00D82F6B"/>
    <w:rsid w:val="00D830B4"/>
    <w:rsid w:val="00D8313A"/>
    <w:rsid w:val="00D832A4"/>
    <w:rsid w:val="00D833CA"/>
    <w:rsid w:val="00D83435"/>
    <w:rsid w:val="00D8346F"/>
    <w:rsid w:val="00D8372B"/>
    <w:rsid w:val="00D838B1"/>
    <w:rsid w:val="00D83909"/>
    <w:rsid w:val="00D83C2D"/>
    <w:rsid w:val="00D83D9C"/>
    <w:rsid w:val="00D83EFE"/>
    <w:rsid w:val="00D840DD"/>
    <w:rsid w:val="00D840E0"/>
    <w:rsid w:val="00D84169"/>
    <w:rsid w:val="00D841AF"/>
    <w:rsid w:val="00D841F0"/>
    <w:rsid w:val="00D843C5"/>
    <w:rsid w:val="00D844B6"/>
    <w:rsid w:val="00D845D2"/>
    <w:rsid w:val="00D84810"/>
    <w:rsid w:val="00D84888"/>
    <w:rsid w:val="00D84AC3"/>
    <w:rsid w:val="00D84C02"/>
    <w:rsid w:val="00D84F66"/>
    <w:rsid w:val="00D850B7"/>
    <w:rsid w:val="00D85314"/>
    <w:rsid w:val="00D8557A"/>
    <w:rsid w:val="00D85758"/>
    <w:rsid w:val="00D8579C"/>
    <w:rsid w:val="00D85A1B"/>
    <w:rsid w:val="00D85E81"/>
    <w:rsid w:val="00D85EC8"/>
    <w:rsid w:val="00D85FC8"/>
    <w:rsid w:val="00D860E0"/>
    <w:rsid w:val="00D8622A"/>
    <w:rsid w:val="00D862A0"/>
    <w:rsid w:val="00D865A8"/>
    <w:rsid w:val="00D865BC"/>
    <w:rsid w:val="00D866DE"/>
    <w:rsid w:val="00D8685D"/>
    <w:rsid w:val="00D86939"/>
    <w:rsid w:val="00D86970"/>
    <w:rsid w:val="00D86B57"/>
    <w:rsid w:val="00D86CD5"/>
    <w:rsid w:val="00D86DD0"/>
    <w:rsid w:val="00D8703E"/>
    <w:rsid w:val="00D87399"/>
    <w:rsid w:val="00D876AC"/>
    <w:rsid w:val="00D87BFF"/>
    <w:rsid w:val="00D87C83"/>
    <w:rsid w:val="00D87E26"/>
    <w:rsid w:val="00D87E34"/>
    <w:rsid w:val="00D900B9"/>
    <w:rsid w:val="00D9015C"/>
    <w:rsid w:val="00D903D4"/>
    <w:rsid w:val="00D906D6"/>
    <w:rsid w:val="00D90A99"/>
    <w:rsid w:val="00D90D73"/>
    <w:rsid w:val="00D91159"/>
    <w:rsid w:val="00D91940"/>
    <w:rsid w:val="00D9197A"/>
    <w:rsid w:val="00D91B01"/>
    <w:rsid w:val="00D91C4D"/>
    <w:rsid w:val="00D91CF9"/>
    <w:rsid w:val="00D91EB2"/>
    <w:rsid w:val="00D92111"/>
    <w:rsid w:val="00D92266"/>
    <w:rsid w:val="00D923F4"/>
    <w:rsid w:val="00D92482"/>
    <w:rsid w:val="00D9279A"/>
    <w:rsid w:val="00D9284F"/>
    <w:rsid w:val="00D9285D"/>
    <w:rsid w:val="00D92A6F"/>
    <w:rsid w:val="00D92F1F"/>
    <w:rsid w:val="00D92FC7"/>
    <w:rsid w:val="00D93116"/>
    <w:rsid w:val="00D93397"/>
    <w:rsid w:val="00D933E7"/>
    <w:rsid w:val="00D9347A"/>
    <w:rsid w:val="00D934B6"/>
    <w:rsid w:val="00D935EE"/>
    <w:rsid w:val="00D93CFE"/>
    <w:rsid w:val="00D93D93"/>
    <w:rsid w:val="00D93F4E"/>
    <w:rsid w:val="00D9402B"/>
    <w:rsid w:val="00D942CE"/>
    <w:rsid w:val="00D94336"/>
    <w:rsid w:val="00D947A8"/>
    <w:rsid w:val="00D94830"/>
    <w:rsid w:val="00D94D70"/>
    <w:rsid w:val="00D95028"/>
    <w:rsid w:val="00D9514A"/>
    <w:rsid w:val="00D951AB"/>
    <w:rsid w:val="00D9524B"/>
    <w:rsid w:val="00D952D1"/>
    <w:rsid w:val="00D95577"/>
    <w:rsid w:val="00D95586"/>
    <w:rsid w:val="00D95588"/>
    <w:rsid w:val="00D956CC"/>
    <w:rsid w:val="00D956D0"/>
    <w:rsid w:val="00D956D8"/>
    <w:rsid w:val="00D957E8"/>
    <w:rsid w:val="00D95A22"/>
    <w:rsid w:val="00D95D70"/>
    <w:rsid w:val="00D96463"/>
    <w:rsid w:val="00D9685D"/>
    <w:rsid w:val="00D96CEF"/>
    <w:rsid w:val="00D96D47"/>
    <w:rsid w:val="00D96D5C"/>
    <w:rsid w:val="00D96F4D"/>
    <w:rsid w:val="00D96FDC"/>
    <w:rsid w:val="00D97079"/>
    <w:rsid w:val="00D97206"/>
    <w:rsid w:val="00D97217"/>
    <w:rsid w:val="00D97330"/>
    <w:rsid w:val="00D97377"/>
    <w:rsid w:val="00D97492"/>
    <w:rsid w:val="00D97494"/>
    <w:rsid w:val="00D97525"/>
    <w:rsid w:val="00D977AC"/>
    <w:rsid w:val="00D978C1"/>
    <w:rsid w:val="00D97ACD"/>
    <w:rsid w:val="00D97BDF"/>
    <w:rsid w:val="00D97DC4"/>
    <w:rsid w:val="00D97DF6"/>
    <w:rsid w:val="00DA034C"/>
    <w:rsid w:val="00DA0661"/>
    <w:rsid w:val="00DA0733"/>
    <w:rsid w:val="00DA07FF"/>
    <w:rsid w:val="00DA09B3"/>
    <w:rsid w:val="00DA0B69"/>
    <w:rsid w:val="00DA0E20"/>
    <w:rsid w:val="00DA1074"/>
    <w:rsid w:val="00DA116F"/>
    <w:rsid w:val="00DA134A"/>
    <w:rsid w:val="00DA141D"/>
    <w:rsid w:val="00DA1523"/>
    <w:rsid w:val="00DA16EB"/>
    <w:rsid w:val="00DA1707"/>
    <w:rsid w:val="00DA1743"/>
    <w:rsid w:val="00DA17D8"/>
    <w:rsid w:val="00DA17FA"/>
    <w:rsid w:val="00DA17FB"/>
    <w:rsid w:val="00DA1936"/>
    <w:rsid w:val="00DA1B90"/>
    <w:rsid w:val="00DA1F36"/>
    <w:rsid w:val="00DA1F4C"/>
    <w:rsid w:val="00DA1F67"/>
    <w:rsid w:val="00DA1FB9"/>
    <w:rsid w:val="00DA1FBF"/>
    <w:rsid w:val="00DA2068"/>
    <w:rsid w:val="00DA20E3"/>
    <w:rsid w:val="00DA215B"/>
    <w:rsid w:val="00DA21F0"/>
    <w:rsid w:val="00DA23F5"/>
    <w:rsid w:val="00DA2570"/>
    <w:rsid w:val="00DA2599"/>
    <w:rsid w:val="00DA2713"/>
    <w:rsid w:val="00DA299C"/>
    <w:rsid w:val="00DA29AD"/>
    <w:rsid w:val="00DA2C4B"/>
    <w:rsid w:val="00DA2E7C"/>
    <w:rsid w:val="00DA2F31"/>
    <w:rsid w:val="00DA3087"/>
    <w:rsid w:val="00DA3258"/>
    <w:rsid w:val="00DA333A"/>
    <w:rsid w:val="00DA3727"/>
    <w:rsid w:val="00DA37CA"/>
    <w:rsid w:val="00DA37E4"/>
    <w:rsid w:val="00DA3A94"/>
    <w:rsid w:val="00DA4555"/>
    <w:rsid w:val="00DA466D"/>
    <w:rsid w:val="00DA471A"/>
    <w:rsid w:val="00DA4A5C"/>
    <w:rsid w:val="00DA4CF5"/>
    <w:rsid w:val="00DA4DDF"/>
    <w:rsid w:val="00DA4FD5"/>
    <w:rsid w:val="00DA52BD"/>
    <w:rsid w:val="00DA52EF"/>
    <w:rsid w:val="00DA5366"/>
    <w:rsid w:val="00DA55D1"/>
    <w:rsid w:val="00DA5702"/>
    <w:rsid w:val="00DA5950"/>
    <w:rsid w:val="00DA5B2A"/>
    <w:rsid w:val="00DA5B91"/>
    <w:rsid w:val="00DA5C44"/>
    <w:rsid w:val="00DA5E23"/>
    <w:rsid w:val="00DA5F0F"/>
    <w:rsid w:val="00DA6222"/>
    <w:rsid w:val="00DA629F"/>
    <w:rsid w:val="00DA631C"/>
    <w:rsid w:val="00DA63A2"/>
    <w:rsid w:val="00DA6418"/>
    <w:rsid w:val="00DA64BD"/>
    <w:rsid w:val="00DA661F"/>
    <w:rsid w:val="00DA699A"/>
    <w:rsid w:val="00DA69A5"/>
    <w:rsid w:val="00DA69BB"/>
    <w:rsid w:val="00DA6D5D"/>
    <w:rsid w:val="00DA6E82"/>
    <w:rsid w:val="00DA7024"/>
    <w:rsid w:val="00DA7249"/>
    <w:rsid w:val="00DA73A6"/>
    <w:rsid w:val="00DA74CC"/>
    <w:rsid w:val="00DA76B9"/>
    <w:rsid w:val="00DA77C2"/>
    <w:rsid w:val="00DA780E"/>
    <w:rsid w:val="00DA7876"/>
    <w:rsid w:val="00DA7953"/>
    <w:rsid w:val="00DA7B2C"/>
    <w:rsid w:val="00DA7B4E"/>
    <w:rsid w:val="00DA7C76"/>
    <w:rsid w:val="00DA7CA8"/>
    <w:rsid w:val="00DA7DA7"/>
    <w:rsid w:val="00DA7DB9"/>
    <w:rsid w:val="00DA7DD3"/>
    <w:rsid w:val="00DB0091"/>
    <w:rsid w:val="00DB0137"/>
    <w:rsid w:val="00DB052D"/>
    <w:rsid w:val="00DB076A"/>
    <w:rsid w:val="00DB0905"/>
    <w:rsid w:val="00DB0AD5"/>
    <w:rsid w:val="00DB0AE3"/>
    <w:rsid w:val="00DB0B9D"/>
    <w:rsid w:val="00DB0F17"/>
    <w:rsid w:val="00DB10B1"/>
    <w:rsid w:val="00DB1137"/>
    <w:rsid w:val="00DB118B"/>
    <w:rsid w:val="00DB12A2"/>
    <w:rsid w:val="00DB12D8"/>
    <w:rsid w:val="00DB1350"/>
    <w:rsid w:val="00DB179E"/>
    <w:rsid w:val="00DB1B53"/>
    <w:rsid w:val="00DB1B6C"/>
    <w:rsid w:val="00DB21CE"/>
    <w:rsid w:val="00DB2271"/>
    <w:rsid w:val="00DB22D1"/>
    <w:rsid w:val="00DB2425"/>
    <w:rsid w:val="00DB26C3"/>
    <w:rsid w:val="00DB26EF"/>
    <w:rsid w:val="00DB27AF"/>
    <w:rsid w:val="00DB280C"/>
    <w:rsid w:val="00DB287E"/>
    <w:rsid w:val="00DB28A5"/>
    <w:rsid w:val="00DB2AE8"/>
    <w:rsid w:val="00DB2C94"/>
    <w:rsid w:val="00DB2CA6"/>
    <w:rsid w:val="00DB2CFC"/>
    <w:rsid w:val="00DB2D94"/>
    <w:rsid w:val="00DB3735"/>
    <w:rsid w:val="00DB396A"/>
    <w:rsid w:val="00DB3A78"/>
    <w:rsid w:val="00DB3A85"/>
    <w:rsid w:val="00DB3CC0"/>
    <w:rsid w:val="00DB3D72"/>
    <w:rsid w:val="00DB3DF8"/>
    <w:rsid w:val="00DB3F59"/>
    <w:rsid w:val="00DB406F"/>
    <w:rsid w:val="00DB4070"/>
    <w:rsid w:val="00DB4158"/>
    <w:rsid w:val="00DB455E"/>
    <w:rsid w:val="00DB4570"/>
    <w:rsid w:val="00DB45C9"/>
    <w:rsid w:val="00DB4676"/>
    <w:rsid w:val="00DB46B7"/>
    <w:rsid w:val="00DB495F"/>
    <w:rsid w:val="00DB4BBB"/>
    <w:rsid w:val="00DB4C95"/>
    <w:rsid w:val="00DB4EAD"/>
    <w:rsid w:val="00DB4FA7"/>
    <w:rsid w:val="00DB501F"/>
    <w:rsid w:val="00DB57C4"/>
    <w:rsid w:val="00DB5897"/>
    <w:rsid w:val="00DB5AE4"/>
    <w:rsid w:val="00DB5B82"/>
    <w:rsid w:val="00DB5CCF"/>
    <w:rsid w:val="00DB5CD2"/>
    <w:rsid w:val="00DB5EFF"/>
    <w:rsid w:val="00DB5F18"/>
    <w:rsid w:val="00DB616A"/>
    <w:rsid w:val="00DB619A"/>
    <w:rsid w:val="00DB62C5"/>
    <w:rsid w:val="00DB639E"/>
    <w:rsid w:val="00DB6475"/>
    <w:rsid w:val="00DB65DD"/>
    <w:rsid w:val="00DB66E1"/>
    <w:rsid w:val="00DB6745"/>
    <w:rsid w:val="00DB69E7"/>
    <w:rsid w:val="00DB6C58"/>
    <w:rsid w:val="00DB6C76"/>
    <w:rsid w:val="00DB6D5B"/>
    <w:rsid w:val="00DB6EC2"/>
    <w:rsid w:val="00DB7177"/>
    <w:rsid w:val="00DB71B4"/>
    <w:rsid w:val="00DB76E3"/>
    <w:rsid w:val="00DB76E7"/>
    <w:rsid w:val="00DB791C"/>
    <w:rsid w:val="00DB7BA3"/>
    <w:rsid w:val="00DB7E5B"/>
    <w:rsid w:val="00DB7FDA"/>
    <w:rsid w:val="00DC007A"/>
    <w:rsid w:val="00DC01AF"/>
    <w:rsid w:val="00DC0261"/>
    <w:rsid w:val="00DC03F2"/>
    <w:rsid w:val="00DC047C"/>
    <w:rsid w:val="00DC0532"/>
    <w:rsid w:val="00DC05C2"/>
    <w:rsid w:val="00DC0629"/>
    <w:rsid w:val="00DC08B7"/>
    <w:rsid w:val="00DC090F"/>
    <w:rsid w:val="00DC0AA5"/>
    <w:rsid w:val="00DC0AF1"/>
    <w:rsid w:val="00DC0D2B"/>
    <w:rsid w:val="00DC0E3F"/>
    <w:rsid w:val="00DC0EAE"/>
    <w:rsid w:val="00DC0F57"/>
    <w:rsid w:val="00DC0F89"/>
    <w:rsid w:val="00DC0FA9"/>
    <w:rsid w:val="00DC0FAB"/>
    <w:rsid w:val="00DC0FC8"/>
    <w:rsid w:val="00DC10B9"/>
    <w:rsid w:val="00DC13A8"/>
    <w:rsid w:val="00DC145E"/>
    <w:rsid w:val="00DC1470"/>
    <w:rsid w:val="00DC164D"/>
    <w:rsid w:val="00DC16CA"/>
    <w:rsid w:val="00DC1771"/>
    <w:rsid w:val="00DC1810"/>
    <w:rsid w:val="00DC1838"/>
    <w:rsid w:val="00DC192D"/>
    <w:rsid w:val="00DC1B18"/>
    <w:rsid w:val="00DC1DAE"/>
    <w:rsid w:val="00DC1F67"/>
    <w:rsid w:val="00DC23AC"/>
    <w:rsid w:val="00DC23B0"/>
    <w:rsid w:val="00DC2513"/>
    <w:rsid w:val="00DC276A"/>
    <w:rsid w:val="00DC293D"/>
    <w:rsid w:val="00DC29B5"/>
    <w:rsid w:val="00DC29E5"/>
    <w:rsid w:val="00DC2B03"/>
    <w:rsid w:val="00DC2E39"/>
    <w:rsid w:val="00DC2E85"/>
    <w:rsid w:val="00DC2EB5"/>
    <w:rsid w:val="00DC2F84"/>
    <w:rsid w:val="00DC2FF6"/>
    <w:rsid w:val="00DC308F"/>
    <w:rsid w:val="00DC3396"/>
    <w:rsid w:val="00DC3609"/>
    <w:rsid w:val="00DC39A7"/>
    <w:rsid w:val="00DC3A9B"/>
    <w:rsid w:val="00DC3B15"/>
    <w:rsid w:val="00DC3CBA"/>
    <w:rsid w:val="00DC4213"/>
    <w:rsid w:val="00DC4489"/>
    <w:rsid w:val="00DC47D0"/>
    <w:rsid w:val="00DC47EC"/>
    <w:rsid w:val="00DC4820"/>
    <w:rsid w:val="00DC487B"/>
    <w:rsid w:val="00DC493B"/>
    <w:rsid w:val="00DC49DD"/>
    <w:rsid w:val="00DC4C53"/>
    <w:rsid w:val="00DC4D2A"/>
    <w:rsid w:val="00DC4D3A"/>
    <w:rsid w:val="00DC4E14"/>
    <w:rsid w:val="00DC4F52"/>
    <w:rsid w:val="00DC510D"/>
    <w:rsid w:val="00DC51F9"/>
    <w:rsid w:val="00DC5472"/>
    <w:rsid w:val="00DC54C0"/>
    <w:rsid w:val="00DC5507"/>
    <w:rsid w:val="00DC55A2"/>
    <w:rsid w:val="00DC55A7"/>
    <w:rsid w:val="00DC5689"/>
    <w:rsid w:val="00DC56F2"/>
    <w:rsid w:val="00DC584F"/>
    <w:rsid w:val="00DC5930"/>
    <w:rsid w:val="00DC59A4"/>
    <w:rsid w:val="00DC59BA"/>
    <w:rsid w:val="00DC5B3E"/>
    <w:rsid w:val="00DC5D63"/>
    <w:rsid w:val="00DC5DC2"/>
    <w:rsid w:val="00DC6690"/>
    <w:rsid w:val="00DC6751"/>
    <w:rsid w:val="00DC6820"/>
    <w:rsid w:val="00DC6842"/>
    <w:rsid w:val="00DC68A7"/>
    <w:rsid w:val="00DC68FB"/>
    <w:rsid w:val="00DC6ABA"/>
    <w:rsid w:val="00DC6B44"/>
    <w:rsid w:val="00DC6BD5"/>
    <w:rsid w:val="00DC6E4D"/>
    <w:rsid w:val="00DC6FEE"/>
    <w:rsid w:val="00DC723E"/>
    <w:rsid w:val="00DC76D5"/>
    <w:rsid w:val="00DC7716"/>
    <w:rsid w:val="00DC7754"/>
    <w:rsid w:val="00DC77B3"/>
    <w:rsid w:val="00DC7809"/>
    <w:rsid w:val="00DC79FA"/>
    <w:rsid w:val="00DC7C0B"/>
    <w:rsid w:val="00DC7E4E"/>
    <w:rsid w:val="00DC7F6D"/>
    <w:rsid w:val="00DD004D"/>
    <w:rsid w:val="00DD01BE"/>
    <w:rsid w:val="00DD0349"/>
    <w:rsid w:val="00DD0438"/>
    <w:rsid w:val="00DD052C"/>
    <w:rsid w:val="00DD05B0"/>
    <w:rsid w:val="00DD060F"/>
    <w:rsid w:val="00DD06B3"/>
    <w:rsid w:val="00DD07AE"/>
    <w:rsid w:val="00DD07BA"/>
    <w:rsid w:val="00DD07F1"/>
    <w:rsid w:val="00DD08B9"/>
    <w:rsid w:val="00DD0AFF"/>
    <w:rsid w:val="00DD0ECE"/>
    <w:rsid w:val="00DD0EED"/>
    <w:rsid w:val="00DD0F09"/>
    <w:rsid w:val="00DD104D"/>
    <w:rsid w:val="00DD10F4"/>
    <w:rsid w:val="00DD11CE"/>
    <w:rsid w:val="00DD12CA"/>
    <w:rsid w:val="00DD1379"/>
    <w:rsid w:val="00DD1441"/>
    <w:rsid w:val="00DD1492"/>
    <w:rsid w:val="00DD1650"/>
    <w:rsid w:val="00DD180C"/>
    <w:rsid w:val="00DD1979"/>
    <w:rsid w:val="00DD1980"/>
    <w:rsid w:val="00DD1B62"/>
    <w:rsid w:val="00DD1D1B"/>
    <w:rsid w:val="00DD1FE5"/>
    <w:rsid w:val="00DD2167"/>
    <w:rsid w:val="00DD21F5"/>
    <w:rsid w:val="00DD234E"/>
    <w:rsid w:val="00DD246E"/>
    <w:rsid w:val="00DD248D"/>
    <w:rsid w:val="00DD2516"/>
    <w:rsid w:val="00DD2640"/>
    <w:rsid w:val="00DD27A4"/>
    <w:rsid w:val="00DD2872"/>
    <w:rsid w:val="00DD28A6"/>
    <w:rsid w:val="00DD28A8"/>
    <w:rsid w:val="00DD296A"/>
    <w:rsid w:val="00DD297A"/>
    <w:rsid w:val="00DD2C5D"/>
    <w:rsid w:val="00DD2E9B"/>
    <w:rsid w:val="00DD2EC8"/>
    <w:rsid w:val="00DD2EE2"/>
    <w:rsid w:val="00DD2F16"/>
    <w:rsid w:val="00DD2F75"/>
    <w:rsid w:val="00DD2FC4"/>
    <w:rsid w:val="00DD2FD2"/>
    <w:rsid w:val="00DD2FE3"/>
    <w:rsid w:val="00DD3059"/>
    <w:rsid w:val="00DD3170"/>
    <w:rsid w:val="00DD31BC"/>
    <w:rsid w:val="00DD33D7"/>
    <w:rsid w:val="00DD3414"/>
    <w:rsid w:val="00DD34A5"/>
    <w:rsid w:val="00DD37DD"/>
    <w:rsid w:val="00DD3839"/>
    <w:rsid w:val="00DD3916"/>
    <w:rsid w:val="00DD3A4D"/>
    <w:rsid w:val="00DD3E5E"/>
    <w:rsid w:val="00DD4344"/>
    <w:rsid w:val="00DD446C"/>
    <w:rsid w:val="00DD44B3"/>
    <w:rsid w:val="00DD488A"/>
    <w:rsid w:val="00DD49E5"/>
    <w:rsid w:val="00DD4BAD"/>
    <w:rsid w:val="00DD4BD5"/>
    <w:rsid w:val="00DD4C60"/>
    <w:rsid w:val="00DD4F05"/>
    <w:rsid w:val="00DD4FAD"/>
    <w:rsid w:val="00DD5108"/>
    <w:rsid w:val="00DD5162"/>
    <w:rsid w:val="00DD51DF"/>
    <w:rsid w:val="00DD531D"/>
    <w:rsid w:val="00DD542F"/>
    <w:rsid w:val="00DD5468"/>
    <w:rsid w:val="00DD578A"/>
    <w:rsid w:val="00DD5A91"/>
    <w:rsid w:val="00DD5B0C"/>
    <w:rsid w:val="00DD5CE6"/>
    <w:rsid w:val="00DD5E2B"/>
    <w:rsid w:val="00DD6010"/>
    <w:rsid w:val="00DD60F2"/>
    <w:rsid w:val="00DD646F"/>
    <w:rsid w:val="00DD658A"/>
    <w:rsid w:val="00DD673D"/>
    <w:rsid w:val="00DD6856"/>
    <w:rsid w:val="00DD68EA"/>
    <w:rsid w:val="00DD6922"/>
    <w:rsid w:val="00DD69E1"/>
    <w:rsid w:val="00DD6AC2"/>
    <w:rsid w:val="00DD6B18"/>
    <w:rsid w:val="00DD6BD0"/>
    <w:rsid w:val="00DD6BDB"/>
    <w:rsid w:val="00DD6CCC"/>
    <w:rsid w:val="00DD6E58"/>
    <w:rsid w:val="00DD7029"/>
    <w:rsid w:val="00DD70A7"/>
    <w:rsid w:val="00DD729F"/>
    <w:rsid w:val="00DD72A6"/>
    <w:rsid w:val="00DD7328"/>
    <w:rsid w:val="00DD7682"/>
    <w:rsid w:val="00DD7B1B"/>
    <w:rsid w:val="00DD7E3F"/>
    <w:rsid w:val="00DE007B"/>
    <w:rsid w:val="00DE00EC"/>
    <w:rsid w:val="00DE0114"/>
    <w:rsid w:val="00DE0262"/>
    <w:rsid w:val="00DE055F"/>
    <w:rsid w:val="00DE05E8"/>
    <w:rsid w:val="00DE07FF"/>
    <w:rsid w:val="00DE093E"/>
    <w:rsid w:val="00DE0B9C"/>
    <w:rsid w:val="00DE0BFE"/>
    <w:rsid w:val="00DE0DD9"/>
    <w:rsid w:val="00DE0E72"/>
    <w:rsid w:val="00DE0F1D"/>
    <w:rsid w:val="00DE1001"/>
    <w:rsid w:val="00DE104D"/>
    <w:rsid w:val="00DE11D8"/>
    <w:rsid w:val="00DE11F2"/>
    <w:rsid w:val="00DE125C"/>
    <w:rsid w:val="00DE140A"/>
    <w:rsid w:val="00DE15D7"/>
    <w:rsid w:val="00DE167C"/>
    <w:rsid w:val="00DE1764"/>
    <w:rsid w:val="00DE1768"/>
    <w:rsid w:val="00DE198E"/>
    <w:rsid w:val="00DE1A23"/>
    <w:rsid w:val="00DE1BB8"/>
    <w:rsid w:val="00DE1CE1"/>
    <w:rsid w:val="00DE1D9F"/>
    <w:rsid w:val="00DE1E12"/>
    <w:rsid w:val="00DE20E1"/>
    <w:rsid w:val="00DE2129"/>
    <w:rsid w:val="00DE21F1"/>
    <w:rsid w:val="00DE220D"/>
    <w:rsid w:val="00DE24BF"/>
    <w:rsid w:val="00DE2656"/>
    <w:rsid w:val="00DE27E8"/>
    <w:rsid w:val="00DE2AAA"/>
    <w:rsid w:val="00DE2B8F"/>
    <w:rsid w:val="00DE2BC2"/>
    <w:rsid w:val="00DE2C37"/>
    <w:rsid w:val="00DE2C95"/>
    <w:rsid w:val="00DE2DEB"/>
    <w:rsid w:val="00DE2EE9"/>
    <w:rsid w:val="00DE3311"/>
    <w:rsid w:val="00DE33A3"/>
    <w:rsid w:val="00DE35E7"/>
    <w:rsid w:val="00DE3719"/>
    <w:rsid w:val="00DE391E"/>
    <w:rsid w:val="00DE3A1B"/>
    <w:rsid w:val="00DE3A9E"/>
    <w:rsid w:val="00DE3B1F"/>
    <w:rsid w:val="00DE3B99"/>
    <w:rsid w:val="00DE3C89"/>
    <w:rsid w:val="00DE3E43"/>
    <w:rsid w:val="00DE3F1B"/>
    <w:rsid w:val="00DE3F31"/>
    <w:rsid w:val="00DE47D0"/>
    <w:rsid w:val="00DE484E"/>
    <w:rsid w:val="00DE497F"/>
    <w:rsid w:val="00DE4A8F"/>
    <w:rsid w:val="00DE4B27"/>
    <w:rsid w:val="00DE4B37"/>
    <w:rsid w:val="00DE4BB8"/>
    <w:rsid w:val="00DE4DC3"/>
    <w:rsid w:val="00DE5089"/>
    <w:rsid w:val="00DE53FF"/>
    <w:rsid w:val="00DE5478"/>
    <w:rsid w:val="00DE5A09"/>
    <w:rsid w:val="00DE5BF3"/>
    <w:rsid w:val="00DE5E26"/>
    <w:rsid w:val="00DE5EB4"/>
    <w:rsid w:val="00DE5F4B"/>
    <w:rsid w:val="00DE6207"/>
    <w:rsid w:val="00DE629E"/>
    <w:rsid w:val="00DE6625"/>
    <w:rsid w:val="00DE6640"/>
    <w:rsid w:val="00DE6824"/>
    <w:rsid w:val="00DE69A9"/>
    <w:rsid w:val="00DE6BDC"/>
    <w:rsid w:val="00DE6D19"/>
    <w:rsid w:val="00DE6DA5"/>
    <w:rsid w:val="00DE6E7F"/>
    <w:rsid w:val="00DE6F90"/>
    <w:rsid w:val="00DE70F7"/>
    <w:rsid w:val="00DE7361"/>
    <w:rsid w:val="00DE7536"/>
    <w:rsid w:val="00DE75AC"/>
    <w:rsid w:val="00DE75E7"/>
    <w:rsid w:val="00DE765A"/>
    <w:rsid w:val="00DE77CD"/>
    <w:rsid w:val="00DE7B3F"/>
    <w:rsid w:val="00DE7C0E"/>
    <w:rsid w:val="00DE7EDE"/>
    <w:rsid w:val="00DF0063"/>
    <w:rsid w:val="00DF05F7"/>
    <w:rsid w:val="00DF079A"/>
    <w:rsid w:val="00DF0C9B"/>
    <w:rsid w:val="00DF1004"/>
    <w:rsid w:val="00DF10D4"/>
    <w:rsid w:val="00DF1332"/>
    <w:rsid w:val="00DF137F"/>
    <w:rsid w:val="00DF1475"/>
    <w:rsid w:val="00DF1588"/>
    <w:rsid w:val="00DF1639"/>
    <w:rsid w:val="00DF1698"/>
    <w:rsid w:val="00DF16E9"/>
    <w:rsid w:val="00DF193F"/>
    <w:rsid w:val="00DF1CB3"/>
    <w:rsid w:val="00DF1CBA"/>
    <w:rsid w:val="00DF1D42"/>
    <w:rsid w:val="00DF1D5F"/>
    <w:rsid w:val="00DF1EB7"/>
    <w:rsid w:val="00DF1EDA"/>
    <w:rsid w:val="00DF1F9D"/>
    <w:rsid w:val="00DF2122"/>
    <w:rsid w:val="00DF2541"/>
    <w:rsid w:val="00DF25BF"/>
    <w:rsid w:val="00DF2966"/>
    <w:rsid w:val="00DF2B44"/>
    <w:rsid w:val="00DF2C6B"/>
    <w:rsid w:val="00DF2E92"/>
    <w:rsid w:val="00DF310A"/>
    <w:rsid w:val="00DF33BF"/>
    <w:rsid w:val="00DF3490"/>
    <w:rsid w:val="00DF3517"/>
    <w:rsid w:val="00DF353D"/>
    <w:rsid w:val="00DF360F"/>
    <w:rsid w:val="00DF3700"/>
    <w:rsid w:val="00DF39B9"/>
    <w:rsid w:val="00DF3A25"/>
    <w:rsid w:val="00DF3A3C"/>
    <w:rsid w:val="00DF3E71"/>
    <w:rsid w:val="00DF4692"/>
    <w:rsid w:val="00DF46ED"/>
    <w:rsid w:val="00DF46FB"/>
    <w:rsid w:val="00DF47DD"/>
    <w:rsid w:val="00DF48D6"/>
    <w:rsid w:val="00DF4ABC"/>
    <w:rsid w:val="00DF4E4F"/>
    <w:rsid w:val="00DF5217"/>
    <w:rsid w:val="00DF521B"/>
    <w:rsid w:val="00DF52FC"/>
    <w:rsid w:val="00DF558A"/>
    <w:rsid w:val="00DF563B"/>
    <w:rsid w:val="00DF57B8"/>
    <w:rsid w:val="00DF57BB"/>
    <w:rsid w:val="00DF5BAF"/>
    <w:rsid w:val="00DF5D18"/>
    <w:rsid w:val="00DF6033"/>
    <w:rsid w:val="00DF603E"/>
    <w:rsid w:val="00DF61B1"/>
    <w:rsid w:val="00DF62EF"/>
    <w:rsid w:val="00DF6560"/>
    <w:rsid w:val="00DF6599"/>
    <w:rsid w:val="00DF659B"/>
    <w:rsid w:val="00DF65A0"/>
    <w:rsid w:val="00DF6624"/>
    <w:rsid w:val="00DF66F5"/>
    <w:rsid w:val="00DF6702"/>
    <w:rsid w:val="00DF673D"/>
    <w:rsid w:val="00DF6776"/>
    <w:rsid w:val="00DF6865"/>
    <w:rsid w:val="00DF68B0"/>
    <w:rsid w:val="00DF695A"/>
    <w:rsid w:val="00DF6986"/>
    <w:rsid w:val="00DF6BE5"/>
    <w:rsid w:val="00DF6DE4"/>
    <w:rsid w:val="00DF6FF2"/>
    <w:rsid w:val="00DF70B0"/>
    <w:rsid w:val="00DF7206"/>
    <w:rsid w:val="00DF748F"/>
    <w:rsid w:val="00DF7695"/>
    <w:rsid w:val="00DF77C7"/>
    <w:rsid w:val="00DF7816"/>
    <w:rsid w:val="00DF78BD"/>
    <w:rsid w:val="00DF7B4F"/>
    <w:rsid w:val="00DF7BB2"/>
    <w:rsid w:val="00DF7D6D"/>
    <w:rsid w:val="00DF7E65"/>
    <w:rsid w:val="00E001CD"/>
    <w:rsid w:val="00E0033B"/>
    <w:rsid w:val="00E00394"/>
    <w:rsid w:val="00E0044D"/>
    <w:rsid w:val="00E0057D"/>
    <w:rsid w:val="00E005E2"/>
    <w:rsid w:val="00E00643"/>
    <w:rsid w:val="00E00A2E"/>
    <w:rsid w:val="00E00B00"/>
    <w:rsid w:val="00E00BD0"/>
    <w:rsid w:val="00E00C24"/>
    <w:rsid w:val="00E00C67"/>
    <w:rsid w:val="00E012FF"/>
    <w:rsid w:val="00E014DA"/>
    <w:rsid w:val="00E016C8"/>
    <w:rsid w:val="00E01B22"/>
    <w:rsid w:val="00E01C71"/>
    <w:rsid w:val="00E01C93"/>
    <w:rsid w:val="00E01E4F"/>
    <w:rsid w:val="00E0220E"/>
    <w:rsid w:val="00E02700"/>
    <w:rsid w:val="00E02AC8"/>
    <w:rsid w:val="00E02AEA"/>
    <w:rsid w:val="00E02DAD"/>
    <w:rsid w:val="00E02E2C"/>
    <w:rsid w:val="00E030B7"/>
    <w:rsid w:val="00E0315F"/>
    <w:rsid w:val="00E0319A"/>
    <w:rsid w:val="00E032D1"/>
    <w:rsid w:val="00E0336D"/>
    <w:rsid w:val="00E03417"/>
    <w:rsid w:val="00E037EC"/>
    <w:rsid w:val="00E038AD"/>
    <w:rsid w:val="00E038C5"/>
    <w:rsid w:val="00E03D11"/>
    <w:rsid w:val="00E03D48"/>
    <w:rsid w:val="00E03E0B"/>
    <w:rsid w:val="00E03E1E"/>
    <w:rsid w:val="00E041CC"/>
    <w:rsid w:val="00E04225"/>
    <w:rsid w:val="00E0426F"/>
    <w:rsid w:val="00E043D1"/>
    <w:rsid w:val="00E04567"/>
    <w:rsid w:val="00E046CC"/>
    <w:rsid w:val="00E04828"/>
    <w:rsid w:val="00E048F5"/>
    <w:rsid w:val="00E04922"/>
    <w:rsid w:val="00E04927"/>
    <w:rsid w:val="00E04C35"/>
    <w:rsid w:val="00E04C69"/>
    <w:rsid w:val="00E04D25"/>
    <w:rsid w:val="00E04D2B"/>
    <w:rsid w:val="00E04D71"/>
    <w:rsid w:val="00E04E07"/>
    <w:rsid w:val="00E04F76"/>
    <w:rsid w:val="00E0556A"/>
    <w:rsid w:val="00E0566C"/>
    <w:rsid w:val="00E056EE"/>
    <w:rsid w:val="00E05A09"/>
    <w:rsid w:val="00E05B1E"/>
    <w:rsid w:val="00E05C08"/>
    <w:rsid w:val="00E05D1E"/>
    <w:rsid w:val="00E05E1A"/>
    <w:rsid w:val="00E064A3"/>
    <w:rsid w:val="00E065AF"/>
    <w:rsid w:val="00E0668A"/>
    <w:rsid w:val="00E06734"/>
    <w:rsid w:val="00E0682B"/>
    <w:rsid w:val="00E069FA"/>
    <w:rsid w:val="00E06ABB"/>
    <w:rsid w:val="00E06B29"/>
    <w:rsid w:val="00E06B88"/>
    <w:rsid w:val="00E06C05"/>
    <w:rsid w:val="00E06E0E"/>
    <w:rsid w:val="00E0729A"/>
    <w:rsid w:val="00E0731D"/>
    <w:rsid w:val="00E0740A"/>
    <w:rsid w:val="00E0751E"/>
    <w:rsid w:val="00E075A4"/>
    <w:rsid w:val="00E0769B"/>
    <w:rsid w:val="00E0778A"/>
    <w:rsid w:val="00E07B39"/>
    <w:rsid w:val="00E07C40"/>
    <w:rsid w:val="00E07EBD"/>
    <w:rsid w:val="00E102D6"/>
    <w:rsid w:val="00E10921"/>
    <w:rsid w:val="00E10962"/>
    <w:rsid w:val="00E10ACB"/>
    <w:rsid w:val="00E10E08"/>
    <w:rsid w:val="00E10E1D"/>
    <w:rsid w:val="00E10F0A"/>
    <w:rsid w:val="00E10F80"/>
    <w:rsid w:val="00E10FFF"/>
    <w:rsid w:val="00E110DD"/>
    <w:rsid w:val="00E1116A"/>
    <w:rsid w:val="00E1128E"/>
    <w:rsid w:val="00E11445"/>
    <w:rsid w:val="00E11507"/>
    <w:rsid w:val="00E1169E"/>
    <w:rsid w:val="00E119A9"/>
    <w:rsid w:val="00E11BE2"/>
    <w:rsid w:val="00E1206C"/>
    <w:rsid w:val="00E1216F"/>
    <w:rsid w:val="00E122AA"/>
    <w:rsid w:val="00E1236A"/>
    <w:rsid w:val="00E1242D"/>
    <w:rsid w:val="00E1253C"/>
    <w:rsid w:val="00E12947"/>
    <w:rsid w:val="00E12979"/>
    <w:rsid w:val="00E12A46"/>
    <w:rsid w:val="00E12C1C"/>
    <w:rsid w:val="00E12C29"/>
    <w:rsid w:val="00E12EB4"/>
    <w:rsid w:val="00E130E3"/>
    <w:rsid w:val="00E1318F"/>
    <w:rsid w:val="00E13361"/>
    <w:rsid w:val="00E134A3"/>
    <w:rsid w:val="00E135CD"/>
    <w:rsid w:val="00E13626"/>
    <w:rsid w:val="00E137DE"/>
    <w:rsid w:val="00E138B2"/>
    <w:rsid w:val="00E1393C"/>
    <w:rsid w:val="00E13CB2"/>
    <w:rsid w:val="00E13D21"/>
    <w:rsid w:val="00E13F8F"/>
    <w:rsid w:val="00E13FD5"/>
    <w:rsid w:val="00E141E0"/>
    <w:rsid w:val="00E142E7"/>
    <w:rsid w:val="00E14355"/>
    <w:rsid w:val="00E14494"/>
    <w:rsid w:val="00E144D4"/>
    <w:rsid w:val="00E145B3"/>
    <w:rsid w:val="00E1460D"/>
    <w:rsid w:val="00E146D1"/>
    <w:rsid w:val="00E14712"/>
    <w:rsid w:val="00E149FF"/>
    <w:rsid w:val="00E14AAD"/>
    <w:rsid w:val="00E15067"/>
    <w:rsid w:val="00E1523A"/>
    <w:rsid w:val="00E15479"/>
    <w:rsid w:val="00E1555E"/>
    <w:rsid w:val="00E156E0"/>
    <w:rsid w:val="00E15794"/>
    <w:rsid w:val="00E158FE"/>
    <w:rsid w:val="00E15BDC"/>
    <w:rsid w:val="00E15C17"/>
    <w:rsid w:val="00E15C54"/>
    <w:rsid w:val="00E16184"/>
    <w:rsid w:val="00E161BE"/>
    <w:rsid w:val="00E16671"/>
    <w:rsid w:val="00E1675C"/>
    <w:rsid w:val="00E1692B"/>
    <w:rsid w:val="00E16A01"/>
    <w:rsid w:val="00E16BC9"/>
    <w:rsid w:val="00E16BDB"/>
    <w:rsid w:val="00E16D40"/>
    <w:rsid w:val="00E16DE9"/>
    <w:rsid w:val="00E16E37"/>
    <w:rsid w:val="00E16E90"/>
    <w:rsid w:val="00E171BC"/>
    <w:rsid w:val="00E171CF"/>
    <w:rsid w:val="00E17217"/>
    <w:rsid w:val="00E17237"/>
    <w:rsid w:val="00E173D4"/>
    <w:rsid w:val="00E174C2"/>
    <w:rsid w:val="00E177BA"/>
    <w:rsid w:val="00E17886"/>
    <w:rsid w:val="00E178A3"/>
    <w:rsid w:val="00E17FA8"/>
    <w:rsid w:val="00E20047"/>
    <w:rsid w:val="00E2007A"/>
    <w:rsid w:val="00E20196"/>
    <w:rsid w:val="00E20209"/>
    <w:rsid w:val="00E2046D"/>
    <w:rsid w:val="00E2049C"/>
    <w:rsid w:val="00E2049D"/>
    <w:rsid w:val="00E205E1"/>
    <w:rsid w:val="00E20604"/>
    <w:rsid w:val="00E20774"/>
    <w:rsid w:val="00E20828"/>
    <w:rsid w:val="00E2088C"/>
    <w:rsid w:val="00E20AF2"/>
    <w:rsid w:val="00E20BF5"/>
    <w:rsid w:val="00E211D5"/>
    <w:rsid w:val="00E21260"/>
    <w:rsid w:val="00E2142B"/>
    <w:rsid w:val="00E2149B"/>
    <w:rsid w:val="00E21667"/>
    <w:rsid w:val="00E2169A"/>
    <w:rsid w:val="00E2179E"/>
    <w:rsid w:val="00E21831"/>
    <w:rsid w:val="00E21943"/>
    <w:rsid w:val="00E2196C"/>
    <w:rsid w:val="00E21994"/>
    <w:rsid w:val="00E21A09"/>
    <w:rsid w:val="00E21A65"/>
    <w:rsid w:val="00E21B90"/>
    <w:rsid w:val="00E21E02"/>
    <w:rsid w:val="00E21ECA"/>
    <w:rsid w:val="00E22236"/>
    <w:rsid w:val="00E225E8"/>
    <w:rsid w:val="00E22866"/>
    <w:rsid w:val="00E22B7B"/>
    <w:rsid w:val="00E22BC2"/>
    <w:rsid w:val="00E22CEA"/>
    <w:rsid w:val="00E232BF"/>
    <w:rsid w:val="00E23535"/>
    <w:rsid w:val="00E235FB"/>
    <w:rsid w:val="00E236E7"/>
    <w:rsid w:val="00E23775"/>
    <w:rsid w:val="00E237DF"/>
    <w:rsid w:val="00E238FA"/>
    <w:rsid w:val="00E2391C"/>
    <w:rsid w:val="00E23C81"/>
    <w:rsid w:val="00E23CA0"/>
    <w:rsid w:val="00E23D60"/>
    <w:rsid w:val="00E23DB8"/>
    <w:rsid w:val="00E23F63"/>
    <w:rsid w:val="00E23F68"/>
    <w:rsid w:val="00E240E7"/>
    <w:rsid w:val="00E24597"/>
    <w:rsid w:val="00E248BC"/>
    <w:rsid w:val="00E248EB"/>
    <w:rsid w:val="00E24948"/>
    <w:rsid w:val="00E24B9B"/>
    <w:rsid w:val="00E24BD7"/>
    <w:rsid w:val="00E24DB1"/>
    <w:rsid w:val="00E24DB9"/>
    <w:rsid w:val="00E24E83"/>
    <w:rsid w:val="00E24EF3"/>
    <w:rsid w:val="00E2510E"/>
    <w:rsid w:val="00E252EB"/>
    <w:rsid w:val="00E25480"/>
    <w:rsid w:val="00E25543"/>
    <w:rsid w:val="00E25587"/>
    <w:rsid w:val="00E255E6"/>
    <w:rsid w:val="00E256DD"/>
    <w:rsid w:val="00E256E3"/>
    <w:rsid w:val="00E25784"/>
    <w:rsid w:val="00E257A7"/>
    <w:rsid w:val="00E2589D"/>
    <w:rsid w:val="00E25950"/>
    <w:rsid w:val="00E259C3"/>
    <w:rsid w:val="00E25BE2"/>
    <w:rsid w:val="00E25BE5"/>
    <w:rsid w:val="00E25DAF"/>
    <w:rsid w:val="00E26136"/>
    <w:rsid w:val="00E26251"/>
    <w:rsid w:val="00E26482"/>
    <w:rsid w:val="00E264C1"/>
    <w:rsid w:val="00E264CA"/>
    <w:rsid w:val="00E264EC"/>
    <w:rsid w:val="00E2664B"/>
    <w:rsid w:val="00E2668F"/>
    <w:rsid w:val="00E268B6"/>
    <w:rsid w:val="00E26A99"/>
    <w:rsid w:val="00E26DE0"/>
    <w:rsid w:val="00E27003"/>
    <w:rsid w:val="00E2704F"/>
    <w:rsid w:val="00E2716D"/>
    <w:rsid w:val="00E272E4"/>
    <w:rsid w:val="00E2763F"/>
    <w:rsid w:val="00E27AA3"/>
    <w:rsid w:val="00E27BB8"/>
    <w:rsid w:val="00E27C51"/>
    <w:rsid w:val="00E27F07"/>
    <w:rsid w:val="00E30011"/>
    <w:rsid w:val="00E30160"/>
    <w:rsid w:val="00E30167"/>
    <w:rsid w:val="00E3049B"/>
    <w:rsid w:val="00E30673"/>
    <w:rsid w:val="00E306E0"/>
    <w:rsid w:val="00E30887"/>
    <w:rsid w:val="00E30B2F"/>
    <w:rsid w:val="00E30CE0"/>
    <w:rsid w:val="00E30CF2"/>
    <w:rsid w:val="00E30FAF"/>
    <w:rsid w:val="00E30FBD"/>
    <w:rsid w:val="00E3125A"/>
    <w:rsid w:val="00E31399"/>
    <w:rsid w:val="00E3148A"/>
    <w:rsid w:val="00E3149F"/>
    <w:rsid w:val="00E3196D"/>
    <w:rsid w:val="00E31A09"/>
    <w:rsid w:val="00E31C2B"/>
    <w:rsid w:val="00E31D5E"/>
    <w:rsid w:val="00E31E83"/>
    <w:rsid w:val="00E3222E"/>
    <w:rsid w:val="00E322F2"/>
    <w:rsid w:val="00E324AA"/>
    <w:rsid w:val="00E325E0"/>
    <w:rsid w:val="00E3263A"/>
    <w:rsid w:val="00E3267B"/>
    <w:rsid w:val="00E32BD2"/>
    <w:rsid w:val="00E32C1E"/>
    <w:rsid w:val="00E32D21"/>
    <w:rsid w:val="00E32F52"/>
    <w:rsid w:val="00E32F64"/>
    <w:rsid w:val="00E33064"/>
    <w:rsid w:val="00E330ED"/>
    <w:rsid w:val="00E33449"/>
    <w:rsid w:val="00E33485"/>
    <w:rsid w:val="00E33742"/>
    <w:rsid w:val="00E337D8"/>
    <w:rsid w:val="00E33834"/>
    <w:rsid w:val="00E3390B"/>
    <w:rsid w:val="00E33AC4"/>
    <w:rsid w:val="00E33CD4"/>
    <w:rsid w:val="00E33D3D"/>
    <w:rsid w:val="00E33DEF"/>
    <w:rsid w:val="00E3419C"/>
    <w:rsid w:val="00E34397"/>
    <w:rsid w:val="00E34653"/>
    <w:rsid w:val="00E348E8"/>
    <w:rsid w:val="00E348FB"/>
    <w:rsid w:val="00E34A52"/>
    <w:rsid w:val="00E34B38"/>
    <w:rsid w:val="00E34C31"/>
    <w:rsid w:val="00E3502B"/>
    <w:rsid w:val="00E3508D"/>
    <w:rsid w:val="00E350F4"/>
    <w:rsid w:val="00E353E8"/>
    <w:rsid w:val="00E3556C"/>
    <w:rsid w:val="00E3559F"/>
    <w:rsid w:val="00E35649"/>
    <w:rsid w:val="00E35865"/>
    <w:rsid w:val="00E35C81"/>
    <w:rsid w:val="00E35D9F"/>
    <w:rsid w:val="00E35E49"/>
    <w:rsid w:val="00E35EB9"/>
    <w:rsid w:val="00E35F08"/>
    <w:rsid w:val="00E3603C"/>
    <w:rsid w:val="00E360A9"/>
    <w:rsid w:val="00E360E3"/>
    <w:rsid w:val="00E3619C"/>
    <w:rsid w:val="00E36371"/>
    <w:rsid w:val="00E36440"/>
    <w:rsid w:val="00E36682"/>
    <w:rsid w:val="00E36AE8"/>
    <w:rsid w:val="00E36B0B"/>
    <w:rsid w:val="00E36CD9"/>
    <w:rsid w:val="00E36CFC"/>
    <w:rsid w:val="00E36E6D"/>
    <w:rsid w:val="00E37391"/>
    <w:rsid w:val="00E3751C"/>
    <w:rsid w:val="00E37666"/>
    <w:rsid w:val="00E3798B"/>
    <w:rsid w:val="00E379DE"/>
    <w:rsid w:val="00E37B04"/>
    <w:rsid w:val="00E37B7D"/>
    <w:rsid w:val="00E37CBF"/>
    <w:rsid w:val="00E37EA6"/>
    <w:rsid w:val="00E37F9D"/>
    <w:rsid w:val="00E400EE"/>
    <w:rsid w:val="00E402C8"/>
    <w:rsid w:val="00E403C9"/>
    <w:rsid w:val="00E40494"/>
    <w:rsid w:val="00E4055E"/>
    <w:rsid w:val="00E40965"/>
    <w:rsid w:val="00E40ADA"/>
    <w:rsid w:val="00E40B43"/>
    <w:rsid w:val="00E40E00"/>
    <w:rsid w:val="00E40FFE"/>
    <w:rsid w:val="00E411C5"/>
    <w:rsid w:val="00E4196D"/>
    <w:rsid w:val="00E41E3A"/>
    <w:rsid w:val="00E41E75"/>
    <w:rsid w:val="00E41F02"/>
    <w:rsid w:val="00E41F65"/>
    <w:rsid w:val="00E42120"/>
    <w:rsid w:val="00E42211"/>
    <w:rsid w:val="00E422E4"/>
    <w:rsid w:val="00E4251E"/>
    <w:rsid w:val="00E426E8"/>
    <w:rsid w:val="00E4291A"/>
    <w:rsid w:val="00E42A05"/>
    <w:rsid w:val="00E42AE0"/>
    <w:rsid w:val="00E42B44"/>
    <w:rsid w:val="00E42CA4"/>
    <w:rsid w:val="00E42E0F"/>
    <w:rsid w:val="00E42E28"/>
    <w:rsid w:val="00E43093"/>
    <w:rsid w:val="00E43139"/>
    <w:rsid w:val="00E4320C"/>
    <w:rsid w:val="00E4325A"/>
    <w:rsid w:val="00E43760"/>
    <w:rsid w:val="00E43A12"/>
    <w:rsid w:val="00E43BFE"/>
    <w:rsid w:val="00E43C86"/>
    <w:rsid w:val="00E43CC6"/>
    <w:rsid w:val="00E43DC2"/>
    <w:rsid w:val="00E44284"/>
    <w:rsid w:val="00E44560"/>
    <w:rsid w:val="00E446DA"/>
    <w:rsid w:val="00E44731"/>
    <w:rsid w:val="00E4491C"/>
    <w:rsid w:val="00E44B60"/>
    <w:rsid w:val="00E44BC4"/>
    <w:rsid w:val="00E44CBA"/>
    <w:rsid w:val="00E44CF0"/>
    <w:rsid w:val="00E44F1C"/>
    <w:rsid w:val="00E450CC"/>
    <w:rsid w:val="00E4533F"/>
    <w:rsid w:val="00E453E7"/>
    <w:rsid w:val="00E45652"/>
    <w:rsid w:val="00E45656"/>
    <w:rsid w:val="00E456C4"/>
    <w:rsid w:val="00E45710"/>
    <w:rsid w:val="00E45970"/>
    <w:rsid w:val="00E4597F"/>
    <w:rsid w:val="00E45998"/>
    <w:rsid w:val="00E45DB1"/>
    <w:rsid w:val="00E45DC9"/>
    <w:rsid w:val="00E460FC"/>
    <w:rsid w:val="00E46284"/>
    <w:rsid w:val="00E463B8"/>
    <w:rsid w:val="00E46429"/>
    <w:rsid w:val="00E46663"/>
    <w:rsid w:val="00E466FF"/>
    <w:rsid w:val="00E467E7"/>
    <w:rsid w:val="00E46829"/>
    <w:rsid w:val="00E469AF"/>
    <w:rsid w:val="00E46CBE"/>
    <w:rsid w:val="00E46DDF"/>
    <w:rsid w:val="00E46E0E"/>
    <w:rsid w:val="00E46FDD"/>
    <w:rsid w:val="00E47112"/>
    <w:rsid w:val="00E47574"/>
    <w:rsid w:val="00E47936"/>
    <w:rsid w:val="00E479C2"/>
    <w:rsid w:val="00E47A1E"/>
    <w:rsid w:val="00E47BA0"/>
    <w:rsid w:val="00E47BAE"/>
    <w:rsid w:val="00E50493"/>
    <w:rsid w:val="00E504A5"/>
    <w:rsid w:val="00E506BF"/>
    <w:rsid w:val="00E50766"/>
    <w:rsid w:val="00E50834"/>
    <w:rsid w:val="00E50984"/>
    <w:rsid w:val="00E50987"/>
    <w:rsid w:val="00E50A3A"/>
    <w:rsid w:val="00E50B22"/>
    <w:rsid w:val="00E50B7F"/>
    <w:rsid w:val="00E50CE8"/>
    <w:rsid w:val="00E50EBD"/>
    <w:rsid w:val="00E50EF6"/>
    <w:rsid w:val="00E511B9"/>
    <w:rsid w:val="00E5123B"/>
    <w:rsid w:val="00E51287"/>
    <w:rsid w:val="00E512E3"/>
    <w:rsid w:val="00E51419"/>
    <w:rsid w:val="00E5145E"/>
    <w:rsid w:val="00E51922"/>
    <w:rsid w:val="00E51996"/>
    <w:rsid w:val="00E51A1B"/>
    <w:rsid w:val="00E51AAA"/>
    <w:rsid w:val="00E51F93"/>
    <w:rsid w:val="00E5224A"/>
    <w:rsid w:val="00E52259"/>
    <w:rsid w:val="00E52303"/>
    <w:rsid w:val="00E5238C"/>
    <w:rsid w:val="00E524A8"/>
    <w:rsid w:val="00E5250D"/>
    <w:rsid w:val="00E526EF"/>
    <w:rsid w:val="00E528C0"/>
    <w:rsid w:val="00E528E0"/>
    <w:rsid w:val="00E52983"/>
    <w:rsid w:val="00E52A3D"/>
    <w:rsid w:val="00E52A40"/>
    <w:rsid w:val="00E52D7B"/>
    <w:rsid w:val="00E52EDB"/>
    <w:rsid w:val="00E53287"/>
    <w:rsid w:val="00E53390"/>
    <w:rsid w:val="00E534FB"/>
    <w:rsid w:val="00E53508"/>
    <w:rsid w:val="00E53636"/>
    <w:rsid w:val="00E53B67"/>
    <w:rsid w:val="00E53DDB"/>
    <w:rsid w:val="00E53FF7"/>
    <w:rsid w:val="00E54A18"/>
    <w:rsid w:val="00E54A2F"/>
    <w:rsid w:val="00E54C2E"/>
    <w:rsid w:val="00E54CAE"/>
    <w:rsid w:val="00E54F24"/>
    <w:rsid w:val="00E54F86"/>
    <w:rsid w:val="00E55050"/>
    <w:rsid w:val="00E55128"/>
    <w:rsid w:val="00E5512D"/>
    <w:rsid w:val="00E55166"/>
    <w:rsid w:val="00E55329"/>
    <w:rsid w:val="00E553B5"/>
    <w:rsid w:val="00E5565E"/>
    <w:rsid w:val="00E556F0"/>
    <w:rsid w:val="00E5585A"/>
    <w:rsid w:val="00E55A3E"/>
    <w:rsid w:val="00E55B1D"/>
    <w:rsid w:val="00E55CF3"/>
    <w:rsid w:val="00E55D83"/>
    <w:rsid w:val="00E55E61"/>
    <w:rsid w:val="00E55F4E"/>
    <w:rsid w:val="00E5613B"/>
    <w:rsid w:val="00E566CE"/>
    <w:rsid w:val="00E566D9"/>
    <w:rsid w:val="00E568CB"/>
    <w:rsid w:val="00E56A71"/>
    <w:rsid w:val="00E56C4D"/>
    <w:rsid w:val="00E56CDA"/>
    <w:rsid w:val="00E56D07"/>
    <w:rsid w:val="00E56D51"/>
    <w:rsid w:val="00E56E43"/>
    <w:rsid w:val="00E56ECC"/>
    <w:rsid w:val="00E56EFD"/>
    <w:rsid w:val="00E56FB8"/>
    <w:rsid w:val="00E573F4"/>
    <w:rsid w:val="00E574CE"/>
    <w:rsid w:val="00E576E2"/>
    <w:rsid w:val="00E57825"/>
    <w:rsid w:val="00E57C87"/>
    <w:rsid w:val="00E60008"/>
    <w:rsid w:val="00E60079"/>
    <w:rsid w:val="00E602AB"/>
    <w:rsid w:val="00E60841"/>
    <w:rsid w:val="00E60854"/>
    <w:rsid w:val="00E60891"/>
    <w:rsid w:val="00E60962"/>
    <w:rsid w:val="00E60D05"/>
    <w:rsid w:val="00E60EB5"/>
    <w:rsid w:val="00E60ED7"/>
    <w:rsid w:val="00E60FF4"/>
    <w:rsid w:val="00E612EB"/>
    <w:rsid w:val="00E61347"/>
    <w:rsid w:val="00E6148C"/>
    <w:rsid w:val="00E616E3"/>
    <w:rsid w:val="00E617B2"/>
    <w:rsid w:val="00E61C9A"/>
    <w:rsid w:val="00E61D4F"/>
    <w:rsid w:val="00E620E8"/>
    <w:rsid w:val="00E6221F"/>
    <w:rsid w:val="00E62232"/>
    <w:rsid w:val="00E623D3"/>
    <w:rsid w:val="00E6247E"/>
    <w:rsid w:val="00E624CE"/>
    <w:rsid w:val="00E626BD"/>
    <w:rsid w:val="00E62A81"/>
    <w:rsid w:val="00E62BF5"/>
    <w:rsid w:val="00E62CD2"/>
    <w:rsid w:val="00E62E0E"/>
    <w:rsid w:val="00E62E50"/>
    <w:rsid w:val="00E62E64"/>
    <w:rsid w:val="00E63077"/>
    <w:rsid w:val="00E6315B"/>
    <w:rsid w:val="00E63431"/>
    <w:rsid w:val="00E63601"/>
    <w:rsid w:val="00E63BAE"/>
    <w:rsid w:val="00E63D5B"/>
    <w:rsid w:val="00E63E89"/>
    <w:rsid w:val="00E63F79"/>
    <w:rsid w:val="00E641BD"/>
    <w:rsid w:val="00E64B31"/>
    <w:rsid w:val="00E64BCC"/>
    <w:rsid w:val="00E64CF5"/>
    <w:rsid w:val="00E64D0F"/>
    <w:rsid w:val="00E64DAB"/>
    <w:rsid w:val="00E64FDC"/>
    <w:rsid w:val="00E6524F"/>
    <w:rsid w:val="00E652DC"/>
    <w:rsid w:val="00E652E2"/>
    <w:rsid w:val="00E653D3"/>
    <w:rsid w:val="00E653EB"/>
    <w:rsid w:val="00E65582"/>
    <w:rsid w:val="00E65B2F"/>
    <w:rsid w:val="00E65C64"/>
    <w:rsid w:val="00E65CF2"/>
    <w:rsid w:val="00E65E63"/>
    <w:rsid w:val="00E6619E"/>
    <w:rsid w:val="00E6629B"/>
    <w:rsid w:val="00E66330"/>
    <w:rsid w:val="00E66593"/>
    <w:rsid w:val="00E66AE6"/>
    <w:rsid w:val="00E66B10"/>
    <w:rsid w:val="00E670E2"/>
    <w:rsid w:val="00E671CB"/>
    <w:rsid w:val="00E6742A"/>
    <w:rsid w:val="00E67613"/>
    <w:rsid w:val="00E67645"/>
    <w:rsid w:val="00E679D0"/>
    <w:rsid w:val="00E67C41"/>
    <w:rsid w:val="00E67D5F"/>
    <w:rsid w:val="00E67DD9"/>
    <w:rsid w:val="00E67DF2"/>
    <w:rsid w:val="00E67E37"/>
    <w:rsid w:val="00E67F72"/>
    <w:rsid w:val="00E70161"/>
    <w:rsid w:val="00E701D7"/>
    <w:rsid w:val="00E702C0"/>
    <w:rsid w:val="00E70488"/>
    <w:rsid w:val="00E70798"/>
    <w:rsid w:val="00E70877"/>
    <w:rsid w:val="00E70C50"/>
    <w:rsid w:val="00E70F2E"/>
    <w:rsid w:val="00E70F3F"/>
    <w:rsid w:val="00E70FCB"/>
    <w:rsid w:val="00E710E9"/>
    <w:rsid w:val="00E71222"/>
    <w:rsid w:val="00E7127D"/>
    <w:rsid w:val="00E71495"/>
    <w:rsid w:val="00E714AF"/>
    <w:rsid w:val="00E714C7"/>
    <w:rsid w:val="00E71779"/>
    <w:rsid w:val="00E717CD"/>
    <w:rsid w:val="00E718B0"/>
    <w:rsid w:val="00E719B3"/>
    <w:rsid w:val="00E71A32"/>
    <w:rsid w:val="00E71A86"/>
    <w:rsid w:val="00E71B39"/>
    <w:rsid w:val="00E71DDF"/>
    <w:rsid w:val="00E71E08"/>
    <w:rsid w:val="00E7219B"/>
    <w:rsid w:val="00E7227A"/>
    <w:rsid w:val="00E72350"/>
    <w:rsid w:val="00E723C8"/>
    <w:rsid w:val="00E72992"/>
    <w:rsid w:val="00E72A98"/>
    <w:rsid w:val="00E72BDC"/>
    <w:rsid w:val="00E72C70"/>
    <w:rsid w:val="00E72D87"/>
    <w:rsid w:val="00E72E31"/>
    <w:rsid w:val="00E73119"/>
    <w:rsid w:val="00E7362B"/>
    <w:rsid w:val="00E738F3"/>
    <w:rsid w:val="00E7395E"/>
    <w:rsid w:val="00E73B39"/>
    <w:rsid w:val="00E73B89"/>
    <w:rsid w:val="00E73E9C"/>
    <w:rsid w:val="00E73F59"/>
    <w:rsid w:val="00E743AF"/>
    <w:rsid w:val="00E744FC"/>
    <w:rsid w:val="00E74630"/>
    <w:rsid w:val="00E74711"/>
    <w:rsid w:val="00E74857"/>
    <w:rsid w:val="00E74C14"/>
    <w:rsid w:val="00E74DBB"/>
    <w:rsid w:val="00E74E0C"/>
    <w:rsid w:val="00E74E71"/>
    <w:rsid w:val="00E74F99"/>
    <w:rsid w:val="00E751A5"/>
    <w:rsid w:val="00E75302"/>
    <w:rsid w:val="00E75411"/>
    <w:rsid w:val="00E75633"/>
    <w:rsid w:val="00E7568D"/>
    <w:rsid w:val="00E7569E"/>
    <w:rsid w:val="00E75927"/>
    <w:rsid w:val="00E75A18"/>
    <w:rsid w:val="00E75B27"/>
    <w:rsid w:val="00E75E1B"/>
    <w:rsid w:val="00E76059"/>
    <w:rsid w:val="00E7641D"/>
    <w:rsid w:val="00E7642A"/>
    <w:rsid w:val="00E76480"/>
    <w:rsid w:val="00E7657F"/>
    <w:rsid w:val="00E765BE"/>
    <w:rsid w:val="00E76619"/>
    <w:rsid w:val="00E76879"/>
    <w:rsid w:val="00E76B6B"/>
    <w:rsid w:val="00E76C53"/>
    <w:rsid w:val="00E76DBD"/>
    <w:rsid w:val="00E76E3C"/>
    <w:rsid w:val="00E76E4A"/>
    <w:rsid w:val="00E76F04"/>
    <w:rsid w:val="00E771EB"/>
    <w:rsid w:val="00E77366"/>
    <w:rsid w:val="00E77526"/>
    <w:rsid w:val="00E7768C"/>
    <w:rsid w:val="00E7783E"/>
    <w:rsid w:val="00E7796E"/>
    <w:rsid w:val="00E779DF"/>
    <w:rsid w:val="00E77CBD"/>
    <w:rsid w:val="00E77E97"/>
    <w:rsid w:val="00E80805"/>
    <w:rsid w:val="00E80857"/>
    <w:rsid w:val="00E80A29"/>
    <w:rsid w:val="00E80B97"/>
    <w:rsid w:val="00E80FCD"/>
    <w:rsid w:val="00E81045"/>
    <w:rsid w:val="00E810D8"/>
    <w:rsid w:val="00E8117A"/>
    <w:rsid w:val="00E811A0"/>
    <w:rsid w:val="00E811BA"/>
    <w:rsid w:val="00E8128B"/>
    <w:rsid w:val="00E81484"/>
    <w:rsid w:val="00E814B5"/>
    <w:rsid w:val="00E81508"/>
    <w:rsid w:val="00E815C9"/>
    <w:rsid w:val="00E81646"/>
    <w:rsid w:val="00E816CE"/>
    <w:rsid w:val="00E817D5"/>
    <w:rsid w:val="00E81809"/>
    <w:rsid w:val="00E8188F"/>
    <w:rsid w:val="00E81909"/>
    <w:rsid w:val="00E8192B"/>
    <w:rsid w:val="00E8197B"/>
    <w:rsid w:val="00E8199A"/>
    <w:rsid w:val="00E81ED2"/>
    <w:rsid w:val="00E81F62"/>
    <w:rsid w:val="00E81FDC"/>
    <w:rsid w:val="00E823EB"/>
    <w:rsid w:val="00E82592"/>
    <w:rsid w:val="00E8274C"/>
    <w:rsid w:val="00E828C9"/>
    <w:rsid w:val="00E828FA"/>
    <w:rsid w:val="00E829B4"/>
    <w:rsid w:val="00E82DB6"/>
    <w:rsid w:val="00E82E8D"/>
    <w:rsid w:val="00E82F1B"/>
    <w:rsid w:val="00E82F2F"/>
    <w:rsid w:val="00E82FD1"/>
    <w:rsid w:val="00E83040"/>
    <w:rsid w:val="00E83293"/>
    <w:rsid w:val="00E83647"/>
    <w:rsid w:val="00E836C7"/>
    <w:rsid w:val="00E8380D"/>
    <w:rsid w:val="00E83A03"/>
    <w:rsid w:val="00E83B03"/>
    <w:rsid w:val="00E83BC4"/>
    <w:rsid w:val="00E83BFF"/>
    <w:rsid w:val="00E83E59"/>
    <w:rsid w:val="00E840FD"/>
    <w:rsid w:val="00E841CC"/>
    <w:rsid w:val="00E842F5"/>
    <w:rsid w:val="00E84348"/>
    <w:rsid w:val="00E84374"/>
    <w:rsid w:val="00E84459"/>
    <w:rsid w:val="00E84473"/>
    <w:rsid w:val="00E8472E"/>
    <w:rsid w:val="00E8475F"/>
    <w:rsid w:val="00E847B7"/>
    <w:rsid w:val="00E84A4C"/>
    <w:rsid w:val="00E84A5A"/>
    <w:rsid w:val="00E84C8E"/>
    <w:rsid w:val="00E84D03"/>
    <w:rsid w:val="00E84DE7"/>
    <w:rsid w:val="00E84F61"/>
    <w:rsid w:val="00E84FB2"/>
    <w:rsid w:val="00E84FFF"/>
    <w:rsid w:val="00E85166"/>
    <w:rsid w:val="00E85677"/>
    <w:rsid w:val="00E85761"/>
    <w:rsid w:val="00E8596C"/>
    <w:rsid w:val="00E85ADC"/>
    <w:rsid w:val="00E85DD0"/>
    <w:rsid w:val="00E85E7B"/>
    <w:rsid w:val="00E86105"/>
    <w:rsid w:val="00E86168"/>
    <w:rsid w:val="00E861AA"/>
    <w:rsid w:val="00E8634E"/>
    <w:rsid w:val="00E8643B"/>
    <w:rsid w:val="00E864C4"/>
    <w:rsid w:val="00E866AB"/>
    <w:rsid w:val="00E867CD"/>
    <w:rsid w:val="00E869FA"/>
    <w:rsid w:val="00E86B47"/>
    <w:rsid w:val="00E86B61"/>
    <w:rsid w:val="00E86E7A"/>
    <w:rsid w:val="00E87016"/>
    <w:rsid w:val="00E8714A"/>
    <w:rsid w:val="00E871F8"/>
    <w:rsid w:val="00E8735B"/>
    <w:rsid w:val="00E87416"/>
    <w:rsid w:val="00E87549"/>
    <w:rsid w:val="00E8771B"/>
    <w:rsid w:val="00E877AA"/>
    <w:rsid w:val="00E87F48"/>
    <w:rsid w:val="00E901FC"/>
    <w:rsid w:val="00E902C1"/>
    <w:rsid w:val="00E90316"/>
    <w:rsid w:val="00E903AA"/>
    <w:rsid w:val="00E903B7"/>
    <w:rsid w:val="00E90410"/>
    <w:rsid w:val="00E908C0"/>
    <w:rsid w:val="00E90990"/>
    <w:rsid w:val="00E909CC"/>
    <w:rsid w:val="00E90BD3"/>
    <w:rsid w:val="00E90CD6"/>
    <w:rsid w:val="00E90D89"/>
    <w:rsid w:val="00E90D8E"/>
    <w:rsid w:val="00E9100F"/>
    <w:rsid w:val="00E910D9"/>
    <w:rsid w:val="00E911D3"/>
    <w:rsid w:val="00E91259"/>
    <w:rsid w:val="00E913CE"/>
    <w:rsid w:val="00E913D1"/>
    <w:rsid w:val="00E9181E"/>
    <w:rsid w:val="00E91BC1"/>
    <w:rsid w:val="00E91C37"/>
    <w:rsid w:val="00E91CB6"/>
    <w:rsid w:val="00E9212C"/>
    <w:rsid w:val="00E921B0"/>
    <w:rsid w:val="00E921CC"/>
    <w:rsid w:val="00E92208"/>
    <w:rsid w:val="00E922E8"/>
    <w:rsid w:val="00E924B3"/>
    <w:rsid w:val="00E926F1"/>
    <w:rsid w:val="00E9285E"/>
    <w:rsid w:val="00E92B3E"/>
    <w:rsid w:val="00E92C5A"/>
    <w:rsid w:val="00E92E8A"/>
    <w:rsid w:val="00E93090"/>
    <w:rsid w:val="00E930A7"/>
    <w:rsid w:val="00E930E8"/>
    <w:rsid w:val="00E93191"/>
    <w:rsid w:val="00E93341"/>
    <w:rsid w:val="00E933AA"/>
    <w:rsid w:val="00E933BB"/>
    <w:rsid w:val="00E93578"/>
    <w:rsid w:val="00E9366C"/>
    <w:rsid w:val="00E93950"/>
    <w:rsid w:val="00E93D0E"/>
    <w:rsid w:val="00E93D2D"/>
    <w:rsid w:val="00E93D8C"/>
    <w:rsid w:val="00E941B1"/>
    <w:rsid w:val="00E94303"/>
    <w:rsid w:val="00E945B3"/>
    <w:rsid w:val="00E946FB"/>
    <w:rsid w:val="00E9475F"/>
    <w:rsid w:val="00E9477F"/>
    <w:rsid w:val="00E94852"/>
    <w:rsid w:val="00E949B2"/>
    <w:rsid w:val="00E94B8A"/>
    <w:rsid w:val="00E94CDE"/>
    <w:rsid w:val="00E94F04"/>
    <w:rsid w:val="00E94F56"/>
    <w:rsid w:val="00E95003"/>
    <w:rsid w:val="00E950AD"/>
    <w:rsid w:val="00E95238"/>
    <w:rsid w:val="00E952B1"/>
    <w:rsid w:val="00E95444"/>
    <w:rsid w:val="00E9545D"/>
    <w:rsid w:val="00E95559"/>
    <w:rsid w:val="00E95BAA"/>
    <w:rsid w:val="00E95EEE"/>
    <w:rsid w:val="00E95F7C"/>
    <w:rsid w:val="00E95FCC"/>
    <w:rsid w:val="00E96022"/>
    <w:rsid w:val="00E96157"/>
    <w:rsid w:val="00E96359"/>
    <w:rsid w:val="00E9651E"/>
    <w:rsid w:val="00E96A83"/>
    <w:rsid w:val="00E96BC4"/>
    <w:rsid w:val="00E97164"/>
    <w:rsid w:val="00E9739C"/>
    <w:rsid w:val="00E974C8"/>
    <w:rsid w:val="00E97559"/>
    <w:rsid w:val="00E9763E"/>
    <w:rsid w:val="00E97737"/>
    <w:rsid w:val="00E9777F"/>
    <w:rsid w:val="00E979C0"/>
    <w:rsid w:val="00E97AD6"/>
    <w:rsid w:val="00E97AFD"/>
    <w:rsid w:val="00E97E42"/>
    <w:rsid w:val="00E97F41"/>
    <w:rsid w:val="00EA0314"/>
    <w:rsid w:val="00EA04D4"/>
    <w:rsid w:val="00EA0675"/>
    <w:rsid w:val="00EA06CE"/>
    <w:rsid w:val="00EA0743"/>
    <w:rsid w:val="00EA09AE"/>
    <w:rsid w:val="00EA0B11"/>
    <w:rsid w:val="00EA0BE1"/>
    <w:rsid w:val="00EA0E8A"/>
    <w:rsid w:val="00EA1107"/>
    <w:rsid w:val="00EA11F5"/>
    <w:rsid w:val="00EA139D"/>
    <w:rsid w:val="00EA13A9"/>
    <w:rsid w:val="00EA14C7"/>
    <w:rsid w:val="00EA174A"/>
    <w:rsid w:val="00EA1752"/>
    <w:rsid w:val="00EA17DA"/>
    <w:rsid w:val="00EA182E"/>
    <w:rsid w:val="00EA1EB6"/>
    <w:rsid w:val="00EA1ECD"/>
    <w:rsid w:val="00EA2133"/>
    <w:rsid w:val="00EA21A0"/>
    <w:rsid w:val="00EA21A2"/>
    <w:rsid w:val="00EA21F1"/>
    <w:rsid w:val="00EA2266"/>
    <w:rsid w:val="00EA246E"/>
    <w:rsid w:val="00EA25BB"/>
    <w:rsid w:val="00EA2615"/>
    <w:rsid w:val="00EA26D3"/>
    <w:rsid w:val="00EA28D0"/>
    <w:rsid w:val="00EA2A76"/>
    <w:rsid w:val="00EA2CFC"/>
    <w:rsid w:val="00EA2D11"/>
    <w:rsid w:val="00EA2D31"/>
    <w:rsid w:val="00EA2DD2"/>
    <w:rsid w:val="00EA2F54"/>
    <w:rsid w:val="00EA2F87"/>
    <w:rsid w:val="00EA31CC"/>
    <w:rsid w:val="00EA31F1"/>
    <w:rsid w:val="00EA3628"/>
    <w:rsid w:val="00EA378F"/>
    <w:rsid w:val="00EA3910"/>
    <w:rsid w:val="00EA3935"/>
    <w:rsid w:val="00EA3B83"/>
    <w:rsid w:val="00EA3BA6"/>
    <w:rsid w:val="00EA3CBD"/>
    <w:rsid w:val="00EA3DD1"/>
    <w:rsid w:val="00EA3F36"/>
    <w:rsid w:val="00EA3F5B"/>
    <w:rsid w:val="00EA3FA4"/>
    <w:rsid w:val="00EA3FCA"/>
    <w:rsid w:val="00EA415F"/>
    <w:rsid w:val="00EA436F"/>
    <w:rsid w:val="00EA4598"/>
    <w:rsid w:val="00EA48BD"/>
    <w:rsid w:val="00EA48E2"/>
    <w:rsid w:val="00EA4A16"/>
    <w:rsid w:val="00EA4A1A"/>
    <w:rsid w:val="00EA4ABB"/>
    <w:rsid w:val="00EA4CFE"/>
    <w:rsid w:val="00EA4D93"/>
    <w:rsid w:val="00EA4E17"/>
    <w:rsid w:val="00EA4EF1"/>
    <w:rsid w:val="00EA50D4"/>
    <w:rsid w:val="00EA51AF"/>
    <w:rsid w:val="00EA537D"/>
    <w:rsid w:val="00EA53A8"/>
    <w:rsid w:val="00EA55F5"/>
    <w:rsid w:val="00EA569F"/>
    <w:rsid w:val="00EA5ADC"/>
    <w:rsid w:val="00EA5B45"/>
    <w:rsid w:val="00EA5B46"/>
    <w:rsid w:val="00EA5B81"/>
    <w:rsid w:val="00EA5D46"/>
    <w:rsid w:val="00EA5ECA"/>
    <w:rsid w:val="00EA5FCB"/>
    <w:rsid w:val="00EA60AD"/>
    <w:rsid w:val="00EA617E"/>
    <w:rsid w:val="00EA63EF"/>
    <w:rsid w:val="00EA687D"/>
    <w:rsid w:val="00EA68B3"/>
    <w:rsid w:val="00EA6A91"/>
    <w:rsid w:val="00EA6ADE"/>
    <w:rsid w:val="00EA6B49"/>
    <w:rsid w:val="00EA6BEC"/>
    <w:rsid w:val="00EA6C2A"/>
    <w:rsid w:val="00EA6C7B"/>
    <w:rsid w:val="00EA720F"/>
    <w:rsid w:val="00EA72AF"/>
    <w:rsid w:val="00EA7337"/>
    <w:rsid w:val="00EA7485"/>
    <w:rsid w:val="00EA7766"/>
    <w:rsid w:val="00EA7834"/>
    <w:rsid w:val="00EA7994"/>
    <w:rsid w:val="00EA7A2F"/>
    <w:rsid w:val="00EA7BBD"/>
    <w:rsid w:val="00EA7C2C"/>
    <w:rsid w:val="00EA7FAC"/>
    <w:rsid w:val="00EB0236"/>
    <w:rsid w:val="00EB0602"/>
    <w:rsid w:val="00EB0C97"/>
    <w:rsid w:val="00EB0DBD"/>
    <w:rsid w:val="00EB0E69"/>
    <w:rsid w:val="00EB1196"/>
    <w:rsid w:val="00EB12D5"/>
    <w:rsid w:val="00EB1360"/>
    <w:rsid w:val="00EB1428"/>
    <w:rsid w:val="00EB152C"/>
    <w:rsid w:val="00EB16B9"/>
    <w:rsid w:val="00EB19BD"/>
    <w:rsid w:val="00EB1AC9"/>
    <w:rsid w:val="00EB1C0A"/>
    <w:rsid w:val="00EB1D8F"/>
    <w:rsid w:val="00EB2129"/>
    <w:rsid w:val="00EB234D"/>
    <w:rsid w:val="00EB2466"/>
    <w:rsid w:val="00EB2711"/>
    <w:rsid w:val="00EB275E"/>
    <w:rsid w:val="00EB29FC"/>
    <w:rsid w:val="00EB2EAF"/>
    <w:rsid w:val="00EB3211"/>
    <w:rsid w:val="00EB343D"/>
    <w:rsid w:val="00EB3569"/>
    <w:rsid w:val="00EB3612"/>
    <w:rsid w:val="00EB3934"/>
    <w:rsid w:val="00EB3BC3"/>
    <w:rsid w:val="00EB3F90"/>
    <w:rsid w:val="00EB3FFB"/>
    <w:rsid w:val="00EB40CF"/>
    <w:rsid w:val="00EB4182"/>
    <w:rsid w:val="00EB41D2"/>
    <w:rsid w:val="00EB44DE"/>
    <w:rsid w:val="00EB47D4"/>
    <w:rsid w:val="00EB4813"/>
    <w:rsid w:val="00EB48EB"/>
    <w:rsid w:val="00EB49D6"/>
    <w:rsid w:val="00EB4AC9"/>
    <w:rsid w:val="00EB4C0E"/>
    <w:rsid w:val="00EB4EA9"/>
    <w:rsid w:val="00EB51A9"/>
    <w:rsid w:val="00EB51FB"/>
    <w:rsid w:val="00EB5243"/>
    <w:rsid w:val="00EB52B7"/>
    <w:rsid w:val="00EB55DA"/>
    <w:rsid w:val="00EB5964"/>
    <w:rsid w:val="00EB59BF"/>
    <w:rsid w:val="00EB5A3A"/>
    <w:rsid w:val="00EB5CBE"/>
    <w:rsid w:val="00EB5EC2"/>
    <w:rsid w:val="00EB6320"/>
    <w:rsid w:val="00EB636D"/>
    <w:rsid w:val="00EB6524"/>
    <w:rsid w:val="00EB6655"/>
    <w:rsid w:val="00EB6A3F"/>
    <w:rsid w:val="00EB6C46"/>
    <w:rsid w:val="00EB6DAE"/>
    <w:rsid w:val="00EB6DFF"/>
    <w:rsid w:val="00EB7383"/>
    <w:rsid w:val="00EB742E"/>
    <w:rsid w:val="00EB75D3"/>
    <w:rsid w:val="00EB7720"/>
    <w:rsid w:val="00EB7965"/>
    <w:rsid w:val="00EB7A54"/>
    <w:rsid w:val="00EB7C36"/>
    <w:rsid w:val="00EB7CC4"/>
    <w:rsid w:val="00EC009F"/>
    <w:rsid w:val="00EC0208"/>
    <w:rsid w:val="00EC02F7"/>
    <w:rsid w:val="00EC042A"/>
    <w:rsid w:val="00EC04FF"/>
    <w:rsid w:val="00EC058A"/>
    <w:rsid w:val="00EC07B5"/>
    <w:rsid w:val="00EC0818"/>
    <w:rsid w:val="00EC0850"/>
    <w:rsid w:val="00EC0954"/>
    <w:rsid w:val="00EC0C62"/>
    <w:rsid w:val="00EC0CBC"/>
    <w:rsid w:val="00EC0DA2"/>
    <w:rsid w:val="00EC0E87"/>
    <w:rsid w:val="00EC0EEC"/>
    <w:rsid w:val="00EC12CB"/>
    <w:rsid w:val="00EC1805"/>
    <w:rsid w:val="00EC18CC"/>
    <w:rsid w:val="00EC1CB0"/>
    <w:rsid w:val="00EC1E1D"/>
    <w:rsid w:val="00EC1E27"/>
    <w:rsid w:val="00EC1E97"/>
    <w:rsid w:val="00EC1F6E"/>
    <w:rsid w:val="00EC2018"/>
    <w:rsid w:val="00EC2386"/>
    <w:rsid w:val="00EC2616"/>
    <w:rsid w:val="00EC2701"/>
    <w:rsid w:val="00EC27B2"/>
    <w:rsid w:val="00EC2AC1"/>
    <w:rsid w:val="00EC2BB1"/>
    <w:rsid w:val="00EC2EC7"/>
    <w:rsid w:val="00EC30D1"/>
    <w:rsid w:val="00EC3303"/>
    <w:rsid w:val="00EC3518"/>
    <w:rsid w:val="00EC36E5"/>
    <w:rsid w:val="00EC3717"/>
    <w:rsid w:val="00EC374A"/>
    <w:rsid w:val="00EC3961"/>
    <w:rsid w:val="00EC39A9"/>
    <w:rsid w:val="00EC3AE6"/>
    <w:rsid w:val="00EC3AEC"/>
    <w:rsid w:val="00EC3F50"/>
    <w:rsid w:val="00EC439B"/>
    <w:rsid w:val="00EC43FA"/>
    <w:rsid w:val="00EC45B6"/>
    <w:rsid w:val="00EC4D10"/>
    <w:rsid w:val="00EC4E07"/>
    <w:rsid w:val="00EC4E42"/>
    <w:rsid w:val="00EC4EA3"/>
    <w:rsid w:val="00EC4F94"/>
    <w:rsid w:val="00EC50E0"/>
    <w:rsid w:val="00EC5330"/>
    <w:rsid w:val="00EC53C7"/>
    <w:rsid w:val="00EC5892"/>
    <w:rsid w:val="00EC5A28"/>
    <w:rsid w:val="00EC5A68"/>
    <w:rsid w:val="00EC5AFA"/>
    <w:rsid w:val="00EC5B4A"/>
    <w:rsid w:val="00EC5CD8"/>
    <w:rsid w:val="00EC5DB9"/>
    <w:rsid w:val="00EC5E59"/>
    <w:rsid w:val="00EC5F3D"/>
    <w:rsid w:val="00EC5F9D"/>
    <w:rsid w:val="00EC609E"/>
    <w:rsid w:val="00EC60F7"/>
    <w:rsid w:val="00EC644F"/>
    <w:rsid w:val="00EC65D1"/>
    <w:rsid w:val="00EC67A6"/>
    <w:rsid w:val="00EC6A2B"/>
    <w:rsid w:val="00EC6B0B"/>
    <w:rsid w:val="00EC6B11"/>
    <w:rsid w:val="00EC6D10"/>
    <w:rsid w:val="00EC6D30"/>
    <w:rsid w:val="00EC6DA6"/>
    <w:rsid w:val="00EC707B"/>
    <w:rsid w:val="00EC7196"/>
    <w:rsid w:val="00EC73D9"/>
    <w:rsid w:val="00EC797E"/>
    <w:rsid w:val="00EC7BA9"/>
    <w:rsid w:val="00EC7C0A"/>
    <w:rsid w:val="00ED00D6"/>
    <w:rsid w:val="00ED017E"/>
    <w:rsid w:val="00ED0436"/>
    <w:rsid w:val="00ED048B"/>
    <w:rsid w:val="00ED0ADB"/>
    <w:rsid w:val="00ED0BDD"/>
    <w:rsid w:val="00ED0C5A"/>
    <w:rsid w:val="00ED0C7C"/>
    <w:rsid w:val="00ED1179"/>
    <w:rsid w:val="00ED1610"/>
    <w:rsid w:val="00ED1898"/>
    <w:rsid w:val="00ED199F"/>
    <w:rsid w:val="00ED1B5E"/>
    <w:rsid w:val="00ED1CA9"/>
    <w:rsid w:val="00ED262A"/>
    <w:rsid w:val="00ED26F8"/>
    <w:rsid w:val="00ED2836"/>
    <w:rsid w:val="00ED2B20"/>
    <w:rsid w:val="00ED2D96"/>
    <w:rsid w:val="00ED2D97"/>
    <w:rsid w:val="00ED2EFD"/>
    <w:rsid w:val="00ED2F38"/>
    <w:rsid w:val="00ED2FDA"/>
    <w:rsid w:val="00ED2FFB"/>
    <w:rsid w:val="00ED3078"/>
    <w:rsid w:val="00ED33C5"/>
    <w:rsid w:val="00ED3418"/>
    <w:rsid w:val="00ED389B"/>
    <w:rsid w:val="00ED3A8D"/>
    <w:rsid w:val="00ED3B2A"/>
    <w:rsid w:val="00ED3B7B"/>
    <w:rsid w:val="00ED3BDE"/>
    <w:rsid w:val="00ED3C6A"/>
    <w:rsid w:val="00ED3DA5"/>
    <w:rsid w:val="00ED3DE0"/>
    <w:rsid w:val="00ED42B6"/>
    <w:rsid w:val="00ED479F"/>
    <w:rsid w:val="00ED47DC"/>
    <w:rsid w:val="00ED4A19"/>
    <w:rsid w:val="00ED5046"/>
    <w:rsid w:val="00ED50C2"/>
    <w:rsid w:val="00ED5131"/>
    <w:rsid w:val="00ED51A1"/>
    <w:rsid w:val="00ED51CD"/>
    <w:rsid w:val="00ED532E"/>
    <w:rsid w:val="00ED557D"/>
    <w:rsid w:val="00ED599A"/>
    <w:rsid w:val="00ED62DA"/>
    <w:rsid w:val="00ED63AB"/>
    <w:rsid w:val="00ED6707"/>
    <w:rsid w:val="00ED67B3"/>
    <w:rsid w:val="00ED68C6"/>
    <w:rsid w:val="00ED6A53"/>
    <w:rsid w:val="00ED6BD3"/>
    <w:rsid w:val="00ED6C00"/>
    <w:rsid w:val="00ED6F38"/>
    <w:rsid w:val="00ED71A2"/>
    <w:rsid w:val="00ED720C"/>
    <w:rsid w:val="00ED722A"/>
    <w:rsid w:val="00ED746B"/>
    <w:rsid w:val="00ED7610"/>
    <w:rsid w:val="00ED77D4"/>
    <w:rsid w:val="00ED7946"/>
    <w:rsid w:val="00ED7BCD"/>
    <w:rsid w:val="00ED7BDB"/>
    <w:rsid w:val="00ED7CC0"/>
    <w:rsid w:val="00ED7F35"/>
    <w:rsid w:val="00EE0195"/>
    <w:rsid w:val="00EE0309"/>
    <w:rsid w:val="00EE0546"/>
    <w:rsid w:val="00EE06E9"/>
    <w:rsid w:val="00EE0755"/>
    <w:rsid w:val="00EE092F"/>
    <w:rsid w:val="00EE0B48"/>
    <w:rsid w:val="00EE0E74"/>
    <w:rsid w:val="00EE0EAF"/>
    <w:rsid w:val="00EE0F55"/>
    <w:rsid w:val="00EE1286"/>
    <w:rsid w:val="00EE1288"/>
    <w:rsid w:val="00EE1441"/>
    <w:rsid w:val="00EE14A6"/>
    <w:rsid w:val="00EE15C0"/>
    <w:rsid w:val="00EE15D3"/>
    <w:rsid w:val="00EE168C"/>
    <w:rsid w:val="00EE181C"/>
    <w:rsid w:val="00EE1B91"/>
    <w:rsid w:val="00EE1C26"/>
    <w:rsid w:val="00EE1C6E"/>
    <w:rsid w:val="00EE1C7D"/>
    <w:rsid w:val="00EE20FD"/>
    <w:rsid w:val="00EE21E3"/>
    <w:rsid w:val="00EE22DC"/>
    <w:rsid w:val="00EE23B9"/>
    <w:rsid w:val="00EE2484"/>
    <w:rsid w:val="00EE261B"/>
    <w:rsid w:val="00EE26CC"/>
    <w:rsid w:val="00EE2709"/>
    <w:rsid w:val="00EE290F"/>
    <w:rsid w:val="00EE2C4E"/>
    <w:rsid w:val="00EE2E50"/>
    <w:rsid w:val="00EE2E93"/>
    <w:rsid w:val="00EE2EF2"/>
    <w:rsid w:val="00EE2FED"/>
    <w:rsid w:val="00EE30A6"/>
    <w:rsid w:val="00EE32E2"/>
    <w:rsid w:val="00EE3395"/>
    <w:rsid w:val="00EE3501"/>
    <w:rsid w:val="00EE36E3"/>
    <w:rsid w:val="00EE3851"/>
    <w:rsid w:val="00EE3922"/>
    <w:rsid w:val="00EE3BB2"/>
    <w:rsid w:val="00EE3CF4"/>
    <w:rsid w:val="00EE3CFE"/>
    <w:rsid w:val="00EE3D3C"/>
    <w:rsid w:val="00EE3DAE"/>
    <w:rsid w:val="00EE3F90"/>
    <w:rsid w:val="00EE4006"/>
    <w:rsid w:val="00EE409A"/>
    <w:rsid w:val="00EE4188"/>
    <w:rsid w:val="00EE42B7"/>
    <w:rsid w:val="00EE43D5"/>
    <w:rsid w:val="00EE45D0"/>
    <w:rsid w:val="00EE46CE"/>
    <w:rsid w:val="00EE475D"/>
    <w:rsid w:val="00EE478C"/>
    <w:rsid w:val="00EE48C2"/>
    <w:rsid w:val="00EE4B65"/>
    <w:rsid w:val="00EE4BC0"/>
    <w:rsid w:val="00EE4E0C"/>
    <w:rsid w:val="00EE4F28"/>
    <w:rsid w:val="00EE4F4F"/>
    <w:rsid w:val="00EE4FD9"/>
    <w:rsid w:val="00EE519F"/>
    <w:rsid w:val="00EE52A0"/>
    <w:rsid w:val="00EE534C"/>
    <w:rsid w:val="00EE53CA"/>
    <w:rsid w:val="00EE5693"/>
    <w:rsid w:val="00EE5877"/>
    <w:rsid w:val="00EE58D9"/>
    <w:rsid w:val="00EE58EA"/>
    <w:rsid w:val="00EE5983"/>
    <w:rsid w:val="00EE6301"/>
    <w:rsid w:val="00EE645D"/>
    <w:rsid w:val="00EE6A83"/>
    <w:rsid w:val="00EE6EEB"/>
    <w:rsid w:val="00EE6F5D"/>
    <w:rsid w:val="00EE70AE"/>
    <w:rsid w:val="00EE7112"/>
    <w:rsid w:val="00EE71E2"/>
    <w:rsid w:val="00EE72C1"/>
    <w:rsid w:val="00EE734B"/>
    <w:rsid w:val="00EE7615"/>
    <w:rsid w:val="00EE7627"/>
    <w:rsid w:val="00EE76D6"/>
    <w:rsid w:val="00EE784F"/>
    <w:rsid w:val="00EE7873"/>
    <w:rsid w:val="00EE78D8"/>
    <w:rsid w:val="00EE7AD6"/>
    <w:rsid w:val="00EE7C2B"/>
    <w:rsid w:val="00EE7D1A"/>
    <w:rsid w:val="00EE7F1A"/>
    <w:rsid w:val="00EE7FA9"/>
    <w:rsid w:val="00EF0792"/>
    <w:rsid w:val="00EF0C28"/>
    <w:rsid w:val="00EF0C40"/>
    <w:rsid w:val="00EF0D1C"/>
    <w:rsid w:val="00EF0EA8"/>
    <w:rsid w:val="00EF106C"/>
    <w:rsid w:val="00EF14B7"/>
    <w:rsid w:val="00EF1626"/>
    <w:rsid w:val="00EF18BE"/>
    <w:rsid w:val="00EF19EE"/>
    <w:rsid w:val="00EF1B78"/>
    <w:rsid w:val="00EF1E6F"/>
    <w:rsid w:val="00EF1F23"/>
    <w:rsid w:val="00EF27C6"/>
    <w:rsid w:val="00EF27D1"/>
    <w:rsid w:val="00EF293A"/>
    <w:rsid w:val="00EF29C3"/>
    <w:rsid w:val="00EF29C9"/>
    <w:rsid w:val="00EF29FD"/>
    <w:rsid w:val="00EF2A0D"/>
    <w:rsid w:val="00EF2CE0"/>
    <w:rsid w:val="00EF30E0"/>
    <w:rsid w:val="00EF3533"/>
    <w:rsid w:val="00EF3574"/>
    <w:rsid w:val="00EF35D6"/>
    <w:rsid w:val="00EF3712"/>
    <w:rsid w:val="00EF38DB"/>
    <w:rsid w:val="00EF3953"/>
    <w:rsid w:val="00EF3F6A"/>
    <w:rsid w:val="00EF400F"/>
    <w:rsid w:val="00EF403D"/>
    <w:rsid w:val="00EF4195"/>
    <w:rsid w:val="00EF4380"/>
    <w:rsid w:val="00EF44DA"/>
    <w:rsid w:val="00EF4854"/>
    <w:rsid w:val="00EF4920"/>
    <w:rsid w:val="00EF49CB"/>
    <w:rsid w:val="00EF4BA1"/>
    <w:rsid w:val="00EF4CC4"/>
    <w:rsid w:val="00EF4D06"/>
    <w:rsid w:val="00EF4D6B"/>
    <w:rsid w:val="00EF4E53"/>
    <w:rsid w:val="00EF4EE5"/>
    <w:rsid w:val="00EF4F61"/>
    <w:rsid w:val="00EF4FAB"/>
    <w:rsid w:val="00EF5186"/>
    <w:rsid w:val="00EF52D5"/>
    <w:rsid w:val="00EF55F5"/>
    <w:rsid w:val="00EF560A"/>
    <w:rsid w:val="00EF571C"/>
    <w:rsid w:val="00EF583E"/>
    <w:rsid w:val="00EF5AFE"/>
    <w:rsid w:val="00EF5C71"/>
    <w:rsid w:val="00EF5FC2"/>
    <w:rsid w:val="00EF5FF0"/>
    <w:rsid w:val="00EF6268"/>
    <w:rsid w:val="00EF6309"/>
    <w:rsid w:val="00EF6505"/>
    <w:rsid w:val="00EF66B1"/>
    <w:rsid w:val="00EF66E8"/>
    <w:rsid w:val="00EF6AC3"/>
    <w:rsid w:val="00EF6BDE"/>
    <w:rsid w:val="00EF6C18"/>
    <w:rsid w:val="00EF6C73"/>
    <w:rsid w:val="00EF6C7E"/>
    <w:rsid w:val="00EF6EFC"/>
    <w:rsid w:val="00EF70F8"/>
    <w:rsid w:val="00EF733A"/>
    <w:rsid w:val="00EF7769"/>
    <w:rsid w:val="00EF78C1"/>
    <w:rsid w:val="00EF79C6"/>
    <w:rsid w:val="00EF7BED"/>
    <w:rsid w:val="00EF7CEC"/>
    <w:rsid w:val="00EF7DD0"/>
    <w:rsid w:val="00EF7F04"/>
    <w:rsid w:val="00F00257"/>
    <w:rsid w:val="00F002AE"/>
    <w:rsid w:val="00F002D3"/>
    <w:rsid w:val="00F0030F"/>
    <w:rsid w:val="00F003F6"/>
    <w:rsid w:val="00F00796"/>
    <w:rsid w:val="00F00984"/>
    <w:rsid w:val="00F00BFC"/>
    <w:rsid w:val="00F00C2C"/>
    <w:rsid w:val="00F00CED"/>
    <w:rsid w:val="00F0120B"/>
    <w:rsid w:val="00F012C7"/>
    <w:rsid w:val="00F01303"/>
    <w:rsid w:val="00F01604"/>
    <w:rsid w:val="00F01E8A"/>
    <w:rsid w:val="00F01F0F"/>
    <w:rsid w:val="00F01FFE"/>
    <w:rsid w:val="00F0223F"/>
    <w:rsid w:val="00F02383"/>
    <w:rsid w:val="00F02573"/>
    <w:rsid w:val="00F0274D"/>
    <w:rsid w:val="00F028AB"/>
    <w:rsid w:val="00F02999"/>
    <w:rsid w:val="00F029A2"/>
    <w:rsid w:val="00F02C7D"/>
    <w:rsid w:val="00F02CEF"/>
    <w:rsid w:val="00F02E99"/>
    <w:rsid w:val="00F03367"/>
    <w:rsid w:val="00F0339E"/>
    <w:rsid w:val="00F033CA"/>
    <w:rsid w:val="00F034D9"/>
    <w:rsid w:val="00F034FE"/>
    <w:rsid w:val="00F03836"/>
    <w:rsid w:val="00F03886"/>
    <w:rsid w:val="00F0388F"/>
    <w:rsid w:val="00F03CC5"/>
    <w:rsid w:val="00F03F5B"/>
    <w:rsid w:val="00F03FB9"/>
    <w:rsid w:val="00F03FF1"/>
    <w:rsid w:val="00F040B1"/>
    <w:rsid w:val="00F04202"/>
    <w:rsid w:val="00F04319"/>
    <w:rsid w:val="00F0431C"/>
    <w:rsid w:val="00F044E0"/>
    <w:rsid w:val="00F045AC"/>
    <w:rsid w:val="00F0481E"/>
    <w:rsid w:val="00F0498B"/>
    <w:rsid w:val="00F04A4F"/>
    <w:rsid w:val="00F04AFB"/>
    <w:rsid w:val="00F04BE5"/>
    <w:rsid w:val="00F04CEF"/>
    <w:rsid w:val="00F04E58"/>
    <w:rsid w:val="00F05220"/>
    <w:rsid w:val="00F0567C"/>
    <w:rsid w:val="00F056F6"/>
    <w:rsid w:val="00F05A3C"/>
    <w:rsid w:val="00F05FC9"/>
    <w:rsid w:val="00F0609A"/>
    <w:rsid w:val="00F06160"/>
    <w:rsid w:val="00F0617D"/>
    <w:rsid w:val="00F06197"/>
    <w:rsid w:val="00F0634B"/>
    <w:rsid w:val="00F0650C"/>
    <w:rsid w:val="00F0657D"/>
    <w:rsid w:val="00F06652"/>
    <w:rsid w:val="00F066D2"/>
    <w:rsid w:val="00F06B26"/>
    <w:rsid w:val="00F06B49"/>
    <w:rsid w:val="00F070D0"/>
    <w:rsid w:val="00F071D4"/>
    <w:rsid w:val="00F075FD"/>
    <w:rsid w:val="00F078C6"/>
    <w:rsid w:val="00F07998"/>
    <w:rsid w:val="00F07F7C"/>
    <w:rsid w:val="00F1028E"/>
    <w:rsid w:val="00F10407"/>
    <w:rsid w:val="00F10516"/>
    <w:rsid w:val="00F1052A"/>
    <w:rsid w:val="00F10810"/>
    <w:rsid w:val="00F10B9F"/>
    <w:rsid w:val="00F10C0F"/>
    <w:rsid w:val="00F10C95"/>
    <w:rsid w:val="00F10D22"/>
    <w:rsid w:val="00F10DB8"/>
    <w:rsid w:val="00F112F8"/>
    <w:rsid w:val="00F114A2"/>
    <w:rsid w:val="00F115AF"/>
    <w:rsid w:val="00F117A5"/>
    <w:rsid w:val="00F1183E"/>
    <w:rsid w:val="00F11A34"/>
    <w:rsid w:val="00F11B83"/>
    <w:rsid w:val="00F11CEE"/>
    <w:rsid w:val="00F1208C"/>
    <w:rsid w:val="00F121D7"/>
    <w:rsid w:val="00F12227"/>
    <w:rsid w:val="00F12415"/>
    <w:rsid w:val="00F1271A"/>
    <w:rsid w:val="00F127B2"/>
    <w:rsid w:val="00F1287D"/>
    <w:rsid w:val="00F12D75"/>
    <w:rsid w:val="00F12F71"/>
    <w:rsid w:val="00F12FAD"/>
    <w:rsid w:val="00F131F7"/>
    <w:rsid w:val="00F1320A"/>
    <w:rsid w:val="00F13589"/>
    <w:rsid w:val="00F1359B"/>
    <w:rsid w:val="00F135B8"/>
    <w:rsid w:val="00F13943"/>
    <w:rsid w:val="00F13A20"/>
    <w:rsid w:val="00F13E8F"/>
    <w:rsid w:val="00F14131"/>
    <w:rsid w:val="00F14357"/>
    <w:rsid w:val="00F14625"/>
    <w:rsid w:val="00F1468B"/>
    <w:rsid w:val="00F149FF"/>
    <w:rsid w:val="00F14A97"/>
    <w:rsid w:val="00F14BAA"/>
    <w:rsid w:val="00F14D31"/>
    <w:rsid w:val="00F14DF6"/>
    <w:rsid w:val="00F15182"/>
    <w:rsid w:val="00F153D7"/>
    <w:rsid w:val="00F154BB"/>
    <w:rsid w:val="00F1553A"/>
    <w:rsid w:val="00F15567"/>
    <w:rsid w:val="00F1558C"/>
    <w:rsid w:val="00F155B9"/>
    <w:rsid w:val="00F156C9"/>
    <w:rsid w:val="00F15920"/>
    <w:rsid w:val="00F15C86"/>
    <w:rsid w:val="00F15DA7"/>
    <w:rsid w:val="00F15FE4"/>
    <w:rsid w:val="00F162D5"/>
    <w:rsid w:val="00F16454"/>
    <w:rsid w:val="00F164BC"/>
    <w:rsid w:val="00F166BC"/>
    <w:rsid w:val="00F166EF"/>
    <w:rsid w:val="00F168C7"/>
    <w:rsid w:val="00F16976"/>
    <w:rsid w:val="00F169AB"/>
    <w:rsid w:val="00F16C5B"/>
    <w:rsid w:val="00F16DCC"/>
    <w:rsid w:val="00F16E3D"/>
    <w:rsid w:val="00F16E6A"/>
    <w:rsid w:val="00F16EE3"/>
    <w:rsid w:val="00F174BA"/>
    <w:rsid w:val="00F17573"/>
    <w:rsid w:val="00F17581"/>
    <w:rsid w:val="00F175E4"/>
    <w:rsid w:val="00F176AE"/>
    <w:rsid w:val="00F1785B"/>
    <w:rsid w:val="00F17C1D"/>
    <w:rsid w:val="00F17C59"/>
    <w:rsid w:val="00F17CBA"/>
    <w:rsid w:val="00F17DD1"/>
    <w:rsid w:val="00F17F37"/>
    <w:rsid w:val="00F17F7B"/>
    <w:rsid w:val="00F200D8"/>
    <w:rsid w:val="00F20104"/>
    <w:rsid w:val="00F201B5"/>
    <w:rsid w:val="00F203DF"/>
    <w:rsid w:val="00F205DD"/>
    <w:rsid w:val="00F2079D"/>
    <w:rsid w:val="00F207EE"/>
    <w:rsid w:val="00F20A9E"/>
    <w:rsid w:val="00F20B70"/>
    <w:rsid w:val="00F20BE4"/>
    <w:rsid w:val="00F20D89"/>
    <w:rsid w:val="00F20E97"/>
    <w:rsid w:val="00F20E98"/>
    <w:rsid w:val="00F2105D"/>
    <w:rsid w:val="00F21151"/>
    <w:rsid w:val="00F2117A"/>
    <w:rsid w:val="00F2118D"/>
    <w:rsid w:val="00F21300"/>
    <w:rsid w:val="00F214E9"/>
    <w:rsid w:val="00F215AC"/>
    <w:rsid w:val="00F215C0"/>
    <w:rsid w:val="00F216A5"/>
    <w:rsid w:val="00F21791"/>
    <w:rsid w:val="00F218F0"/>
    <w:rsid w:val="00F219A2"/>
    <w:rsid w:val="00F21D3C"/>
    <w:rsid w:val="00F21D9C"/>
    <w:rsid w:val="00F2209A"/>
    <w:rsid w:val="00F22334"/>
    <w:rsid w:val="00F22464"/>
    <w:rsid w:val="00F22586"/>
    <w:rsid w:val="00F225A2"/>
    <w:rsid w:val="00F22B5A"/>
    <w:rsid w:val="00F22CD1"/>
    <w:rsid w:val="00F22E07"/>
    <w:rsid w:val="00F22E70"/>
    <w:rsid w:val="00F230CF"/>
    <w:rsid w:val="00F23125"/>
    <w:rsid w:val="00F233C5"/>
    <w:rsid w:val="00F2358E"/>
    <w:rsid w:val="00F23591"/>
    <w:rsid w:val="00F235D1"/>
    <w:rsid w:val="00F2386B"/>
    <w:rsid w:val="00F23934"/>
    <w:rsid w:val="00F23988"/>
    <w:rsid w:val="00F23B2E"/>
    <w:rsid w:val="00F23C53"/>
    <w:rsid w:val="00F23CB0"/>
    <w:rsid w:val="00F23DFF"/>
    <w:rsid w:val="00F23E16"/>
    <w:rsid w:val="00F23E89"/>
    <w:rsid w:val="00F2424E"/>
    <w:rsid w:val="00F24269"/>
    <w:rsid w:val="00F243B0"/>
    <w:rsid w:val="00F24500"/>
    <w:rsid w:val="00F2455F"/>
    <w:rsid w:val="00F247D0"/>
    <w:rsid w:val="00F2487A"/>
    <w:rsid w:val="00F24982"/>
    <w:rsid w:val="00F24A41"/>
    <w:rsid w:val="00F24B22"/>
    <w:rsid w:val="00F24DE4"/>
    <w:rsid w:val="00F2508B"/>
    <w:rsid w:val="00F2523E"/>
    <w:rsid w:val="00F25258"/>
    <w:rsid w:val="00F25388"/>
    <w:rsid w:val="00F25415"/>
    <w:rsid w:val="00F254C4"/>
    <w:rsid w:val="00F25528"/>
    <w:rsid w:val="00F25541"/>
    <w:rsid w:val="00F2554C"/>
    <w:rsid w:val="00F2561E"/>
    <w:rsid w:val="00F256A6"/>
    <w:rsid w:val="00F256E8"/>
    <w:rsid w:val="00F257D7"/>
    <w:rsid w:val="00F25918"/>
    <w:rsid w:val="00F25933"/>
    <w:rsid w:val="00F259DE"/>
    <w:rsid w:val="00F25A14"/>
    <w:rsid w:val="00F25DE3"/>
    <w:rsid w:val="00F25FC7"/>
    <w:rsid w:val="00F26173"/>
    <w:rsid w:val="00F2621C"/>
    <w:rsid w:val="00F262D8"/>
    <w:rsid w:val="00F268A4"/>
    <w:rsid w:val="00F2693F"/>
    <w:rsid w:val="00F269A7"/>
    <w:rsid w:val="00F26A0C"/>
    <w:rsid w:val="00F26B56"/>
    <w:rsid w:val="00F26F04"/>
    <w:rsid w:val="00F270A3"/>
    <w:rsid w:val="00F270F7"/>
    <w:rsid w:val="00F27163"/>
    <w:rsid w:val="00F27197"/>
    <w:rsid w:val="00F27252"/>
    <w:rsid w:val="00F2731E"/>
    <w:rsid w:val="00F2734C"/>
    <w:rsid w:val="00F27669"/>
    <w:rsid w:val="00F2767B"/>
    <w:rsid w:val="00F27893"/>
    <w:rsid w:val="00F2790C"/>
    <w:rsid w:val="00F279B3"/>
    <w:rsid w:val="00F27A48"/>
    <w:rsid w:val="00F27A5E"/>
    <w:rsid w:val="00F27B61"/>
    <w:rsid w:val="00F27C1D"/>
    <w:rsid w:val="00F27D1A"/>
    <w:rsid w:val="00F27DC4"/>
    <w:rsid w:val="00F27F11"/>
    <w:rsid w:val="00F30216"/>
    <w:rsid w:val="00F302B4"/>
    <w:rsid w:val="00F30317"/>
    <w:rsid w:val="00F304C2"/>
    <w:rsid w:val="00F304E6"/>
    <w:rsid w:val="00F3058C"/>
    <w:rsid w:val="00F30981"/>
    <w:rsid w:val="00F30A6E"/>
    <w:rsid w:val="00F30C10"/>
    <w:rsid w:val="00F30CBD"/>
    <w:rsid w:val="00F31184"/>
    <w:rsid w:val="00F3159E"/>
    <w:rsid w:val="00F31615"/>
    <w:rsid w:val="00F316E6"/>
    <w:rsid w:val="00F317CD"/>
    <w:rsid w:val="00F31A8E"/>
    <w:rsid w:val="00F31F38"/>
    <w:rsid w:val="00F31FBC"/>
    <w:rsid w:val="00F3211B"/>
    <w:rsid w:val="00F32205"/>
    <w:rsid w:val="00F324CA"/>
    <w:rsid w:val="00F324E1"/>
    <w:rsid w:val="00F324F8"/>
    <w:rsid w:val="00F32516"/>
    <w:rsid w:val="00F3251D"/>
    <w:rsid w:val="00F325E5"/>
    <w:rsid w:val="00F327E3"/>
    <w:rsid w:val="00F329EB"/>
    <w:rsid w:val="00F32A1B"/>
    <w:rsid w:val="00F32CB0"/>
    <w:rsid w:val="00F32D4D"/>
    <w:rsid w:val="00F32D7A"/>
    <w:rsid w:val="00F32D99"/>
    <w:rsid w:val="00F330D1"/>
    <w:rsid w:val="00F335A7"/>
    <w:rsid w:val="00F33A77"/>
    <w:rsid w:val="00F33B44"/>
    <w:rsid w:val="00F33DBD"/>
    <w:rsid w:val="00F33F42"/>
    <w:rsid w:val="00F33F86"/>
    <w:rsid w:val="00F33FA4"/>
    <w:rsid w:val="00F3447E"/>
    <w:rsid w:val="00F34679"/>
    <w:rsid w:val="00F34681"/>
    <w:rsid w:val="00F34D4B"/>
    <w:rsid w:val="00F34D76"/>
    <w:rsid w:val="00F34F47"/>
    <w:rsid w:val="00F3537B"/>
    <w:rsid w:val="00F354AE"/>
    <w:rsid w:val="00F3559E"/>
    <w:rsid w:val="00F356FC"/>
    <w:rsid w:val="00F35701"/>
    <w:rsid w:val="00F35709"/>
    <w:rsid w:val="00F35772"/>
    <w:rsid w:val="00F358B5"/>
    <w:rsid w:val="00F358BF"/>
    <w:rsid w:val="00F35955"/>
    <w:rsid w:val="00F359D4"/>
    <w:rsid w:val="00F35B96"/>
    <w:rsid w:val="00F35C15"/>
    <w:rsid w:val="00F35C55"/>
    <w:rsid w:val="00F35F55"/>
    <w:rsid w:val="00F3621B"/>
    <w:rsid w:val="00F3637A"/>
    <w:rsid w:val="00F365A1"/>
    <w:rsid w:val="00F3695D"/>
    <w:rsid w:val="00F36969"/>
    <w:rsid w:val="00F36990"/>
    <w:rsid w:val="00F369B8"/>
    <w:rsid w:val="00F36A46"/>
    <w:rsid w:val="00F36B20"/>
    <w:rsid w:val="00F36B8F"/>
    <w:rsid w:val="00F36E41"/>
    <w:rsid w:val="00F36FC6"/>
    <w:rsid w:val="00F37017"/>
    <w:rsid w:val="00F37174"/>
    <w:rsid w:val="00F375FD"/>
    <w:rsid w:val="00F3777D"/>
    <w:rsid w:val="00F377BD"/>
    <w:rsid w:val="00F37974"/>
    <w:rsid w:val="00F37ADF"/>
    <w:rsid w:val="00F37C21"/>
    <w:rsid w:val="00F37DA4"/>
    <w:rsid w:val="00F37DCA"/>
    <w:rsid w:val="00F37EF6"/>
    <w:rsid w:val="00F37F5C"/>
    <w:rsid w:val="00F401F4"/>
    <w:rsid w:val="00F402DB"/>
    <w:rsid w:val="00F402F5"/>
    <w:rsid w:val="00F40392"/>
    <w:rsid w:val="00F404C6"/>
    <w:rsid w:val="00F40BA0"/>
    <w:rsid w:val="00F40EFA"/>
    <w:rsid w:val="00F40F40"/>
    <w:rsid w:val="00F4106B"/>
    <w:rsid w:val="00F4132D"/>
    <w:rsid w:val="00F41450"/>
    <w:rsid w:val="00F4179C"/>
    <w:rsid w:val="00F41812"/>
    <w:rsid w:val="00F41B36"/>
    <w:rsid w:val="00F41BF7"/>
    <w:rsid w:val="00F41CE8"/>
    <w:rsid w:val="00F41DD6"/>
    <w:rsid w:val="00F41EDA"/>
    <w:rsid w:val="00F420B6"/>
    <w:rsid w:val="00F423D2"/>
    <w:rsid w:val="00F42418"/>
    <w:rsid w:val="00F426F0"/>
    <w:rsid w:val="00F42835"/>
    <w:rsid w:val="00F42940"/>
    <w:rsid w:val="00F42BD6"/>
    <w:rsid w:val="00F42DAC"/>
    <w:rsid w:val="00F4317E"/>
    <w:rsid w:val="00F43294"/>
    <w:rsid w:val="00F432F1"/>
    <w:rsid w:val="00F434D7"/>
    <w:rsid w:val="00F4376E"/>
    <w:rsid w:val="00F4384B"/>
    <w:rsid w:val="00F439F7"/>
    <w:rsid w:val="00F43CF7"/>
    <w:rsid w:val="00F43E09"/>
    <w:rsid w:val="00F43E25"/>
    <w:rsid w:val="00F43FC9"/>
    <w:rsid w:val="00F440F1"/>
    <w:rsid w:val="00F44130"/>
    <w:rsid w:val="00F441AC"/>
    <w:rsid w:val="00F4431A"/>
    <w:rsid w:val="00F4450E"/>
    <w:rsid w:val="00F44531"/>
    <w:rsid w:val="00F4457D"/>
    <w:rsid w:val="00F44719"/>
    <w:rsid w:val="00F44A0F"/>
    <w:rsid w:val="00F44C07"/>
    <w:rsid w:val="00F450BB"/>
    <w:rsid w:val="00F45431"/>
    <w:rsid w:val="00F45630"/>
    <w:rsid w:val="00F45909"/>
    <w:rsid w:val="00F45E22"/>
    <w:rsid w:val="00F45F00"/>
    <w:rsid w:val="00F45F7D"/>
    <w:rsid w:val="00F45FA2"/>
    <w:rsid w:val="00F4607F"/>
    <w:rsid w:val="00F4620A"/>
    <w:rsid w:val="00F4622F"/>
    <w:rsid w:val="00F4627C"/>
    <w:rsid w:val="00F4632D"/>
    <w:rsid w:val="00F46539"/>
    <w:rsid w:val="00F46CD6"/>
    <w:rsid w:val="00F46EAA"/>
    <w:rsid w:val="00F46F41"/>
    <w:rsid w:val="00F46F4E"/>
    <w:rsid w:val="00F47119"/>
    <w:rsid w:val="00F471D3"/>
    <w:rsid w:val="00F47430"/>
    <w:rsid w:val="00F47571"/>
    <w:rsid w:val="00F475F5"/>
    <w:rsid w:val="00F4779A"/>
    <w:rsid w:val="00F47939"/>
    <w:rsid w:val="00F47B52"/>
    <w:rsid w:val="00F47BBC"/>
    <w:rsid w:val="00F47CB7"/>
    <w:rsid w:val="00F47D94"/>
    <w:rsid w:val="00F47E33"/>
    <w:rsid w:val="00F47E3E"/>
    <w:rsid w:val="00F50011"/>
    <w:rsid w:val="00F500CC"/>
    <w:rsid w:val="00F500E8"/>
    <w:rsid w:val="00F5056A"/>
    <w:rsid w:val="00F50784"/>
    <w:rsid w:val="00F50905"/>
    <w:rsid w:val="00F50A1D"/>
    <w:rsid w:val="00F50A42"/>
    <w:rsid w:val="00F50FA7"/>
    <w:rsid w:val="00F50FDB"/>
    <w:rsid w:val="00F51310"/>
    <w:rsid w:val="00F5146C"/>
    <w:rsid w:val="00F5148E"/>
    <w:rsid w:val="00F514DA"/>
    <w:rsid w:val="00F5171F"/>
    <w:rsid w:val="00F517C3"/>
    <w:rsid w:val="00F519A0"/>
    <w:rsid w:val="00F51A82"/>
    <w:rsid w:val="00F51C1A"/>
    <w:rsid w:val="00F51D9E"/>
    <w:rsid w:val="00F51DD7"/>
    <w:rsid w:val="00F51F18"/>
    <w:rsid w:val="00F520F7"/>
    <w:rsid w:val="00F522CB"/>
    <w:rsid w:val="00F52448"/>
    <w:rsid w:val="00F5259B"/>
    <w:rsid w:val="00F52763"/>
    <w:rsid w:val="00F52917"/>
    <w:rsid w:val="00F52A5C"/>
    <w:rsid w:val="00F52E0C"/>
    <w:rsid w:val="00F5333C"/>
    <w:rsid w:val="00F53469"/>
    <w:rsid w:val="00F534BB"/>
    <w:rsid w:val="00F534E9"/>
    <w:rsid w:val="00F535BF"/>
    <w:rsid w:val="00F537CC"/>
    <w:rsid w:val="00F539E3"/>
    <w:rsid w:val="00F53D50"/>
    <w:rsid w:val="00F53D6B"/>
    <w:rsid w:val="00F53ED9"/>
    <w:rsid w:val="00F5400F"/>
    <w:rsid w:val="00F5409A"/>
    <w:rsid w:val="00F54133"/>
    <w:rsid w:val="00F5420B"/>
    <w:rsid w:val="00F5420C"/>
    <w:rsid w:val="00F54244"/>
    <w:rsid w:val="00F54292"/>
    <w:rsid w:val="00F542FF"/>
    <w:rsid w:val="00F5433D"/>
    <w:rsid w:val="00F54354"/>
    <w:rsid w:val="00F5442B"/>
    <w:rsid w:val="00F545D7"/>
    <w:rsid w:val="00F54654"/>
    <w:rsid w:val="00F54741"/>
    <w:rsid w:val="00F5476B"/>
    <w:rsid w:val="00F54901"/>
    <w:rsid w:val="00F54A16"/>
    <w:rsid w:val="00F54AD1"/>
    <w:rsid w:val="00F54B55"/>
    <w:rsid w:val="00F54CDA"/>
    <w:rsid w:val="00F54D59"/>
    <w:rsid w:val="00F54DD3"/>
    <w:rsid w:val="00F54F5B"/>
    <w:rsid w:val="00F54FBB"/>
    <w:rsid w:val="00F55246"/>
    <w:rsid w:val="00F55251"/>
    <w:rsid w:val="00F552AD"/>
    <w:rsid w:val="00F553DE"/>
    <w:rsid w:val="00F5541B"/>
    <w:rsid w:val="00F5542B"/>
    <w:rsid w:val="00F556C4"/>
    <w:rsid w:val="00F55741"/>
    <w:rsid w:val="00F55972"/>
    <w:rsid w:val="00F55A17"/>
    <w:rsid w:val="00F55A46"/>
    <w:rsid w:val="00F55B51"/>
    <w:rsid w:val="00F55CBC"/>
    <w:rsid w:val="00F55E65"/>
    <w:rsid w:val="00F562B1"/>
    <w:rsid w:val="00F562CB"/>
    <w:rsid w:val="00F5644B"/>
    <w:rsid w:val="00F567B2"/>
    <w:rsid w:val="00F56988"/>
    <w:rsid w:val="00F56A05"/>
    <w:rsid w:val="00F56AB3"/>
    <w:rsid w:val="00F56B08"/>
    <w:rsid w:val="00F56BE7"/>
    <w:rsid w:val="00F56C5F"/>
    <w:rsid w:val="00F56CAC"/>
    <w:rsid w:val="00F56EC7"/>
    <w:rsid w:val="00F56EDE"/>
    <w:rsid w:val="00F57099"/>
    <w:rsid w:val="00F571BC"/>
    <w:rsid w:val="00F572CD"/>
    <w:rsid w:val="00F572F3"/>
    <w:rsid w:val="00F57700"/>
    <w:rsid w:val="00F60016"/>
    <w:rsid w:val="00F60110"/>
    <w:rsid w:val="00F60255"/>
    <w:rsid w:val="00F602F7"/>
    <w:rsid w:val="00F603E5"/>
    <w:rsid w:val="00F60411"/>
    <w:rsid w:val="00F60511"/>
    <w:rsid w:val="00F60634"/>
    <w:rsid w:val="00F6083A"/>
    <w:rsid w:val="00F60954"/>
    <w:rsid w:val="00F60F08"/>
    <w:rsid w:val="00F60F9A"/>
    <w:rsid w:val="00F610D5"/>
    <w:rsid w:val="00F611C9"/>
    <w:rsid w:val="00F61329"/>
    <w:rsid w:val="00F6146D"/>
    <w:rsid w:val="00F61685"/>
    <w:rsid w:val="00F61798"/>
    <w:rsid w:val="00F61928"/>
    <w:rsid w:val="00F61C2B"/>
    <w:rsid w:val="00F61E40"/>
    <w:rsid w:val="00F61FF6"/>
    <w:rsid w:val="00F62003"/>
    <w:rsid w:val="00F6207E"/>
    <w:rsid w:val="00F622FE"/>
    <w:rsid w:val="00F62398"/>
    <w:rsid w:val="00F625F4"/>
    <w:rsid w:val="00F62787"/>
    <w:rsid w:val="00F627B0"/>
    <w:rsid w:val="00F6280A"/>
    <w:rsid w:val="00F62922"/>
    <w:rsid w:val="00F6295E"/>
    <w:rsid w:val="00F62A0C"/>
    <w:rsid w:val="00F62B61"/>
    <w:rsid w:val="00F62B79"/>
    <w:rsid w:val="00F62BE9"/>
    <w:rsid w:val="00F62BF0"/>
    <w:rsid w:val="00F62BF8"/>
    <w:rsid w:val="00F62C6E"/>
    <w:rsid w:val="00F62D23"/>
    <w:rsid w:val="00F62DCF"/>
    <w:rsid w:val="00F62E82"/>
    <w:rsid w:val="00F62EA7"/>
    <w:rsid w:val="00F62F68"/>
    <w:rsid w:val="00F62FB1"/>
    <w:rsid w:val="00F63164"/>
    <w:rsid w:val="00F63187"/>
    <w:rsid w:val="00F631F5"/>
    <w:rsid w:val="00F633C4"/>
    <w:rsid w:val="00F634D8"/>
    <w:rsid w:val="00F6351D"/>
    <w:rsid w:val="00F63556"/>
    <w:rsid w:val="00F6359B"/>
    <w:rsid w:val="00F6360B"/>
    <w:rsid w:val="00F63FFB"/>
    <w:rsid w:val="00F64176"/>
    <w:rsid w:val="00F6423A"/>
    <w:rsid w:val="00F642F0"/>
    <w:rsid w:val="00F64323"/>
    <w:rsid w:val="00F6442F"/>
    <w:rsid w:val="00F644B4"/>
    <w:rsid w:val="00F646B4"/>
    <w:rsid w:val="00F646DB"/>
    <w:rsid w:val="00F6473C"/>
    <w:rsid w:val="00F6486B"/>
    <w:rsid w:val="00F64AE1"/>
    <w:rsid w:val="00F64B19"/>
    <w:rsid w:val="00F64BF5"/>
    <w:rsid w:val="00F64E2A"/>
    <w:rsid w:val="00F64EDB"/>
    <w:rsid w:val="00F6503F"/>
    <w:rsid w:val="00F654B4"/>
    <w:rsid w:val="00F65531"/>
    <w:rsid w:val="00F656FB"/>
    <w:rsid w:val="00F65854"/>
    <w:rsid w:val="00F65938"/>
    <w:rsid w:val="00F65968"/>
    <w:rsid w:val="00F65AA1"/>
    <w:rsid w:val="00F65B4C"/>
    <w:rsid w:val="00F65ECF"/>
    <w:rsid w:val="00F65F5E"/>
    <w:rsid w:val="00F66174"/>
    <w:rsid w:val="00F66272"/>
    <w:rsid w:val="00F66467"/>
    <w:rsid w:val="00F664C6"/>
    <w:rsid w:val="00F6651E"/>
    <w:rsid w:val="00F66700"/>
    <w:rsid w:val="00F66746"/>
    <w:rsid w:val="00F667A8"/>
    <w:rsid w:val="00F66BF6"/>
    <w:rsid w:val="00F66C68"/>
    <w:rsid w:val="00F66D8A"/>
    <w:rsid w:val="00F66E20"/>
    <w:rsid w:val="00F6715E"/>
    <w:rsid w:val="00F674C3"/>
    <w:rsid w:val="00F6766E"/>
    <w:rsid w:val="00F676D6"/>
    <w:rsid w:val="00F679E0"/>
    <w:rsid w:val="00F679FB"/>
    <w:rsid w:val="00F67A94"/>
    <w:rsid w:val="00F67AF7"/>
    <w:rsid w:val="00F67B95"/>
    <w:rsid w:val="00F67BE0"/>
    <w:rsid w:val="00F67DEB"/>
    <w:rsid w:val="00F67F32"/>
    <w:rsid w:val="00F701A1"/>
    <w:rsid w:val="00F70274"/>
    <w:rsid w:val="00F70397"/>
    <w:rsid w:val="00F70671"/>
    <w:rsid w:val="00F70713"/>
    <w:rsid w:val="00F7073C"/>
    <w:rsid w:val="00F708EB"/>
    <w:rsid w:val="00F7093A"/>
    <w:rsid w:val="00F70B35"/>
    <w:rsid w:val="00F70C64"/>
    <w:rsid w:val="00F70CB3"/>
    <w:rsid w:val="00F70CF0"/>
    <w:rsid w:val="00F70DE8"/>
    <w:rsid w:val="00F71242"/>
    <w:rsid w:val="00F712EA"/>
    <w:rsid w:val="00F713B5"/>
    <w:rsid w:val="00F71477"/>
    <w:rsid w:val="00F71487"/>
    <w:rsid w:val="00F7153F"/>
    <w:rsid w:val="00F71891"/>
    <w:rsid w:val="00F71C92"/>
    <w:rsid w:val="00F71C9E"/>
    <w:rsid w:val="00F71D40"/>
    <w:rsid w:val="00F71D8B"/>
    <w:rsid w:val="00F71D95"/>
    <w:rsid w:val="00F71E53"/>
    <w:rsid w:val="00F72102"/>
    <w:rsid w:val="00F7234E"/>
    <w:rsid w:val="00F72461"/>
    <w:rsid w:val="00F724D8"/>
    <w:rsid w:val="00F72593"/>
    <w:rsid w:val="00F725D9"/>
    <w:rsid w:val="00F72B62"/>
    <w:rsid w:val="00F72C31"/>
    <w:rsid w:val="00F72C4D"/>
    <w:rsid w:val="00F72D95"/>
    <w:rsid w:val="00F72DE3"/>
    <w:rsid w:val="00F72DFA"/>
    <w:rsid w:val="00F72E9A"/>
    <w:rsid w:val="00F73137"/>
    <w:rsid w:val="00F73280"/>
    <w:rsid w:val="00F7344F"/>
    <w:rsid w:val="00F7366C"/>
    <w:rsid w:val="00F736C1"/>
    <w:rsid w:val="00F7374A"/>
    <w:rsid w:val="00F737BD"/>
    <w:rsid w:val="00F73B65"/>
    <w:rsid w:val="00F73CF5"/>
    <w:rsid w:val="00F73D66"/>
    <w:rsid w:val="00F73E3B"/>
    <w:rsid w:val="00F74026"/>
    <w:rsid w:val="00F740BD"/>
    <w:rsid w:val="00F7424D"/>
    <w:rsid w:val="00F74253"/>
    <w:rsid w:val="00F74464"/>
    <w:rsid w:val="00F74519"/>
    <w:rsid w:val="00F745B7"/>
    <w:rsid w:val="00F746FD"/>
    <w:rsid w:val="00F74BBA"/>
    <w:rsid w:val="00F74C4D"/>
    <w:rsid w:val="00F74C5D"/>
    <w:rsid w:val="00F74D8D"/>
    <w:rsid w:val="00F74F2B"/>
    <w:rsid w:val="00F74F2D"/>
    <w:rsid w:val="00F75094"/>
    <w:rsid w:val="00F750A0"/>
    <w:rsid w:val="00F75191"/>
    <w:rsid w:val="00F756C2"/>
    <w:rsid w:val="00F75907"/>
    <w:rsid w:val="00F75CE1"/>
    <w:rsid w:val="00F75D90"/>
    <w:rsid w:val="00F7604A"/>
    <w:rsid w:val="00F76221"/>
    <w:rsid w:val="00F7632B"/>
    <w:rsid w:val="00F76426"/>
    <w:rsid w:val="00F76453"/>
    <w:rsid w:val="00F7667B"/>
    <w:rsid w:val="00F7677D"/>
    <w:rsid w:val="00F7679B"/>
    <w:rsid w:val="00F767B2"/>
    <w:rsid w:val="00F76805"/>
    <w:rsid w:val="00F7680C"/>
    <w:rsid w:val="00F7680E"/>
    <w:rsid w:val="00F76A44"/>
    <w:rsid w:val="00F76CF8"/>
    <w:rsid w:val="00F76D15"/>
    <w:rsid w:val="00F76F0C"/>
    <w:rsid w:val="00F77014"/>
    <w:rsid w:val="00F770CE"/>
    <w:rsid w:val="00F77193"/>
    <w:rsid w:val="00F7736D"/>
    <w:rsid w:val="00F7740C"/>
    <w:rsid w:val="00F77499"/>
    <w:rsid w:val="00F77805"/>
    <w:rsid w:val="00F7798B"/>
    <w:rsid w:val="00F779F0"/>
    <w:rsid w:val="00F77A18"/>
    <w:rsid w:val="00F77A2F"/>
    <w:rsid w:val="00F77A6A"/>
    <w:rsid w:val="00F77B6A"/>
    <w:rsid w:val="00F77C53"/>
    <w:rsid w:val="00F77CBB"/>
    <w:rsid w:val="00F77D1F"/>
    <w:rsid w:val="00F77E13"/>
    <w:rsid w:val="00F77EB7"/>
    <w:rsid w:val="00F80074"/>
    <w:rsid w:val="00F800BC"/>
    <w:rsid w:val="00F801A5"/>
    <w:rsid w:val="00F80260"/>
    <w:rsid w:val="00F80265"/>
    <w:rsid w:val="00F8027B"/>
    <w:rsid w:val="00F80355"/>
    <w:rsid w:val="00F8037D"/>
    <w:rsid w:val="00F8062A"/>
    <w:rsid w:val="00F80975"/>
    <w:rsid w:val="00F80CC3"/>
    <w:rsid w:val="00F810D2"/>
    <w:rsid w:val="00F81254"/>
    <w:rsid w:val="00F81274"/>
    <w:rsid w:val="00F8139D"/>
    <w:rsid w:val="00F816D1"/>
    <w:rsid w:val="00F81AAF"/>
    <w:rsid w:val="00F81ABF"/>
    <w:rsid w:val="00F81B8A"/>
    <w:rsid w:val="00F81C62"/>
    <w:rsid w:val="00F81DA1"/>
    <w:rsid w:val="00F81FC5"/>
    <w:rsid w:val="00F81FF9"/>
    <w:rsid w:val="00F824A4"/>
    <w:rsid w:val="00F824B4"/>
    <w:rsid w:val="00F8250B"/>
    <w:rsid w:val="00F82536"/>
    <w:rsid w:val="00F8257B"/>
    <w:rsid w:val="00F82697"/>
    <w:rsid w:val="00F82BB0"/>
    <w:rsid w:val="00F82C42"/>
    <w:rsid w:val="00F82CDE"/>
    <w:rsid w:val="00F8306D"/>
    <w:rsid w:val="00F831CD"/>
    <w:rsid w:val="00F83392"/>
    <w:rsid w:val="00F83ACD"/>
    <w:rsid w:val="00F83BB9"/>
    <w:rsid w:val="00F83DFA"/>
    <w:rsid w:val="00F8411C"/>
    <w:rsid w:val="00F842AB"/>
    <w:rsid w:val="00F843BE"/>
    <w:rsid w:val="00F844C0"/>
    <w:rsid w:val="00F8473C"/>
    <w:rsid w:val="00F84A31"/>
    <w:rsid w:val="00F84B58"/>
    <w:rsid w:val="00F84C6F"/>
    <w:rsid w:val="00F84CF8"/>
    <w:rsid w:val="00F84E76"/>
    <w:rsid w:val="00F85064"/>
    <w:rsid w:val="00F85092"/>
    <w:rsid w:val="00F85111"/>
    <w:rsid w:val="00F852C9"/>
    <w:rsid w:val="00F85335"/>
    <w:rsid w:val="00F853B5"/>
    <w:rsid w:val="00F8541B"/>
    <w:rsid w:val="00F855AC"/>
    <w:rsid w:val="00F855CB"/>
    <w:rsid w:val="00F855FA"/>
    <w:rsid w:val="00F8570E"/>
    <w:rsid w:val="00F8573B"/>
    <w:rsid w:val="00F85776"/>
    <w:rsid w:val="00F8588A"/>
    <w:rsid w:val="00F85964"/>
    <w:rsid w:val="00F85B2A"/>
    <w:rsid w:val="00F85E40"/>
    <w:rsid w:val="00F85ED0"/>
    <w:rsid w:val="00F85F52"/>
    <w:rsid w:val="00F85F66"/>
    <w:rsid w:val="00F860D4"/>
    <w:rsid w:val="00F8625D"/>
    <w:rsid w:val="00F86265"/>
    <w:rsid w:val="00F864DE"/>
    <w:rsid w:val="00F86654"/>
    <w:rsid w:val="00F866A3"/>
    <w:rsid w:val="00F866E8"/>
    <w:rsid w:val="00F869B9"/>
    <w:rsid w:val="00F87030"/>
    <w:rsid w:val="00F87039"/>
    <w:rsid w:val="00F87043"/>
    <w:rsid w:val="00F87164"/>
    <w:rsid w:val="00F87193"/>
    <w:rsid w:val="00F87266"/>
    <w:rsid w:val="00F87586"/>
    <w:rsid w:val="00F87698"/>
    <w:rsid w:val="00F87806"/>
    <w:rsid w:val="00F87A1C"/>
    <w:rsid w:val="00F87C2E"/>
    <w:rsid w:val="00F87C63"/>
    <w:rsid w:val="00F87F5D"/>
    <w:rsid w:val="00F90071"/>
    <w:rsid w:val="00F90311"/>
    <w:rsid w:val="00F90662"/>
    <w:rsid w:val="00F906F8"/>
    <w:rsid w:val="00F9080C"/>
    <w:rsid w:val="00F90996"/>
    <w:rsid w:val="00F90CB6"/>
    <w:rsid w:val="00F90CD0"/>
    <w:rsid w:val="00F90FE8"/>
    <w:rsid w:val="00F911BE"/>
    <w:rsid w:val="00F91426"/>
    <w:rsid w:val="00F91657"/>
    <w:rsid w:val="00F91796"/>
    <w:rsid w:val="00F918B1"/>
    <w:rsid w:val="00F918E4"/>
    <w:rsid w:val="00F91AAB"/>
    <w:rsid w:val="00F91BB0"/>
    <w:rsid w:val="00F91C0D"/>
    <w:rsid w:val="00F91C23"/>
    <w:rsid w:val="00F91C61"/>
    <w:rsid w:val="00F91DF0"/>
    <w:rsid w:val="00F91E39"/>
    <w:rsid w:val="00F91E79"/>
    <w:rsid w:val="00F92302"/>
    <w:rsid w:val="00F925C9"/>
    <w:rsid w:val="00F92692"/>
    <w:rsid w:val="00F9295C"/>
    <w:rsid w:val="00F92F0C"/>
    <w:rsid w:val="00F92FBF"/>
    <w:rsid w:val="00F933AC"/>
    <w:rsid w:val="00F93622"/>
    <w:rsid w:val="00F9367B"/>
    <w:rsid w:val="00F93742"/>
    <w:rsid w:val="00F93853"/>
    <w:rsid w:val="00F93945"/>
    <w:rsid w:val="00F93B43"/>
    <w:rsid w:val="00F93DC1"/>
    <w:rsid w:val="00F93E7A"/>
    <w:rsid w:val="00F93EC9"/>
    <w:rsid w:val="00F9416A"/>
    <w:rsid w:val="00F9422A"/>
    <w:rsid w:val="00F944A5"/>
    <w:rsid w:val="00F9453F"/>
    <w:rsid w:val="00F9455B"/>
    <w:rsid w:val="00F94623"/>
    <w:rsid w:val="00F94744"/>
    <w:rsid w:val="00F94785"/>
    <w:rsid w:val="00F9483B"/>
    <w:rsid w:val="00F94974"/>
    <w:rsid w:val="00F94CB5"/>
    <w:rsid w:val="00F94E92"/>
    <w:rsid w:val="00F95110"/>
    <w:rsid w:val="00F95143"/>
    <w:rsid w:val="00F95187"/>
    <w:rsid w:val="00F951C5"/>
    <w:rsid w:val="00F95230"/>
    <w:rsid w:val="00F95322"/>
    <w:rsid w:val="00F9540F"/>
    <w:rsid w:val="00F954D3"/>
    <w:rsid w:val="00F95717"/>
    <w:rsid w:val="00F95766"/>
    <w:rsid w:val="00F95841"/>
    <w:rsid w:val="00F9594F"/>
    <w:rsid w:val="00F95B99"/>
    <w:rsid w:val="00F95DE3"/>
    <w:rsid w:val="00F96061"/>
    <w:rsid w:val="00F9625C"/>
    <w:rsid w:val="00F96275"/>
    <w:rsid w:val="00F96290"/>
    <w:rsid w:val="00F96451"/>
    <w:rsid w:val="00F967BB"/>
    <w:rsid w:val="00F96990"/>
    <w:rsid w:val="00F969B8"/>
    <w:rsid w:val="00F969E2"/>
    <w:rsid w:val="00F96B50"/>
    <w:rsid w:val="00F96EFA"/>
    <w:rsid w:val="00F96F01"/>
    <w:rsid w:val="00F96F3D"/>
    <w:rsid w:val="00F97298"/>
    <w:rsid w:val="00F97578"/>
    <w:rsid w:val="00F975F0"/>
    <w:rsid w:val="00F9780E"/>
    <w:rsid w:val="00F97878"/>
    <w:rsid w:val="00F979A5"/>
    <w:rsid w:val="00F979E1"/>
    <w:rsid w:val="00F97C42"/>
    <w:rsid w:val="00F97E51"/>
    <w:rsid w:val="00F97E72"/>
    <w:rsid w:val="00FA00D2"/>
    <w:rsid w:val="00FA0749"/>
    <w:rsid w:val="00FA08D4"/>
    <w:rsid w:val="00FA0AC6"/>
    <w:rsid w:val="00FA0ADD"/>
    <w:rsid w:val="00FA0CC5"/>
    <w:rsid w:val="00FA0D58"/>
    <w:rsid w:val="00FA0E97"/>
    <w:rsid w:val="00FA0FB4"/>
    <w:rsid w:val="00FA1534"/>
    <w:rsid w:val="00FA154F"/>
    <w:rsid w:val="00FA1553"/>
    <w:rsid w:val="00FA17DB"/>
    <w:rsid w:val="00FA196D"/>
    <w:rsid w:val="00FA1AF0"/>
    <w:rsid w:val="00FA1DE8"/>
    <w:rsid w:val="00FA20BE"/>
    <w:rsid w:val="00FA269F"/>
    <w:rsid w:val="00FA2860"/>
    <w:rsid w:val="00FA2A5F"/>
    <w:rsid w:val="00FA2BD0"/>
    <w:rsid w:val="00FA2C3F"/>
    <w:rsid w:val="00FA2D33"/>
    <w:rsid w:val="00FA3859"/>
    <w:rsid w:val="00FA38FA"/>
    <w:rsid w:val="00FA3B21"/>
    <w:rsid w:val="00FA3FB3"/>
    <w:rsid w:val="00FA3FBD"/>
    <w:rsid w:val="00FA4002"/>
    <w:rsid w:val="00FA4083"/>
    <w:rsid w:val="00FA4727"/>
    <w:rsid w:val="00FA4997"/>
    <w:rsid w:val="00FA4A01"/>
    <w:rsid w:val="00FA4D82"/>
    <w:rsid w:val="00FA4E9F"/>
    <w:rsid w:val="00FA4F8D"/>
    <w:rsid w:val="00FA5306"/>
    <w:rsid w:val="00FA5557"/>
    <w:rsid w:val="00FA56FB"/>
    <w:rsid w:val="00FA587D"/>
    <w:rsid w:val="00FA5C5A"/>
    <w:rsid w:val="00FA60B8"/>
    <w:rsid w:val="00FA6130"/>
    <w:rsid w:val="00FA6340"/>
    <w:rsid w:val="00FA63D0"/>
    <w:rsid w:val="00FA647E"/>
    <w:rsid w:val="00FA64A6"/>
    <w:rsid w:val="00FA672E"/>
    <w:rsid w:val="00FA6A00"/>
    <w:rsid w:val="00FA6C3F"/>
    <w:rsid w:val="00FA6CC4"/>
    <w:rsid w:val="00FA6CEB"/>
    <w:rsid w:val="00FA6CF2"/>
    <w:rsid w:val="00FA6D58"/>
    <w:rsid w:val="00FA6EDC"/>
    <w:rsid w:val="00FA6F44"/>
    <w:rsid w:val="00FA6F7B"/>
    <w:rsid w:val="00FA72B1"/>
    <w:rsid w:val="00FA7738"/>
    <w:rsid w:val="00FA7AB4"/>
    <w:rsid w:val="00FA7B40"/>
    <w:rsid w:val="00FA7C9A"/>
    <w:rsid w:val="00FA7D2A"/>
    <w:rsid w:val="00FA7E8B"/>
    <w:rsid w:val="00FA7EDE"/>
    <w:rsid w:val="00FA7F8E"/>
    <w:rsid w:val="00FA7F93"/>
    <w:rsid w:val="00FB0392"/>
    <w:rsid w:val="00FB0403"/>
    <w:rsid w:val="00FB0A74"/>
    <w:rsid w:val="00FB0B77"/>
    <w:rsid w:val="00FB0B92"/>
    <w:rsid w:val="00FB1028"/>
    <w:rsid w:val="00FB102D"/>
    <w:rsid w:val="00FB1074"/>
    <w:rsid w:val="00FB1249"/>
    <w:rsid w:val="00FB127A"/>
    <w:rsid w:val="00FB1331"/>
    <w:rsid w:val="00FB14CD"/>
    <w:rsid w:val="00FB1676"/>
    <w:rsid w:val="00FB18F3"/>
    <w:rsid w:val="00FB1A6F"/>
    <w:rsid w:val="00FB1AEC"/>
    <w:rsid w:val="00FB1B35"/>
    <w:rsid w:val="00FB1CCA"/>
    <w:rsid w:val="00FB1E7A"/>
    <w:rsid w:val="00FB1E7D"/>
    <w:rsid w:val="00FB1F89"/>
    <w:rsid w:val="00FB1FDA"/>
    <w:rsid w:val="00FB2009"/>
    <w:rsid w:val="00FB2293"/>
    <w:rsid w:val="00FB22C0"/>
    <w:rsid w:val="00FB2671"/>
    <w:rsid w:val="00FB294E"/>
    <w:rsid w:val="00FB2D19"/>
    <w:rsid w:val="00FB2D86"/>
    <w:rsid w:val="00FB2E2C"/>
    <w:rsid w:val="00FB3046"/>
    <w:rsid w:val="00FB31BC"/>
    <w:rsid w:val="00FB324C"/>
    <w:rsid w:val="00FB36D8"/>
    <w:rsid w:val="00FB3778"/>
    <w:rsid w:val="00FB377F"/>
    <w:rsid w:val="00FB3838"/>
    <w:rsid w:val="00FB387F"/>
    <w:rsid w:val="00FB3DDC"/>
    <w:rsid w:val="00FB3E49"/>
    <w:rsid w:val="00FB3F9D"/>
    <w:rsid w:val="00FB414C"/>
    <w:rsid w:val="00FB4796"/>
    <w:rsid w:val="00FB4970"/>
    <w:rsid w:val="00FB4A9C"/>
    <w:rsid w:val="00FB4B13"/>
    <w:rsid w:val="00FB4C29"/>
    <w:rsid w:val="00FB4CF8"/>
    <w:rsid w:val="00FB52F5"/>
    <w:rsid w:val="00FB5589"/>
    <w:rsid w:val="00FB56BB"/>
    <w:rsid w:val="00FB577B"/>
    <w:rsid w:val="00FB5A94"/>
    <w:rsid w:val="00FB5C30"/>
    <w:rsid w:val="00FB5D90"/>
    <w:rsid w:val="00FB5F3B"/>
    <w:rsid w:val="00FB5F92"/>
    <w:rsid w:val="00FB5FBE"/>
    <w:rsid w:val="00FB603D"/>
    <w:rsid w:val="00FB6188"/>
    <w:rsid w:val="00FB6398"/>
    <w:rsid w:val="00FB671F"/>
    <w:rsid w:val="00FB681A"/>
    <w:rsid w:val="00FB699B"/>
    <w:rsid w:val="00FB6A8F"/>
    <w:rsid w:val="00FB6AF6"/>
    <w:rsid w:val="00FB6FEA"/>
    <w:rsid w:val="00FB7241"/>
    <w:rsid w:val="00FB72A6"/>
    <w:rsid w:val="00FB7871"/>
    <w:rsid w:val="00FB78DD"/>
    <w:rsid w:val="00FB7D76"/>
    <w:rsid w:val="00FB7E09"/>
    <w:rsid w:val="00FB7E69"/>
    <w:rsid w:val="00FB7ECB"/>
    <w:rsid w:val="00FB7FC7"/>
    <w:rsid w:val="00FC0296"/>
    <w:rsid w:val="00FC02F9"/>
    <w:rsid w:val="00FC0642"/>
    <w:rsid w:val="00FC0753"/>
    <w:rsid w:val="00FC08A7"/>
    <w:rsid w:val="00FC08AE"/>
    <w:rsid w:val="00FC0B5B"/>
    <w:rsid w:val="00FC0BC2"/>
    <w:rsid w:val="00FC0DB9"/>
    <w:rsid w:val="00FC0DDA"/>
    <w:rsid w:val="00FC0E01"/>
    <w:rsid w:val="00FC1015"/>
    <w:rsid w:val="00FC10DF"/>
    <w:rsid w:val="00FC12F7"/>
    <w:rsid w:val="00FC131D"/>
    <w:rsid w:val="00FC1325"/>
    <w:rsid w:val="00FC162D"/>
    <w:rsid w:val="00FC164E"/>
    <w:rsid w:val="00FC1772"/>
    <w:rsid w:val="00FC19C8"/>
    <w:rsid w:val="00FC1B10"/>
    <w:rsid w:val="00FC1DC8"/>
    <w:rsid w:val="00FC1DCC"/>
    <w:rsid w:val="00FC1E47"/>
    <w:rsid w:val="00FC1EAF"/>
    <w:rsid w:val="00FC1FCA"/>
    <w:rsid w:val="00FC23B9"/>
    <w:rsid w:val="00FC258D"/>
    <w:rsid w:val="00FC27CE"/>
    <w:rsid w:val="00FC298A"/>
    <w:rsid w:val="00FC2AD9"/>
    <w:rsid w:val="00FC2B05"/>
    <w:rsid w:val="00FC3188"/>
    <w:rsid w:val="00FC31B4"/>
    <w:rsid w:val="00FC3693"/>
    <w:rsid w:val="00FC36E1"/>
    <w:rsid w:val="00FC37A9"/>
    <w:rsid w:val="00FC3BA0"/>
    <w:rsid w:val="00FC3CB0"/>
    <w:rsid w:val="00FC3DFA"/>
    <w:rsid w:val="00FC40B7"/>
    <w:rsid w:val="00FC4128"/>
    <w:rsid w:val="00FC41F3"/>
    <w:rsid w:val="00FC429D"/>
    <w:rsid w:val="00FC42BC"/>
    <w:rsid w:val="00FC435A"/>
    <w:rsid w:val="00FC4381"/>
    <w:rsid w:val="00FC4517"/>
    <w:rsid w:val="00FC473D"/>
    <w:rsid w:val="00FC4853"/>
    <w:rsid w:val="00FC498E"/>
    <w:rsid w:val="00FC4A16"/>
    <w:rsid w:val="00FC4C22"/>
    <w:rsid w:val="00FC4E37"/>
    <w:rsid w:val="00FC4E4B"/>
    <w:rsid w:val="00FC5211"/>
    <w:rsid w:val="00FC52D6"/>
    <w:rsid w:val="00FC5394"/>
    <w:rsid w:val="00FC5571"/>
    <w:rsid w:val="00FC59EC"/>
    <w:rsid w:val="00FC5A10"/>
    <w:rsid w:val="00FC5EE4"/>
    <w:rsid w:val="00FC6105"/>
    <w:rsid w:val="00FC6244"/>
    <w:rsid w:val="00FC6283"/>
    <w:rsid w:val="00FC66D2"/>
    <w:rsid w:val="00FC6726"/>
    <w:rsid w:val="00FC696A"/>
    <w:rsid w:val="00FC696B"/>
    <w:rsid w:val="00FC6CB1"/>
    <w:rsid w:val="00FC6EF2"/>
    <w:rsid w:val="00FC71CC"/>
    <w:rsid w:val="00FC71EA"/>
    <w:rsid w:val="00FC7454"/>
    <w:rsid w:val="00FC74CB"/>
    <w:rsid w:val="00FC75B4"/>
    <w:rsid w:val="00FC778F"/>
    <w:rsid w:val="00FC7963"/>
    <w:rsid w:val="00FC7B38"/>
    <w:rsid w:val="00FD0082"/>
    <w:rsid w:val="00FD01E4"/>
    <w:rsid w:val="00FD049F"/>
    <w:rsid w:val="00FD04F7"/>
    <w:rsid w:val="00FD0682"/>
    <w:rsid w:val="00FD06D6"/>
    <w:rsid w:val="00FD0B82"/>
    <w:rsid w:val="00FD0B98"/>
    <w:rsid w:val="00FD10F3"/>
    <w:rsid w:val="00FD11C3"/>
    <w:rsid w:val="00FD15A5"/>
    <w:rsid w:val="00FD15E4"/>
    <w:rsid w:val="00FD15F6"/>
    <w:rsid w:val="00FD1746"/>
    <w:rsid w:val="00FD1765"/>
    <w:rsid w:val="00FD1D37"/>
    <w:rsid w:val="00FD1E7F"/>
    <w:rsid w:val="00FD1FAD"/>
    <w:rsid w:val="00FD2005"/>
    <w:rsid w:val="00FD2530"/>
    <w:rsid w:val="00FD2532"/>
    <w:rsid w:val="00FD2664"/>
    <w:rsid w:val="00FD2820"/>
    <w:rsid w:val="00FD2E05"/>
    <w:rsid w:val="00FD2E2B"/>
    <w:rsid w:val="00FD2E97"/>
    <w:rsid w:val="00FD2EA1"/>
    <w:rsid w:val="00FD305E"/>
    <w:rsid w:val="00FD314E"/>
    <w:rsid w:val="00FD34CD"/>
    <w:rsid w:val="00FD35F3"/>
    <w:rsid w:val="00FD3661"/>
    <w:rsid w:val="00FD375E"/>
    <w:rsid w:val="00FD37AE"/>
    <w:rsid w:val="00FD3844"/>
    <w:rsid w:val="00FD3847"/>
    <w:rsid w:val="00FD39CC"/>
    <w:rsid w:val="00FD39D7"/>
    <w:rsid w:val="00FD3A49"/>
    <w:rsid w:val="00FD3A50"/>
    <w:rsid w:val="00FD3B16"/>
    <w:rsid w:val="00FD3CA7"/>
    <w:rsid w:val="00FD3DA2"/>
    <w:rsid w:val="00FD3EBB"/>
    <w:rsid w:val="00FD409B"/>
    <w:rsid w:val="00FD40A7"/>
    <w:rsid w:val="00FD41DB"/>
    <w:rsid w:val="00FD42B7"/>
    <w:rsid w:val="00FD46FF"/>
    <w:rsid w:val="00FD471F"/>
    <w:rsid w:val="00FD47DE"/>
    <w:rsid w:val="00FD4B10"/>
    <w:rsid w:val="00FD4C8F"/>
    <w:rsid w:val="00FD4C96"/>
    <w:rsid w:val="00FD4DE7"/>
    <w:rsid w:val="00FD4F6B"/>
    <w:rsid w:val="00FD4FA5"/>
    <w:rsid w:val="00FD506A"/>
    <w:rsid w:val="00FD507C"/>
    <w:rsid w:val="00FD5476"/>
    <w:rsid w:val="00FD54A5"/>
    <w:rsid w:val="00FD54D0"/>
    <w:rsid w:val="00FD54E9"/>
    <w:rsid w:val="00FD56A2"/>
    <w:rsid w:val="00FD56C9"/>
    <w:rsid w:val="00FD57F5"/>
    <w:rsid w:val="00FD5BC8"/>
    <w:rsid w:val="00FD5D52"/>
    <w:rsid w:val="00FD5D54"/>
    <w:rsid w:val="00FD5E3A"/>
    <w:rsid w:val="00FD5E9F"/>
    <w:rsid w:val="00FD5F76"/>
    <w:rsid w:val="00FD5FC5"/>
    <w:rsid w:val="00FD6029"/>
    <w:rsid w:val="00FD62CA"/>
    <w:rsid w:val="00FD63BA"/>
    <w:rsid w:val="00FD63F9"/>
    <w:rsid w:val="00FD647E"/>
    <w:rsid w:val="00FD64B3"/>
    <w:rsid w:val="00FD6587"/>
    <w:rsid w:val="00FD6655"/>
    <w:rsid w:val="00FD66A2"/>
    <w:rsid w:val="00FD66DB"/>
    <w:rsid w:val="00FD6A81"/>
    <w:rsid w:val="00FD6A91"/>
    <w:rsid w:val="00FD6B3C"/>
    <w:rsid w:val="00FD6BCB"/>
    <w:rsid w:val="00FD6DDE"/>
    <w:rsid w:val="00FD7271"/>
    <w:rsid w:val="00FD7411"/>
    <w:rsid w:val="00FD7536"/>
    <w:rsid w:val="00FD75C5"/>
    <w:rsid w:val="00FD7704"/>
    <w:rsid w:val="00FD7878"/>
    <w:rsid w:val="00FD7EBD"/>
    <w:rsid w:val="00FD7F8F"/>
    <w:rsid w:val="00FE01BA"/>
    <w:rsid w:val="00FE01D2"/>
    <w:rsid w:val="00FE02BF"/>
    <w:rsid w:val="00FE033E"/>
    <w:rsid w:val="00FE0458"/>
    <w:rsid w:val="00FE0764"/>
    <w:rsid w:val="00FE086F"/>
    <w:rsid w:val="00FE08E7"/>
    <w:rsid w:val="00FE1020"/>
    <w:rsid w:val="00FE1074"/>
    <w:rsid w:val="00FE1122"/>
    <w:rsid w:val="00FE1171"/>
    <w:rsid w:val="00FE12A2"/>
    <w:rsid w:val="00FE1635"/>
    <w:rsid w:val="00FE19AB"/>
    <w:rsid w:val="00FE1A54"/>
    <w:rsid w:val="00FE1F62"/>
    <w:rsid w:val="00FE1FDD"/>
    <w:rsid w:val="00FE210D"/>
    <w:rsid w:val="00FE2179"/>
    <w:rsid w:val="00FE2204"/>
    <w:rsid w:val="00FE2356"/>
    <w:rsid w:val="00FE238A"/>
    <w:rsid w:val="00FE2420"/>
    <w:rsid w:val="00FE2C46"/>
    <w:rsid w:val="00FE340C"/>
    <w:rsid w:val="00FE362C"/>
    <w:rsid w:val="00FE3824"/>
    <w:rsid w:val="00FE3C83"/>
    <w:rsid w:val="00FE3C87"/>
    <w:rsid w:val="00FE3FCA"/>
    <w:rsid w:val="00FE412C"/>
    <w:rsid w:val="00FE421C"/>
    <w:rsid w:val="00FE4563"/>
    <w:rsid w:val="00FE49F2"/>
    <w:rsid w:val="00FE4AA4"/>
    <w:rsid w:val="00FE4C6A"/>
    <w:rsid w:val="00FE4C96"/>
    <w:rsid w:val="00FE4D91"/>
    <w:rsid w:val="00FE4E69"/>
    <w:rsid w:val="00FE502D"/>
    <w:rsid w:val="00FE50C2"/>
    <w:rsid w:val="00FE5145"/>
    <w:rsid w:val="00FE5165"/>
    <w:rsid w:val="00FE527E"/>
    <w:rsid w:val="00FE52C1"/>
    <w:rsid w:val="00FE5398"/>
    <w:rsid w:val="00FE55A2"/>
    <w:rsid w:val="00FE5624"/>
    <w:rsid w:val="00FE585D"/>
    <w:rsid w:val="00FE5C59"/>
    <w:rsid w:val="00FE5EAB"/>
    <w:rsid w:val="00FE5F45"/>
    <w:rsid w:val="00FE60C7"/>
    <w:rsid w:val="00FE6149"/>
    <w:rsid w:val="00FE62EA"/>
    <w:rsid w:val="00FE62ED"/>
    <w:rsid w:val="00FE6398"/>
    <w:rsid w:val="00FE6586"/>
    <w:rsid w:val="00FE65B0"/>
    <w:rsid w:val="00FE6886"/>
    <w:rsid w:val="00FE695E"/>
    <w:rsid w:val="00FE6A09"/>
    <w:rsid w:val="00FE6A70"/>
    <w:rsid w:val="00FE6C46"/>
    <w:rsid w:val="00FE6C81"/>
    <w:rsid w:val="00FE6D85"/>
    <w:rsid w:val="00FE6DAA"/>
    <w:rsid w:val="00FE6F33"/>
    <w:rsid w:val="00FE716B"/>
    <w:rsid w:val="00FE72C5"/>
    <w:rsid w:val="00FE786A"/>
    <w:rsid w:val="00FE7E7C"/>
    <w:rsid w:val="00FE7F04"/>
    <w:rsid w:val="00FE7F76"/>
    <w:rsid w:val="00FF0145"/>
    <w:rsid w:val="00FF0234"/>
    <w:rsid w:val="00FF03F4"/>
    <w:rsid w:val="00FF0537"/>
    <w:rsid w:val="00FF05FC"/>
    <w:rsid w:val="00FF079D"/>
    <w:rsid w:val="00FF09A8"/>
    <w:rsid w:val="00FF09D2"/>
    <w:rsid w:val="00FF1019"/>
    <w:rsid w:val="00FF1387"/>
    <w:rsid w:val="00FF13E7"/>
    <w:rsid w:val="00FF16FA"/>
    <w:rsid w:val="00FF170F"/>
    <w:rsid w:val="00FF17BD"/>
    <w:rsid w:val="00FF1804"/>
    <w:rsid w:val="00FF1C66"/>
    <w:rsid w:val="00FF1E75"/>
    <w:rsid w:val="00FF2246"/>
    <w:rsid w:val="00FF23C4"/>
    <w:rsid w:val="00FF255D"/>
    <w:rsid w:val="00FF25A9"/>
    <w:rsid w:val="00FF26F7"/>
    <w:rsid w:val="00FF29E9"/>
    <w:rsid w:val="00FF2C41"/>
    <w:rsid w:val="00FF2D4A"/>
    <w:rsid w:val="00FF2DD1"/>
    <w:rsid w:val="00FF2E85"/>
    <w:rsid w:val="00FF2F54"/>
    <w:rsid w:val="00FF3495"/>
    <w:rsid w:val="00FF3815"/>
    <w:rsid w:val="00FF3D6A"/>
    <w:rsid w:val="00FF3E96"/>
    <w:rsid w:val="00FF427C"/>
    <w:rsid w:val="00FF4314"/>
    <w:rsid w:val="00FF433E"/>
    <w:rsid w:val="00FF4394"/>
    <w:rsid w:val="00FF4CC5"/>
    <w:rsid w:val="00FF4D21"/>
    <w:rsid w:val="00FF4E13"/>
    <w:rsid w:val="00FF524E"/>
    <w:rsid w:val="00FF535E"/>
    <w:rsid w:val="00FF55C8"/>
    <w:rsid w:val="00FF587F"/>
    <w:rsid w:val="00FF5E4A"/>
    <w:rsid w:val="00FF5E80"/>
    <w:rsid w:val="00FF5F64"/>
    <w:rsid w:val="00FF6105"/>
    <w:rsid w:val="00FF6488"/>
    <w:rsid w:val="00FF65A6"/>
    <w:rsid w:val="00FF65E0"/>
    <w:rsid w:val="00FF667E"/>
    <w:rsid w:val="00FF6BE1"/>
    <w:rsid w:val="00FF6CC7"/>
    <w:rsid w:val="00FF6D1A"/>
    <w:rsid w:val="00FF6E99"/>
    <w:rsid w:val="00FF726E"/>
    <w:rsid w:val="00FF73B9"/>
    <w:rsid w:val="00FF751F"/>
    <w:rsid w:val="00FF75D1"/>
    <w:rsid w:val="00FF75DD"/>
    <w:rsid w:val="00FF7669"/>
    <w:rsid w:val="00FF770D"/>
    <w:rsid w:val="00FF77C1"/>
    <w:rsid w:val="00FF7862"/>
    <w:rsid w:val="00FF7A8B"/>
    <w:rsid w:val="00FF7C36"/>
    <w:rsid w:val="00FF7C4F"/>
    <w:rsid w:val="00FF7E0A"/>
    <w:rsid w:val="00FF7EB3"/>
    <w:rsid w:val="012F9772"/>
    <w:rsid w:val="0168B777"/>
    <w:rsid w:val="0181AD5D"/>
    <w:rsid w:val="01B7EF86"/>
    <w:rsid w:val="01C25195"/>
    <w:rsid w:val="01C3469A"/>
    <w:rsid w:val="01CC0E62"/>
    <w:rsid w:val="01D45472"/>
    <w:rsid w:val="0207AFC5"/>
    <w:rsid w:val="0224041E"/>
    <w:rsid w:val="0243C1BE"/>
    <w:rsid w:val="025ECDA1"/>
    <w:rsid w:val="0289E424"/>
    <w:rsid w:val="0290857D"/>
    <w:rsid w:val="0297CEED"/>
    <w:rsid w:val="02C18177"/>
    <w:rsid w:val="02C50D8F"/>
    <w:rsid w:val="02CAA5A3"/>
    <w:rsid w:val="02F55797"/>
    <w:rsid w:val="03016B7D"/>
    <w:rsid w:val="0346780C"/>
    <w:rsid w:val="034EB666"/>
    <w:rsid w:val="03637319"/>
    <w:rsid w:val="03BA9B9A"/>
    <w:rsid w:val="03C7153B"/>
    <w:rsid w:val="043C71F0"/>
    <w:rsid w:val="04426845"/>
    <w:rsid w:val="0444D674"/>
    <w:rsid w:val="0466D72D"/>
    <w:rsid w:val="0476B13B"/>
    <w:rsid w:val="04781FE7"/>
    <w:rsid w:val="0481263B"/>
    <w:rsid w:val="0489A61E"/>
    <w:rsid w:val="04946826"/>
    <w:rsid w:val="049C7CDC"/>
    <w:rsid w:val="04ECDFC0"/>
    <w:rsid w:val="04FEFDCA"/>
    <w:rsid w:val="051AC674"/>
    <w:rsid w:val="052110AA"/>
    <w:rsid w:val="05322326"/>
    <w:rsid w:val="05610265"/>
    <w:rsid w:val="056B8CA3"/>
    <w:rsid w:val="05987E56"/>
    <w:rsid w:val="05AB8CE2"/>
    <w:rsid w:val="05C22306"/>
    <w:rsid w:val="061C7832"/>
    <w:rsid w:val="061ED2DC"/>
    <w:rsid w:val="062E75B3"/>
    <w:rsid w:val="0673A07B"/>
    <w:rsid w:val="067753F5"/>
    <w:rsid w:val="068C9E1E"/>
    <w:rsid w:val="069CA7A0"/>
    <w:rsid w:val="06D9652C"/>
    <w:rsid w:val="06E96BC1"/>
    <w:rsid w:val="070CA808"/>
    <w:rsid w:val="071D9FF9"/>
    <w:rsid w:val="0737FECE"/>
    <w:rsid w:val="074CCD8B"/>
    <w:rsid w:val="0781C28C"/>
    <w:rsid w:val="0786649E"/>
    <w:rsid w:val="078E5E96"/>
    <w:rsid w:val="07AC7BFA"/>
    <w:rsid w:val="07AF2A0A"/>
    <w:rsid w:val="07B633FE"/>
    <w:rsid w:val="08003923"/>
    <w:rsid w:val="08325B93"/>
    <w:rsid w:val="084796A5"/>
    <w:rsid w:val="085183D6"/>
    <w:rsid w:val="085384E6"/>
    <w:rsid w:val="085B2057"/>
    <w:rsid w:val="0867AD20"/>
    <w:rsid w:val="08C01055"/>
    <w:rsid w:val="08CB516C"/>
    <w:rsid w:val="08E384F6"/>
    <w:rsid w:val="090D0A8F"/>
    <w:rsid w:val="09615F5E"/>
    <w:rsid w:val="09AAF8F1"/>
    <w:rsid w:val="09C84D8E"/>
    <w:rsid w:val="09E38626"/>
    <w:rsid w:val="09F4B39E"/>
    <w:rsid w:val="0A121112"/>
    <w:rsid w:val="0A7DBE6E"/>
    <w:rsid w:val="0A8EB929"/>
    <w:rsid w:val="0AACE4B9"/>
    <w:rsid w:val="0B10B537"/>
    <w:rsid w:val="0B11460E"/>
    <w:rsid w:val="0B1F5F8E"/>
    <w:rsid w:val="0B7FFEC7"/>
    <w:rsid w:val="0B83C247"/>
    <w:rsid w:val="0B882E30"/>
    <w:rsid w:val="0BBDA9BA"/>
    <w:rsid w:val="0BDA97AB"/>
    <w:rsid w:val="0BE45135"/>
    <w:rsid w:val="0C1D3037"/>
    <w:rsid w:val="0C260BBA"/>
    <w:rsid w:val="0C357804"/>
    <w:rsid w:val="0C3CDF83"/>
    <w:rsid w:val="0C64541B"/>
    <w:rsid w:val="0C9408C3"/>
    <w:rsid w:val="0C94F60C"/>
    <w:rsid w:val="0C96C5DE"/>
    <w:rsid w:val="0C9A3990"/>
    <w:rsid w:val="0CCE7D2C"/>
    <w:rsid w:val="0D1934D0"/>
    <w:rsid w:val="0D2278EB"/>
    <w:rsid w:val="0D917ECD"/>
    <w:rsid w:val="0D9B61D9"/>
    <w:rsid w:val="0DBDA093"/>
    <w:rsid w:val="0DC708C2"/>
    <w:rsid w:val="0DF17B29"/>
    <w:rsid w:val="0DF9FAB8"/>
    <w:rsid w:val="0E0C7B51"/>
    <w:rsid w:val="0E170448"/>
    <w:rsid w:val="0E78C5E1"/>
    <w:rsid w:val="0E892F59"/>
    <w:rsid w:val="0EA0E4D5"/>
    <w:rsid w:val="0EB0FF75"/>
    <w:rsid w:val="0F0B624E"/>
    <w:rsid w:val="0F25E0E2"/>
    <w:rsid w:val="0F26C27A"/>
    <w:rsid w:val="0F2988DF"/>
    <w:rsid w:val="0F5D92B2"/>
    <w:rsid w:val="0F6F45D4"/>
    <w:rsid w:val="0F7418B7"/>
    <w:rsid w:val="0F98A34B"/>
    <w:rsid w:val="0FA2D20D"/>
    <w:rsid w:val="0FA5E764"/>
    <w:rsid w:val="0FB424C6"/>
    <w:rsid w:val="0FC517C6"/>
    <w:rsid w:val="0FE611BF"/>
    <w:rsid w:val="0FFE00F5"/>
    <w:rsid w:val="101B32C0"/>
    <w:rsid w:val="103B0696"/>
    <w:rsid w:val="104BC98D"/>
    <w:rsid w:val="105FBFD1"/>
    <w:rsid w:val="107853ED"/>
    <w:rsid w:val="10B553EC"/>
    <w:rsid w:val="10BF2D3F"/>
    <w:rsid w:val="10C40C00"/>
    <w:rsid w:val="10DC0617"/>
    <w:rsid w:val="10E1657B"/>
    <w:rsid w:val="10F03823"/>
    <w:rsid w:val="1104C3B7"/>
    <w:rsid w:val="117FE702"/>
    <w:rsid w:val="11C263DF"/>
    <w:rsid w:val="1256D7C3"/>
    <w:rsid w:val="125D8C06"/>
    <w:rsid w:val="127EFF5D"/>
    <w:rsid w:val="1282AA3C"/>
    <w:rsid w:val="1294F4DC"/>
    <w:rsid w:val="12C290F8"/>
    <w:rsid w:val="12CB156E"/>
    <w:rsid w:val="13211150"/>
    <w:rsid w:val="132DD5C9"/>
    <w:rsid w:val="1342F63E"/>
    <w:rsid w:val="13580A46"/>
    <w:rsid w:val="136818AE"/>
    <w:rsid w:val="13DE71F8"/>
    <w:rsid w:val="1412F80D"/>
    <w:rsid w:val="1422B38F"/>
    <w:rsid w:val="1452FCE7"/>
    <w:rsid w:val="1471CA86"/>
    <w:rsid w:val="148080B3"/>
    <w:rsid w:val="148762AF"/>
    <w:rsid w:val="149E1A99"/>
    <w:rsid w:val="14C53192"/>
    <w:rsid w:val="14C8E7FE"/>
    <w:rsid w:val="14EE501B"/>
    <w:rsid w:val="150FDFC5"/>
    <w:rsid w:val="15124AD1"/>
    <w:rsid w:val="152E1A59"/>
    <w:rsid w:val="154729F5"/>
    <w:rsid w:val="154C2F87"/>
    <w:rsid w:val="15538A36"/>
    <w:rsid w:val="15BB2B74"/>
    <w:rsid w:val="1605FAC3"/>
    <w:rsid w:val="160DD3D5"/>
    <w:rsid w:val="1628EA27"/>
    <w:rsid w:val="162DFED8"/>
    <w:rsid w:val="162FE15C"/>
    <w:rsid w:val="16302BE3"/>
    <w:rsid w:val="16431A59"/>
    <w:rsid w:val="1673BECE"/>
    <w:rsid w:val="16D43C1C"/>
    <w:rsid w:val="16F0485E"/>
    <w:rsid w:val="17208FA2"/>
    <w:rsid w:val="1720F0AE"/>
    <w:rsid w:val="175F57B9"/>
    <w:rsid w:val="1784F3B0"/>
    <w:rsid w:val="17C674C6"/>
    <w:rsid w:val="17DF26DB"/>
    <w:rsid w:val="1821A126"/>
    <w:rsid w:val="185D8B2D"/>
    <w:rsid w:val="186F6672"/>
    <w:rsid w:val="1873AE94"/>
    <w:rsid w:val="18944B84"/>
    <w:rsid w:val="1899BBBD"/>
    <w:rsid w:val="1899EBCC"/>
    <w:rsid w:val="18D859E7"/>
    <w:rsid w:val="18E37E0E"/>
    <w:rsid w:val="18F97161"/>
    <w:rsid w:val="1925B8A4"/>
    <w:rsid w:val="19302A4E"/>
    <w:rsid w:val="1935EBD3"/>
    <w:rsid w:val="1940EC61"/>
    <w:rsid w:val="1992EED3"/>
    <w:rsid w:val="19BAC854"/>
    <w:rsid w:val="19DACF8D"/>
    <w:rsid w:val="19E99F76"/>
    <w:rsid w:val="19F241C7"/>
    <w:rsid w:val="19FF910A"/>
    <w:rsid w:val="1A20444E"/>
    <w:rsid w:val="1A3A9145"/>
    <w:rsid w:val="1A3BEDCC"/>
    <w:rsid w:val="1A416B41"/>
    <w:rsid w:val="1A895EE7"/>
    <w:rsid w:val="1A9FC486"/>
    <w:rsid w:val="1ABC09E3"/>
    <w:rsid w:val="1AE09D3D"/>
    <w:rsid w:val="1AFD2603"/>
    <w:rsid w:val="1B2C4681"/>
    <w:rsid w:val="1B3E2B71"/>
    <w:rsid w:val="1B866658"/>
    <w:rsid w:val="1B8A466C"/>
    <w:rsid w:val="1B8CA40B"/>
    <w:rsid w:val="1BF53EB7"/>
    <w:rsid w:val="1C5A99B8"/>
    <w:rsid w:val="1C5CA6E5"/>
    <w:rsid w:val="1C6C4348"/>
    <w:rsid w:val="1C7C9681"/>
    <w:rsid w:val="1C9A4DA8"/>
    <w:rsid w:val="1CBBE67F"/>
    <w:rsid w:val="1CC73DD5"/>
    <w:rsid w:val="1D065877"/>
    <w:rsid w:val="1D92D5DA"/>
    <w:rsid w:val="1DEB8139"/>
    <w:rsid w:val="1E158FFC"/>
    <w:rsid w:val="1E254E20"/>
    <w:rsid w:val="1E38A5E5"/>
    <w:rsid w:val="1E47361E"/>
    <w:rsid w:val="1EA1992B"/>
    <w:rsid w:val="1EC1B4BB"/>
    <w:rsid w:val="1EC61986"/>
    <w:rsid w:val="1F3198C7"/>
    <w:rsid w:val="1F351D2C"/>
    <w:rsid w:val="1F4F8914"/>
    <w:rsid w:val="1F6670C1"/>
    <w:rsid w:val="1F71C02A"/>
    <w:rsid w:val="1F991E71"/>
    <w:rsid w:val="1FDB046C"/>
    <w:rsid w:val="1FFBEE4D"/>
    <w:rsid w:val="200CF99E"/>
    <w:rsid w:val="20306D23"/>
    <w:rsid w:val="20421334"/>
    <w:rsid w:val="20475529"/>
    <w:rsid w:val="204D3602"/>
    <w:rsid w:val="206AB83E"/>
    <w:rsid w:val="208D384F"/>
    <w:rsid w:val="21158232"/>
    <w:rsid w:val="213793F0"/>
    <w:rsid w:val="216C9931"/>
    <w:rsid w:val="21738039"/>
    <w:rsid w:val="217C6D51"/>
    <w:rsid w:val="21DAFD0E"/>
    <w:rsid w:val="22006E6A"/>
    <w:rsid w:val="2204993F"/>
    <w:rsid w:val="22376557"/>
    <w:rsid w:val="223B7059"/>
    <w:rsid w:val="22F74964"/>
    <w:rsid w:val="231EE8B4"/>
    <w:rsid w:val="233B1841"/>
    <w:rsid w:val="237F1C8E"/>
    <w:rsid w:val="238986D9"/>
    <w:rsid w:val="23E96E3A"/>
    <w:rsid w:val="23F0C4BC"/>
    <w:rsid w:val="240B14E0"/>
    <w:rsid w:val="244679CB"/>
    <w:rsid w:val="245BA5CA"/>
    <w:rsid w:val="245CDF5B"/>
    <w:rsid w:val="246F6975"/>
    <w:rsid w:val="24D26D48"/>
    <w:rsid w:val="252CF7F7"/>
    <w:rsid w:val="25346CB7"/>
    <w:rsid w:val="255DE7AB"/>
    <w:rsid w:val="2582FE06"/>
    <w:rsid w:val="259A8DDF"/>
    <w:rsid w:val="25AB30D9"/>
    <w:rsid w:val="25DF823E"/>
    <w:rsid w:val="25EB557A"/>
    <w:rsid w:val="25F5A5D4"/>
    <w:rsid w:val="260BE6C5"/>
    <w:rsid w:val="262CC662"/>
    <w:rsid w:val="26542C75"/>
    <w:rsid w:val="272A0806"/>
    <w:rsid w:val="273033DA"/>
    <w:rsid w:val="2762B905"/>
    <w:rsid w:val="2779B9BF"/>
    <w:rsid w:val="27B84A06"/>
    <w:rsid w:val="280306BF"/>
    <w:rsid w:val="284D7866"/>
    <w:rsid w:val="28D0A098"/>
    <w:rsid w:val="29187FBB"/>
    <w:rsid w:val="2937A71F"/>
    <w:rsid w:val="293E9C1F"/>
    <w:rsid w:val="2943AE6B"/>
    <w:rsid w:val="2961E588"/>
    <w:rsid w:val="29C17E01"/>
    <w:rsid w:val="29C3EBDA"/>
    <w:rsid w:val="29D20F2A"/>
    <w:rsid w:val="2A23F779"/>
    <w:rsid w:val="2A3ADE72"/>
    <w:rsid w:val="2A8B2FFF"/>
    <w:rsid w:val="2AA6B253"/>
    <w:rsid w:val="2AB52266"/>
    <w:rsid w:val="2AD8AB6E"/>
    <w:rsid w:val="2B2C152E"/>
    <w:rsid w:val="2B38C6C8"/>
    <w:rsid w:val="2B3AB068"/>
    <w:rsid w:val="2B6CFE48"/>
    <w:rsid w:val="2B78C2BB"/>
    <w:rsid w:val="2B796110"/>
    <w:rsid w:val="2BA77421"/>
    <w:rsid w:val="2BB6C1F3"/>
    <w:rsid w:val="2BBCAEDD"/>
    <w:rsid w:val="2BCD4DE0"/>
    <w:rsid w:val="2C14D4BA"/>
    <w:rsid w:val="2C30FAD2"/>
    <w:rsid w:val="2C5FD8F7"/>
    <w:rsid w:val="2C75A51F"/>
    <w:rsid w:val="2C793A7B"/>
    <w:rsid w:val="2CC1E52D"/>
    <w:rsid w:val="2CC6EA89"/>
    <w:rsid w:val="2CCFF098"/>
    <w:rsid w:val="2CEA1B73"/>
    <w:rsid w:val="2CEE1D6A"/>
    <w:rsid w:val="2D00D878"/>
    <w:rsid w:val="2D3283BB"/>
    <w:rsid w:val="2D55A1C4"/>
    <w:rsid w:val="2D7D59BD"/>
    <w:rsid w:val="2D8687B3"/>
    <w:rsid w:val="2D88C2A1"/>
    <w:rsid w:val="2D9F869C"/>
    <w:rsid w:val="2DA549E3"/>
    <w:rsid w:val="2DBA5CBD"/>
    <w:rsid w:val="2DE0D274"/>
    <w:rsid w:val="2E0F4A8C"/>
    <w:rsid w:val="2E13A2BC"/>
    <w:rsid w:val="2E21C1E4"/>
    <w:rsid w:val="2E2E985A"/>
    <w:rsid w:val="2E4AA317"/>
    <w:rsid w:val="2E59A342"/>
    <w:rsid w:val="2E68FDDC"/>
    <w:rsid w:val="2E90F88B"/>
    <w:rsid w:val="2EA5D5DF"/>
    <w:rsid w:val="2EA885AD"/>
    <w:rsid w:val="2EE274F0"/>
    <w:rsid w:val="2F0F8878"/>
    <w:rsid w:val="2FD230B2"/>
    <w:rsid w:val="30288DF3"/>
    <w:rsid w:val="305976B7"/>
    <w:rsid w:val="309340B1"/>
    <w:rsid w:val="30B6015B"/>
    <w:rsid w:val="30B85FDA"/>
    <w:rsid w:val="30EEE6B5"/>
    <w:rsid w:val="3129DC11"/>
    <w:rsid w:val="3142DBAB"/>
    <w:rsid w:val="31AAC093"/>
    <w:rsid w:val="31D42BB0"/>
    <w:rsid w:val="31D5C9F2"/>
    <w:rsid w:val="320AF0F8"/>
    <w:rsid w:val="322CA12E"/>
    <w:rsid w:val="322E0BE1"/>
    <w:rsid w:val="3238615C"/>
    <w:rsid w:val="3242F98A"/>
    <w:rsid w:val="32D232E8"/>
    <w:rsid w:val="330C67ED"/>
    <w:rsid w:val="33548931"/>
    <w:rsid w:val="339183DA"/>
    <w:rsid w:val="33AFC4A1"/>
    <w:rsid w:val="33B531EE"/>
    <w:rsid w:val="33DA2D1B"/>
    <w:rsid w:val="3476EB7E"/>
    <w:rsid w:val="34B7546C"/>
    <w:rsid w:val="34C96742"/>
    <w:rsid w:val="34EEF0C0"/>
    <w:rsid w:val="350144F6"/>
    <w:rsid w:val="35125E64"/>
    <w:rsid w:val="35152DB9"/>
    <w:rsid w:val="35287A37"/>
    <w:rsid w:val="352B2251"/>
    <w:rsid w:val="357D9295"/>
    <w:rsid w:val="359627E6"/>
    <w:rsid w:val="35A5EBE4"/>
    <w:rsid w:val="35C84EB5"/>
    <w:rsid w:val="35CD0D96"/>
    <w:rsid w:val="36192508"/>
    <w:rsid w:val="3640E942"/>
    <w:rsid w:val="365BA60E"/>
    <w:rsid w:val="366B8565"/>
    <w:rsid w:val="3681D3B0"/>
    <w:rsid w:val="36C204AF"/>
    <w:rsid w:val="36FA9BFF"/>
    <w:rsid w:val="37167BDD"/>
    <w:rsid w:val="3725A6DE"/>
    <w:rsid w:val="373D2D87"/>
    <w:rsid w:val="37D44B90"/>
    <w:rsid w:val="3803D00B"/>
    <w:rsid w:val="3810B45B"/>
    <w:rsid w:val="3821DC1E"/>
    <w:rsid w:val="382572C9"/>
    <w:rsid w:val="383F82A4"/>
    <w:rsid w:val="387DDFCF"/>
    <w:rsid w:val="38C096BA"/>
    <w:rsid w:val="38C92124"/>
    <w:rsid w:val="38F10BF1"/>
    <w:rsid w:val="3920A945"/>
    <w:rsid w:val="39B56E27"/>
    <w:rsid w:val="39BBC39E"/>
    <w:rsid w:val="3A007B45"/>
    <w:rsid w:val="3A133D1F"/>
    <w:rsid w:val="3A391960"/>
    <w:rsid w:val="3AA2B34F"/>
    <w:rsid w:val="3AB5EDA0"/>
    <w:rsid w:val="3ADEC521"/>
    <w:rsid w:val="3AF50648"/>
    <w:rsid w:val="3B045D4A"/>
    <w:rsid w:val="3B7A37D5"/>
    <w:rsid w:val="3B870A2B"/>
    <w:rsid w:val="3BB5C57F"/>
    <w:rsid w:val="3BCAF8F9"/>
    <w:rsid w:val="3BE7F92A"/>
    <w:rsid w:val="3C0BC87C"/>
    <w:rsid w:val="3C23DD4A"/>
    <w:rsid w:val="3C2B3A0C"/>
    <w:rsid w:val="3C9A5047"/>
    <w:rsid w:val="3CB18B66"/>
    <w:rsid w:val="3CEAA6C7"/>
    <w:rsid w:val="3D037418"/>
    <w:rsid w:val="3D3E86F3"/>
    <w:rsid w:val="3D5F25D4"/>
    <w:rsid w:val="3DBB254E"/>
    <w:rsid w:val="3DDF96F0"/>
    <w:rsid w:val="3DF28ED6"/>
    <w:rsid w:val="3DF695E3"/>
    <w:rsid w:val="3DF93284"/>
    <w:rsid w:val="3E118348"/>
    <w:rsid w:val="3E124E5F"/>
    <w:rsid w:val="3E1931F2"/>
    <w:rsid w:val="3E47DD41"/>
    <w:rsid w:val="3E78680A"/>
    <w:rsid w:val="3EA91073"/>
    <w:rsid w:val="3ECB9388"/>
    <w:rsid w:val="3F185B1B"/>
    <w:rsid w:val="3F2C6FAC"/>
    <w:rsid w:val="3F5E4298"/>
    <w:rsid w:val="3F5FF099"/>
    <w:rsid w:val="3F81F36D"/>
    <w:rsid w:val="3F97A583"/>
    <w:rsid w:val="3FD4C38D"/>
    <w:rsid w:val="3FEC17CE"/>
    <w:rsid w:val="4002059F"/>
    <w:rsid w:val="402E68FF"/>
    <w:rsid w:val="405B4D3C"/>
    <w:rsid w:val="407B6275"/>
    <w:rsid w:val="40834742"/>
    <w:rsid w:val="40911835"/>
    <w:rsid w:val="40991CDB"/>
    <w:rsid w:val="40C190C7"/>
    <w:rsid w:val="40C6750E"/>
    <w:rsid w:val="40D4921C"/>
    <w:rsid w:val="40DD2F54"/>
    <w:rsid w:val="4108FC8B"/>
    <w:rsid w:val="4131886D"/>
    <w:rsid w:val="413E32F0"/>
    <w:rsid w:val="4145581F"/>
    <w:rsid w:val="4145C685"/>
    <w:rsid w:val="418AE12A"/>
    <w:rsid w:val="41D322BB"/>
    <w:rsid w:val="41EC430E"/>
    <w:rsid w:val="41F6B5EB"/>
    <w:rsid w:val="42384077"/>
    <w:rsid w:val="4279E5D6"/>
    <w:rsid w:val="429EDFF3"/>
    <w:rsid w:val="42B1BF96"/>
    <w:rsid w:val="42CCF75E"/>
    <w:rsid w:val="42E158CB"/>
    <w:rsid w:val="42EBAE7A"/>
    <w:rsid w:val="42FBBF70"/>
    <w:rsid w:val="431236E1"/>
    <w:rsid w:val="43A8C08C"/>
    <w:rsid w:val="43D95152"/>
    <w:rsid w:val="441FB604"/>
    <w:rsid w:val="441FDA52"/>
    <w:rsid w:val="4470A6E3"/>
    <w:rsid w:val="451D99F9"/>
    <w:rsid w:val="4542DA74"/>
    <w:rsid w:val="456EED19"/>
    <w:rsid w:val="457096BA"/>
    <w:rsid w:val="457BC747"/>
    <w:rsid w:val="4592C666"/>
    <w:rsid w:val="459B2D42"/>
    <w:rsid w:val="45BF6A0A"/>
    <w:rsid w:val="45BFBD4D"/>
    <w:rsid w:val="45CCB833"/>
    <w:rsid w:val="45D00444"/>
    <w:rsid w:val="46024F57"/>
    <w:rsid w:val="46291CBB"/>
    <w:rsid w:val="463670B5"/>
    <w:rsid w:val="463B5237"/>
    <w:rsid w:val="4642AC2F"/>
    <w:rsid w:val="467A3946"/>
    <w:rsid w:val="467C2C86"/>
    <w:rsid w:val="46CE112A"/>
    <w:rsid w:val="4700D38A"/>
    <w:rsid w:val="4716ACBE"/>
    <w:rsid w:val="4752C1C6"/>
    <w:rsid w:val="47715C95"/>
    <w:rsid w:val="478281BF"/>
    <w:rsid w:val="479AE800"/>
    <w:rsid w:val="47AA6669"/>
    <w:rsid w:val="47AFD4F9"/>
    <w:rsid w:val="47B5A7EA"/>
    <w:rsid w:val="47BD40F6"/>
    <w:rsid w:val="47E7721C"/>
    <w:rsid w:val="47EEA91A"/>
    <w:rsid w:val="47F61210"/>
    <w:rsid w:val="481B9061"/>
    <w:rsid w:val="48358F12"/>
    <w:rsid w:val="48ACF0B9"/>
    <w:rsid w:val="490A1A0F"/>
    <w:rsid w:val="490E97E5"/>
    <w:rsid w:val="49249E92"/>
    <w:rsid w:val="493B6969"/>
    <w:rsid w:val="498349B5"/>
    <w:rsid w:val="49A0AC35"/>
    <w:rsid w:val="49C434DD"/>
    <w:rsid w:val="4A0B6D84"/>
    <w:rsid w:val="4A270B9A"/>
    <w:rsid w:val="4ABF3083"/>
    <w:rsid w:val="4AC69E04"/>
    <w:rsid w:val="4ADB0431"/>
    <w:rsid w:val="4AEE36D9"/>
    <w:rsid w:val="4B196292"/>
    <w:rsid w:val="4B1E2580"/>
    <w:rsid w:val="4B2C3F82"/>
    <w:rsid w:val="4B4B5163"/>
    <w:rsid w:val="4B5E9459"/>
    <w:rsid w:val="4B77664D"/>
    <w:rsid w:val="4B809BFB"/>
    <w:rsid w:val="4B9187D3"/>
    <w:rsid w:val="4B9A36E0"/>
    <w:rsid w:val="4BD82EB9"/>
    <w:rsid w:val="4BEA8769"/>
    <w:rsid w:val="4BEF05EC"/>
    <w:rsid w:val="4BF34012"/>
    <w:rsid w:val="4C1F231C"/>
    <w:rsid w:val="4C1FC6CC"/>
    <w:rsid w:val="4C539FF8"/>
    <w:rsid w:val="4C9C928B"/>
    <w:rsid w:val="4CC23BA8"/>
    <w:rsid w:val="4CC65274"/>
    <w:rsid w:val="4D020779"/>
    <w:rsid w:val="4D22F7ED"/>
    <w:rsid w:val="4D45A256"/>
    <w:rsid w:val="4D544D3C"/>
    <w:rsid w:val="4D626370"/>
    <w:rsid w:val="4D6E53B9"/>
    <w:rsid w:val="4D737D91"/>
    <w:rsid w:val="4D86B625"/>
    <w:rsid w:val="4E086C1B"/>
    <w:rsid w:val="4E11A785"/>
    <w:rsid w:val="4E344B03"/>
    <w:rsid w:val="4E5444F6"/>
    <w:rsid w:val="4E650A9B"/>
    <w:rsid w:val="4E6C12C4"/>
    <w:rsid w:val="4E6CB793"/>
    <w:rsid w:val="4EE85BFC"/>
    <w:rsid w:val="4EECB14C"/>
    <w:rsid w:val="4EFC8E9A"/>
    <w:rsid w:val="4F03970A"/>
    <w:rsid w:val="4F12AEF4"/>
    <w:rsid w:val="4F2F462C"/>
    <w:rsid w:val="4F58F819"/>
    <w:rsid w:val="4F695918"/>
    <w:rsid w:val="4FA8DF4E"/>
    <w:rsid w:val="4FD14DCF"/>
    <w:rsid w:val="4FD2DE88"/>
    <w:rsid w:val="500177EE"/>
    <w:rsid w:val="504E81A5"/>
    <w:rsid w:val="5056EAD0"/>
    <w:rsid w:val="505F1EF7"/>
    <w:rsid w:val="507F9688"/>
    <w:rsid w:val="50A3EC17"/>
    <w:rsid w:val="50B8931F"/>
    <w:rsid w:val="50BBD73B"/>
    <w:rsid w:val="50D795A4"/>
    <w:rsid w:val="50E723FA"/>
    <w:rsid w:val="50F3B38F"/>
    <w:rsid w:val="50FBC53F"/>
    <w:rsid w:val="5100B5D6"/>
    <w:rsid w:val="513AC6A0"/>
    <w:rsid w:val="516EDA4C"/>
    <w:rsid w:val="519A426E"/>
    <w:rsid w:val="51A110D4"/>
    <w:rsid w:val="51B8D532"/>
    <w:rsid w:val="51C46498"/>
    <w:rsid w:val="51C54174"/>
    <w:rsid w:val="51D6CB82"/>
    <w:rsid w:val="51E333D1"/>
    <w:rsid w:val="520FA887"/>
    <w:rsid w:val="5218A7EF"/>
    <w:rsid w:val="52395B20"/>
    <w:rsid w:val="525306D9"/>
    <w:rsid w:val="528D760A"/>
    <w:rsid w:val="52B2F6CD"/>
    <w:rsid w:val="52CFA781"/>
    <w:rsid w:val="52E20E6A"/>
    <w:rsid w:val="5300C177"/>
    <w:rsid w:val="53082EA7"/>
    <w:rsid w:val="531A7E4B"/>
    <w:rsid w:val="5336CF64"/>
    <w:rsid w:val="5338DF42"/>
    <w:rsid w:val="53394BB1"/>
    <w:rsid w:val="5354AEE4"/>
    <w:rsid w:val="535F2703"/>
    <w:rsid w:val="5394E2DC"/>
    <w:rsid w:val="53A81F67"/>
    <w:rsid w:val="53BCA9F9"/>
    <w:rsid w:val="53CA1772"/>
    <w:rsid w:val="53E39A5B"/>
    <w:rsid w:val="53EC57D9"/>
    <w:rsid w:val="53F660EF"/>
    <w:rsid w:val="5410132A"/>
    <w:rsid w:val="5432FEC7"/>
    <w:rsid w:val="5433A615"/>
    <w:rsid w:val="5494D8AC"/>
    <w:rsid w:val="54B68B32"/>
    <w:rsid w:val="54B9F4F0"/>
    <w:rsid w:val="54F370F8"/>
    <w:rsid w:val="55038A55"/>
    <w:rsid w:val="55142FBC"/>
    <w:rsid w:val="551B1E52"/>
    <w:rsid w:val="55616DF2"/>
    <w:rsid w:val="556E5248"/>
    <w:rsid w:val="55A103B9"/>
    <w:rsid w:val="55AEEFD2"/>
    <w:rsid w:val="55BDC621"/>
    <w:rsid w:val="55E1F5AA"/>
    <w:rsid w:val="5644DE4E"/>
    <w:rsid w:val="56F3DAB5"/>
    <w:rsid w:val="5771EA89"/>
    <w:rsid w:val="57EFD930"/>
    <w:rsid w:val="57FF661B"/>
    <w:rsid w:val="5816A5B3"/>
    <w:rsid w:val="583FA581"/>
    <w:rsid w:val="586FE171"/>
    <w:rsid w:val="58817CED"/>
    <w:rsid w:val="5892F623"/>
    <w:rsid w:val="58B28880"/>
    <w:rsid w:val="58D53368"/>
    <w:rsid w:val="594400CB"/>
    <w:rsid w:val="59450CBB"/>
    <w:rsid w:val="5954B001"/>
    <w:rsid w:val="5979B870"/>
    <w:rsid w:val="59B3A793"/>
    <w:rsid w:val="59CA5103"/>
    <w:rsid w:val="59EC31A9"/>
    <w:rsid w:val="5A05A0B2"/>
    <w:rsid w:val="5A0D8BB0"/>
    <w:rsid w:val="5A4E1C1B"/>
    <w:rsid w:val="5A726F5A"/>
    <w:rsid w:val="5AA381CA"/>
    <w:rsid w:val="5AE666E2"/>
    <w:rsid w:val="5B098025"/>
    <w:rsid w:val="5B33B868"/>
    <w:rsid w:val="5B3AAAAC"/>
    <w:rsid w:val="5B46116B"/>
    <w:rsid w:val="5B69B69A"/>
    <w:rsid w:val="5B8B3970"/>
    <w:rsid w:val="5BB58F92"/>
    <w:rsid w:val="5BC149C0"/>
    <w:rsid w:val="5BE584EA"/>
    <w:rsid w:val="5C07CB05"/>
    <w:rsid w:val="5C0D7533"/>
    <w:rsid w:val="5C18C9D0"/>
    <w:rsid w:val="5C36C52B"/>
    <w:rsid w:val="5C512C8F"/>
    <w:rsid w:val="5C6BD770"/>
    <w:rsid w:val="5C96DF38"/>
    <w:rsid w:val="5D10BBC7"/>
    <w:rsid w:val="5D13062F"/>
    <w:rsid w:val="5D5884F4"/>
    <w:rsid w:val="5D5A3AD2"/>
    <w:rsid w:val="5D6FACF9"/>
    <w:rsid w:val="5D81BF6D"/>
    <w:rsid w:val="5D8E855A"/>
    <w:rsid w:val="5DC54AA5"/>
    <w:rsid w:val="5DE121F1"/>
    <w:rsid w:val="5DF73886"/>
    <w:rsid w:val="5E0BE4BA"/>
    <w:rsid w:val="5E32920C"/>
    <w:rsid w:val="5E53EA6E"/>
    <w:rsid w:val="5E769084"/>
    <w:rsid w:val="5E7D68EA"/>
    <w:rsid w:val="5E84E7F3"/>
    <w:rsid w:val="5E9416FF"/>
    <w:rsid w:val="5EA2BF81"/>
    <w:rsid w:val="5EB15C7D"/>
    <w:rsid w:val="5ED8691D"/>
    <w:rsid w:val="5EE2A904"/>
    <w:rsid w:val="5F058342"/>
    <w:rsid w:val="5F178B93"/>
    <w:rsid w:val="5F27A5BD"/>
    <w:rsid w:val="5F27B599"/>
    <w:rsid w:val="5F65C223"/>
    <w:rsid w:val="5F70E7B6"/>
    <w:rsid w:val="5F75CF19"/>
    <w:rsid w:val="5F8CDE90"/>
    <w:rsid w:val="5FC3C009"/>
    <w:rsid w:val="5FDB4140"/>
    <w:rsid w:val="60165442"/>
    <w:rsid w:val="60353C2C"/>
    <w:rsid w:val="604F279D"/>
    <w:rsid w:val="606AE7C4"/>
    <w:rsid w:val="606B8501"/>
    <w:rsid w:val="60A55BED"/>
    <w:rsid w:val="60D2B764"/>
    <w:rsid w:val="60D3F67A"/>
    <w:rsid w:val="60D54C38"/>
    <w:rsid w:val="60FB40C3"/>
    <w:rsid w:val="612BE3C5"/>
    <w:rsid w:val="614A12A3"/>
    <w:rsid w:val="6156E0EC"/>
    <w:rsid w:val="617E5109"/>
    <w:rsid w:val="61BA32BD"/>
    <w:rsid w:val="61BCFF20"/>
    <w:rsid w:val="623D83B4"/>
    <w:rsid w:val="623F7D8B"/>
    <w:rsid w:val="6242921F"/>
    <w:rsid w:val="6261AF19"/>
    <w:rsid w:val="627C04DD"/>
    <w:rsid w:val="628DBACE"/>
    <w:rsid w:val="62A624BB"/>
    <w:rsid w:val="62BEE4DC"/>
    <w:rsid w:val="63046381"/>
    <w:rsid w:val="631EE768"/>
    <w:rsid w:val="63745C57"/>
    <w:rsid w:val="63B47A04"/>
    <w:rsid w:val="63C11130"/>
    <w:rsid w:val="63E63340"/>
    <w:rsid w:val="6403A80B"/>
    <w:rsid w:val="64062B6D"/>
    <w:rsid w:val="643D9F84"/>
    <w:rsid w:val="64BFE224"/>
    <w:rsid w:val="64E32FB2"/>
    <w:rsid w:val="64E99E90"/>
    <w:rsid w:val="650B2A5A"/>
    <w:rsid w:val="652A2C85"/>
    <w:rsid w:val="65812CDE"/>
    <w:rsid w:val="659EE175"/>
    <w:rsid w:val="65E3955E"/>
    <w:rsid w:val="660092A3"/>
    <w:rsid w:val="661DF4BF"/>
    <w:rsid w:val="662E10F6"/>
    <w:rsid w:val="6653D9BC"/>
    <w:rsid w:val="665CCEC8"/>
    <w:rsid w:val="669CEB5E"/>
    <w:rsid w:val="66A37611"/>
    <w:rsid w:val="66C0E151"/>
    <w:rsid w:val="66D9908B"/>
    <w:rsid w:val="672B7336"/>
    <w:rsid w:val="67783AC4"/>
    <w:rsid w:val="679E3C31"/>
    <w:rsid w:val="67AF03CA"/>
    <w:rsid w:val="67B5BDE5"/>
    <w:rsid w:val="67D8FE76"/>
    <w:rsid w:val="67F18560"/>
    <w:rsid w:val="67F502A9"/>
    <w:rsid w:val="67F93D07"/>
    <w:rsid w:val="682B6EBD"/>
    <w:rsid w:val="6843D27C"/>
    <w:rsid w:val="684F653F"/>
    <w:rsid w:val="686A3EAC"/>
    <w:rsid w:val="687D763E"/>
    <w:rsid w:val="68B72268"/>
    <w:rsid w:val="68C72948"/>
    <w:rsid w:val="6908FF86"/>
    <w:rsid w:val="690D55E2"/>
    <w:rsid w:val="6947DAB4"/>
    <w:rsid w:val="69BA3946"/>
    <w:rsid w:val="69DB67A7"/>
    <w:rsid w:val="6A4A0974"/>
    <w:rsid w:val="6A67DE22"/>
    <w:rsid w:val="6A7E24CB"/>
    <w:rsid w:val="6A7E9849"/>
    <w:rsid w:val="6AA1F5EB"/>
    <w:rsid w:val="6AB6EF0C"/>
    <w:rsid w:val="6ADCD898"/>
    <w:rsid w:val="6AE4840C"/>
    <w:rsid w:val="6B26A28D"/>
    <w:rsid w:val="6B2A9587"/>
    <w:rsid w:val="6B4F1FA8"/>
    <w:rsid w:val="6B760E23"/>
    <w:rsid w:val="6BAF53B6"/>
    <w:rsid w:val="6C078837"/>
    <w:rsid w:val="6C153831"/>
    <w:rsid w:val="6C41F676"/>
    <w:rsid w:val="6C4A82DC"/>
    <w:rsid w:val="6CE0C201"/>
    <w:rsid w:val="6D12EC89"/>
    <w:rsid w:val="6D363438"/>
    <w:rsid w:val="6DA9BEAE"/>
    <w:rsid w:val="6DB5F478"/>
    <w:rsid w:val="6DB7855A"/>
    <w:rsid w:val="6DDD33B2"/>
    <w:rsid w:val="6DF3146D"/>
    <w:rsid w:val="6DF419C0"/>
    <w:rsid w:val="6DF720B4"/>
    <w:rsid w:val="6E278C8A"/>
    <w:rsid w:val="6E68CDB7"/>
    <w:rsid w:val="6E6E5D28"/>
    <w:rsid w:val="6E70AE50"/>
    <w:rsid w:val="6F2BFBC9"/>
    <w:rsid w:val="6F3E6670"/>
    <w:rsid w:val="6F7416F3"/>
    <w:rsid w:val="6F7819BA"/>
    <w:rsid w:val="6F926D80"/>
    <w:rsid w:val="6F96F2EF"/>
    <w:rsid w:val="6FA27052"/>
    <w:rsid w:val="6FD72D39"/>
    <w:rsid w:val="6FDC109A"/>
    <w:rsid w:val="700BA0D9"/>
    <w:rsid w:val="704B105A"/>
    <w:rsid w:val="704D8A02"/>
    <w:rsid w:val="70A38A3C"/>
    <w:rsid w:val="70A602B4"/>
    <w:rsid w:val="70E2B6BF"/>
    <w:rsid w:val="71047B1B"/>
    <w:rsid w:val="71098E0C"/>
    <w:rsid w:val="7118204D"/>
    <w:rsid w:val="711BC758"/>
    <w:rsid w:val="713D27F0"/>
    <w:rsid w:val="715AD82E"/>
    <w:rsid w:val="7187306E"/>
    <w:rsid w:val="71D07D14"/>
    <w:rsid w:val="71D575E6"/>
    <w:rsid w:val="721BE8AD"/>
    <w:rsid w:val="7254C74F"/>
    <w:rsid w:val="72647EE3"/>
    <w:rsid w:val="72727AA8"/>
    <w:rsid w:val="72907DF1"/>
    <w:rsid w:val="72A1069B"/>
    <w:rsid w:val="7321969B"/>
    <w:rsid w:val="73646982"/>
    <w:rsid w:val="7380C667"/>
    <w:rsid w:val="738ED2EA"/>
    <w:rsid w:val="73B6793E"/>
    <w:rsid w:val="73BC3ABD"/>
    <w:rsid w:val="73F609FB"/>
    <w:rsid w:val="74017520"/>
    <w:rsid w:val="7402BF99"/>
    <w:rsid w:val="7411A7E6"/>
    <w:rsid w:val="745E9C58"/>
    <w:rsid w:val="7478593D"/>
    <w:rsid w:val="747A1CC1"/>
    <w:rsid w:val="748F6880"/>
    <w:rsid w:val="74A7B049"/>
    <w:rsid w:val="74B16373"/>
    <w:rsid w:val="74BDD490"/>
    <w:rsid w:val="74C3ADA3"/>
    <w:rsid w:val="751DD7FA"/>
    <w:rsid w:val="7528CF69"/>
    <w:rsid w:val="754F15C4"/>
    <w:rsid w:val="75AD484B"/>
    <w:rsid w:val="75D0FE61"/>
    <w:rsid w:val="762FC500"/>
    <w:rsid w:val="7649EFAD"/>
    <w:rsid w:val="76547198"/>
    <w:rsid w:val="766D3CC4"/>
    <w:rsid w:val="768DF246"/>
    <w:rsid w:val="76A32AF1"/>
    <w:rsid w:val="76EBFA21"/>
    <w:rsid w:val="7715F70E"/>
    <w:rsid w:val="77184C95"/>
    <w:rsid w:val="773D79BA"/>
    <w:rsid w:val="77550F37"/>
    <w:rsid w:val="776BAC4D"/>
    <w:rsid w:val="7775C7F5"/>
    <w:rsid w:val="77A1941C"/>
    <w:rsid w:val="77BDDAF3"/>
    <w:rsid w:val="77C62366"/>
    <w:rsid w:val="77C80D56"/>
    <w:rsid w:val="77EFD541"/>
    <w:rsid w:val="78171BFA"/>
    <w:rsid w:val="783B8770"/>
    <w:rsid w:val="7894CEE0"/>
    <w:rsid w:val="78A51151"/>
    <w:rsid w:val="78D293AB"/>
    <w:rsid w:val="78D80FFB"/>
    <w:rsid w:val="78F66760"/>
    <w:rsid w:val="792CD8A5"/>
    <w:rsid w:val="793E6A20"/>
    <w:rsid w:val="794A32CC"/>
    <w:rsid w:val="796FE4DE"/>
    <w:rsid w:val="797C9A6C"/>
    <w:rsid w:val="79D3A844"/>
    <w:rsid w:val="7A2CE88F"/>
    <w:rsid w:val="7A38831B"/>
    <w:rsid w:val="7A3C776A"/>
    <w:rsid w:val="7A53BB24"/>
    <w:rsid w:val="7A53DB15"/>
    <w:rsid w:val="7ABF7B1F"/>
    <w:rsid w:val="7AD18A1A"/>
    <w:rsid w:val="7B1B4614"/>
    <w:rsid w:val="7B22230E"/>
    <w:rsid w:val="7B5FAFBD"/>
    <w:rsid w:val="7B67E17C"/>
    <w:rsid w:val="7B845F9D"/>
    <w:rsid w:val="7B98C010"/>
    <w:rsid w:val="7BE90CFD"/>
    <w:rsid w:val="7BED226A"/>
    <w:rsid w:val="7C2FF960"/>
    <w:rsid w:val="7C6581AF"/>
    <w:rsid w:val="7C6B8460"/>
    <w:rsid w:val="7C8EF561"/>
    <w:rsid w:val="7C9068DE"/>
    <w:rsid w:val="7CB39DE1"/>
    <w:rsid w:val="7CBD0230"/>
    <w:rsid w:val="7CCF2C0F"/>
    <w:rsid w:val="7CE722FD"/>
    <w:rsid w:val="7CF3502B"/>
    <w:rsid w:val="7D71CBDA"/>
    <w:rsid w:val="7D95D1B8"/>
    <w:rsid w:val="7D9CB843"/>
    <w:rsid w:val="7DB8C314"/>
    <w:rsid w:val="7E1DA77F"/>
    <w:rsid w:val="7E7765D5"/>
    <w:rsid w:val="7E8DC656"/>
    <w:rsid w:val="7EB5F181"/>
    <w:rsid w:val="7EBADC82"/>
    <w:rsid w:val="7EC72CE8"/>
    <w:rsid w:val="7ECD9E33"/>
    <w:rsid w:val="7F30E7AE"/>
    <w:rsid w:val="7F33F5F4"/>
    <w:rsid w:val="7F804841"/>
    <w:rsid w:val="7F89F718"/>
    <w:rsid w:val="7F9F2067"/>
    <w:rsid w:val="7FA750F1"/>
    <w:rsid w:val="7FA8C4EA"/>
    <w:rsid w:val="7FC50144"/>
    <w:rsid w:val="7FDEE0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FE1631"/>
  <w15:docId w15:val="{C91930B4-4B32-4795-9FFE-5BFDF892E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semiHidden="1" w:uiPriority="19" w:qFormat="1"/>
    <w:lsdException w:name="Closing" w:semiHidden="1" w:unhideWhenUsed="1"/>
    <w:lsdException w:name="Signature" w:semiHidden="1" w:uiPriority="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03B"/>
    <w:pPr>
      <w:spacing w:before="80" w:after="160" w:line="288" w:lineRule="auto"/>
    </w:pPr>
    <w:rPr>
      <w:rFonts w:ascii="Aptos Light" w:hAnsi="Aptos Light"/>
      <w:color w:val="262626" w:themeColor="text1" w:themeTint="D9"/>
      <w:kern w:val="20"/>
      <w:sz w:val="22"/>
      <w:lang w:val="en-US" w:eastAsia="ja-JP"/>
    </w:rPr>
  </w:style>
  <w:style w:type="paragraph" w:styleId="Heading1">
    <w:name w:val="heading 1"/>
    <w:basedOn w:val="Normal"/>
    <w:next w:val="Normal"/>
    <w:link w:val="Heading1Char"/>
    <w:uiPriority w:val="1"/>
    <w:qFormat/>
    <w:rsid w:val="00B6004B"/>
    <w:pPr>
      <w:pageBreakBefore/>
      <w:numPr>
        <w:numId w:val="107"/>
      </w:numPr>
      <w:spacing w:before="0" w:after="360" w:line="240" w:lineRule="auto"/>
      <w:outlineLvl w:val="0"/>
    </w:pPr>
    <w:rPr>
      <w:rFonts w:asciiTheme="majorHAnsi" w:hAnsiTheme="majorHAnsi"/>
      <w:b/>
      <w:color w:val="039D89" w:themeColor="accent2"/>
      <w:sz w:val="44"/>
    </w:rPr>
  </w:style>
  <w:style w:type="paragraph" w:styleId="Heading2">
    <w:name w:val="heading 2"/>
    <w:basedOn w:val="Normal"/>
    <w:next w:val="Normal"/>
    <w:link w:val="Heading2Char"/>
    <w:uiPriority w:val="1"/>
    <w:qFormat/>
    <w:rsid w:val="00B6004B"/>
    <w:pPr>
      <w:numPr>
        <w:ilvl w:val="1"/>
        <w:numId w:val="69"/>
      </w:numPr>
      <w:spacing w:before="360" w:after="240"/>
      <w:outlineLvl w:val="1"/>
    </w:pPr>
    <w:rPr>
      <w:rFonts w:ascii="Aptos SemiBold" w:hAnsi="Aptos SemiBold"/>
      <w:b/>
      <w:color w:val="132D4E" w:themeColor="text2"/>
      <w:sz w:val="32"/>
      <w:szCs w:val="36"/>
    </w:rPr>
  </w:style>
  <w:style w:type="paragraph" w:styleId="Heading3">
    <w:name w:val="heading 3"/>
    <w:basedOn w:val="Normal"/>
    <w:next w:val="Normal"/>
    <w:link w:val="Heading3Char"/>
    <w:uiPriority w:val="1"/>
    <w:qFormat/>
    <w:rsid w:val="00B6004B"/>
    <w:pPr>
      <w:keepNext/>
      <w:keepLines/>
      <w:numPr>
        <w:ilvl w:val="2"/>
        <w:numId w:val="69"/>
      </w:numPr>
      <w:spacing w:before="240" w:after="0"/>
      <w:outlineLvl w:val="2"/>
    </w:pPr>
    <w:rPr>
      <w:rFonts w:asciiTheme="minorHAnsi" w:eastAsia="Times New Roman" w:hAnsiTheme="minorHAnsi"/>
      <w:b/>
      <w:bCs/>
      <w:caps/>
      <w:color w:val="132D4E" w:themeColor="text2"/>
    </w:rPr>
  </w:style>
  <w:style w:type="paragraph" w:styleId="Heading4">
    <w:name w:val="heading 4"/>
    <w:basedOn w:val="Normal"/>
    <w:next w:val="Normal"/>
    <w:link w:val="Heading4Char"/>
    <w:uiPriority w:val="1"/>
    <w:qFormat/>
    <w:rsid w:val="00061AAE"/>
    <w:pPr>
      <w:keepNext/>
      <w:keepLines/>
      <w:numPr>
        <w:ilvl w:val="3"/>
        <w:numId w:val="69"/>
      </w:numPr>
      <w:spacing w:before="200" w:after="0"/>
      <w:outlineLvl w:val="3"/>
    </w:pPr>
    <w:rPr>
      <w:rFonts w:asciiTheme="minorHAnsi" w:eastAsia="Times New Roman" w:hAnsiTheme="minorHAnsi"/>
      <w:b/>
      <w:bCs/>
      <w:iCs/>
      <w:color w:val="027566" w:themeColor="accent2" w:themeShade="BF"/>
    </w:rPr>
  </w:style>
  <w:style w:type="paragraph" w:styleId="Heading5">
    <w:name w:val="heading 5"/>
    <w:basedOn w:val="Normal"/>
    <w:next w:val="Normal"/>
    <w:link w:val="Heading5Char"/>
    <w:uiPriority w:val="1"/>
    <w:qFormat/>
    <w:rsid w:val="00061AAE"/>
    <w:pPr>
      <w:keepNext/>
      <w:keepLines/>
      <w:numPr>
        <w:ilvl w:val="4"/>
        <w:numId w:val="69"/>
      </w:numPr>
      <w:spacing w:before="200" w:after="0"/>
      <w:outlineLvl w:val="4"/>
    </w:pPr>
    <w:rPr>
      <w:rFonts w:ascii="Aptos" w:eastAsia="Times New Roman" w:hAnsi="Aptos"/>
      <w:color w:val="134291" w:themeColor="accent1"/>
    </w:rPr>
  </w:style>
  <w:style w:type="paragraph" w:styleId="Heading6">
    <w:name w:val="heading 6"/>
    <w:basedOn w:val="Normal"/>
    <w:next w:val="Normal"/>
    <w:link w:val="Heading6Char"/>
    <w:uiPriority w:val="18"/>
    <w:semiHidden/>
    <w:rsid w:val="00061AAE"/>
    <w:pPr>
      <w:keepNext/>
      <w:keepLines/>
      <w:numPr>
        <w:ilvl w:val="5"/>
        <w:numId w:val="69"/>
      </w:numPr>
      <w:spacing w:before="200" w:after="0"/>
      <w:outlineLvl w:val="5"/>
    </w:pPr>
    <w:rPr>
      <w:rFonts w:ascii="Calibri" w:eastAsia="Times New Roman" w:hAnsi="Calibri"/>
      <w:i/>
      <w:iCs/>
      <w:color w:val="394B5A"/>
    </w:rPr>
  </w:style>
  <w:style w:type="paragraph" w:styleId="Heading7">
    <w:name w:val="heading 7"/>
    <w:basedOn w:val="Normal"/>
    <w:next w:val="Normal"/>
    <w:link w:val="Heading7Char"/>
    <w:uiPriority w:val="18"/>
    <w:semiHidden/>
    <w:qFormat/>
    <w:rsid w:val="00061AAE"/>
    <w:pPr>
      <w:keepNext/>
      <w:keepLines/>
      <w:numPr>
        <w:ilvl w:val="6"/>
        <w:numId w:val="69"/>
      </w:numPr>
      <w:spacing w:before="200" w:after="0"/>
      <w:outlineLvl w:val="6"/>
    </w:pPr>
    <w:rPr>
      <w:rFonts w:ascii="Calibri" w:eastAsia="Times New Roman" w:hAnsi="Calibri"/>
      <w:i/>
      <w:iCs/>
      <w:color w:val="404040"/>
    </w:rPr>
  </w:style>
  <w:style w:type="paragraph" w:styleId="Heading8">
    <w:name w:val="heading 8"/>
    <w:basedOn w:val="Normal"/>
    <w:next w:val="Normal"/>
    <w:link w:val="Heading8Char"/>
    <w:uiPriority w:val="18"/>
    <w:semiHidden/>
    <w:unhideWhenUsed/>
    <w:qFormat/>
    <w:rsid w:val="00061AAE"/>
    <w:pPr>
      <w:keepNext/>
      <w:keepLines/>
      <w:numPr>
        <w:ilvl w:val="7"/>
        <w:numId w:val="69"/>
      </w:numPr>
      <w:spacing w:before="200" w:after="0"/>
      <w:outlineLvl w:val="7"/>
    </w:pPr>
    <w:rPr>
      <w:rFonts w:ascii="Calibri" w:eastAsia="Times New Roman" w:hAnsi="Calibri"/>
      <w:color w:val="404040"/>
    </w:rPr>
  </w:style>
  <w:style w:type="paragraph" w:styleId="Heading9">
    <w:name w:val="heading 9"/>
    <w:basedOn w:val="Normal"/>
    <w:next w:val="Normal"/>
    <w:link w:val="Heading9Char"/>
    <w:uiPriority w:val="18"/>
    <w:semiHidden/>
    <w:unhideWhenUsed/>
    <w:qFormat/>
    <w:rsid w:val="00061AAE"/>
    <w:pPr>
      <w:keepNext/>
      <w:keepLines/>
      <w:numPr>
        <w:ilvl w:val="8"/>
        <w:numId w:val="69"/>
      </w:numPr>
      <w:spacing w:before="200" w:after="0"/>
      <w:outlineLvl w:val="8"/>
    </w:pPr>
    <w:rPr>
      <w:rFonts w:ascii="Calibri" w:eastAsia="Times New Roman" w:hAnsi="Calibri"/>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before="0" w:after="0" w:line="240" w:lineRule="auto"/>
    </w:pPr>
  </w:style>
  <w:style w:type="character" w:customStyle="1" w:styleId="HeaderChar">
    <w:name w:val="Header Char"/>
    <w:link w:val="Header"/>
    <w:uiPriority w:val="99"/>
    <w:rPr>
      <w:kern w:val="20"/>
    </w:rPr>
  </w:style>
  <w:style w:type="paragraph" w:styleId="Footer">
    <w:name w:val="footer"/>
    <w:basedOn w:val="Normal"/>
    <w:link w:val="FooterChar"/>
    <w:uiPriority w:val="99"/>
    <w:rsid w:val="00265B27"/>
    <w:pPr>
      <w:spacing w:after="0" w:line="240" w:lineRule="auto"/>
    </w:pPr>
    <w:rPr>
      <w:sz w:val="16"/>
    </w:rPr>
  </w:style>
  <w:style w:type="character" w:customStyle="1" w:styleId="FooterChar">
    <w:name w:val="Footer Char"/>
    <w:link w:val="Footer"/>
    <w:uiPriority w:val="99"/>
    <w:rsid w:val="00265B27"/>
    <w:rPr>
      <w:rFonts w:ascii="Aptos Light" w:hAnsi="Aptos Light"/>
      <w:color w:val="262626" w:themeColor="text1" w:themeTint="D9"/>
      <w:kern w:val="20"/>
      <w:sz w:val="16"/>
      <w:lang w:val="en-US" w:eastAsia="ja-JP"/>
    </w:rPr>
  </w:style>
  <w:style w:type="table" w:styleId="TableGrid">
    <w:name w:val="Table Grid"/>
    <w:basedOn w:val="TableNormal"/>
    <w:uiPriority w:val="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rsid w:val="00370608"/>
    <w:pPr>
      <w:spacing w:before="40"/>
    </w:pPr>
    <w:rPr>
      <w:color w:val="595959"/>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rPr>
  </w:style>
  <w:style w:type="character" w:customStyle="1" w:styleId="BalloonTextChar">
    <w:name w:val="Balloon Text Char"/>
    <w:link w:val="BalloonText"/>
    <w:uiPriority w:val="99"/>
    <w:semiHidden/>
    <w:rPr>
      <w:rFonts w:ascii="Tahoma" w:hAnsi="Tahoma" w:cs="Tahoma"/>
      <w:sz w:val="16"/>
    </w:rPr>
  </w:style>
  <w:style w:type="character" w:customStyle="1" w:styleId="Heading1Char">
    <w:name w:val="Heading 1 Char"/>
    <w:link w:val="Heading1"/>
    <w:uiPriority w:val="1"/>
    <w:rsid w:val="00151C8B"/>
    <w:rPr>
      <w:rFonts w:asciiTheme="majorHAnsi" w:hAnsiTheme="majorHAnsi"/>
      <w:b/>
      <w:color w:val="039D89" w:themeColor="accent2"/>
      <w:kern w:val="20"/>
      <w:sz w:val="44"/>
      <w:lang w:val="en-US" w:eastAsia="ja-JP"/>
    </w:rPr>
  </w:style>
  <w:style w:type="character" w:customStyle="1" w:styleId="Heading2Char">
    <w:name w:val="Heading 2 Char"/>
    <w:link w:val="Heading2"/>
    <w:uiPriority w:val="1"/>
    <w:rsid w:val="00B6004B"/>
    <w:rPr>
      <w:rFonts w:ascii="Aptos SemiBold" w:hAnsi="Aptos SemiBold"/>
      <w:b/>
      <w:color w:val="132D4E" w:themeColor="text2"/>
      <w:kern w:val="20"/>
      <w:sz w:val="32"/>
      <w:szCs w:val="36"/>
      <w:lang w:val="en-US" w:eastAsia="ja-JP"/>
    </w:rPr>
  </w:style>
  <w:style w:type="character" w:styleId="PlaceholderText">
    <w:name w:val="Placeholder Text"/>
    <w:uiPriority w:val="99"/>
    <w:semiHidden/>
    <w:rPr>
      <w:color w:val="808080"/>
    </w:rPr>
  </w:style>
  <w:style w:type="paragraph" w:styleId="Quote">
    <w:name w:val="Quote"/>
    <w:basedOn w:val="Normal"/>
    <w:next w:val="Normal"/>
    <w:link w:val="QuoteChar"/>
    <w:uiPriority w:val="9"/>
    <w:qFormat/>
    <w:rsid w:val="00C872B7"/>
    <w:pPr>
      <w:spacing w:before="240" w:after="240"/>
      <w:ind w:left="720" w:right="720"/>
    </w:pPr>
    <w:rPr>
      <w:i/>
      <w:iCs/>
      <w:color w:val="039D89" w:themeColor="accent2"/>
      <w:sz w:val="28"/>
    </w:rPr>
  </w:style>
  <w:style w:type="character" w:customStyle="1" w:styleId="QuoteChar">
    <w:name w:val="Quote Char"/>
    <w:link w:val="Quote"/>
    <w:uiPriority w:val="9"/>
    <w:rsid w:val="00C872B7"/>
    <w:rPr>
      <w:rFonts w:ascii="Aptos Light" w:hAnsi="Aptos Light"/>
      <w:i/>
      <w:iCs/>
      <w:color w:val="039D89" w:themeColor="accent2"/>
      <w:kern w:val="20"/>
      <w:sz w:val="28"/>
      <w:lang w:val="en-US" w:eastAsia="ja-JP"/>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7E97AD" w:frame="1"/>
        <w:left w:val="single" w:sz="2" w:space="10" w:color="7E97AD" w:frame="1"/>
        <w:bottom w:val="single" w:sz="2" w:space="10" w:color="7E97AD" w:frame="1"/>
        <w:right w:val="single" w:sz="2" w:space="10" w:color="7E97AD" w:frame="1"/>
      </w:pBdr>
      <w:ind w:left="1152" w:right="1152"/>
    </w:pPr>
    <w:rPr>
      <w:i/>
      <w:iCs/>
      <w:color w:val="7E97AD"/>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rFonts w:asciiTheme="minorHAnsi" w:hAnsiTheme="minorHAnsi"/>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rFonts w:asciiTheme="minorHAnsi" w:hAnsiTheme="minorHAnsi"/>
    </w:rPr>
  </w:style>
  <w:style w:type="paragraph" w:styleId="BodyText3">
    <w:name w:val="Body Text 3"/>
    <w:basedOn w:val="Normal"/>
    <w:link w:val="BodyText3Char"/>
    <w:uiPriority w:val="99"/>
    <w:semiHidden/>
    <w:unhideWhenUsed/>
    <w:pPr>
      <w:spacing w:after="120"/>
    </w:pPr>
    <w:rPr>
      <w:sz w:val="16"/>
    </w:rPr>
  </w:style>
  <w:style w:type="character" w:customStyle="1" w:styleId="BodyText3Char">
    <w:name w:val="Body Text 3 Char"/>
    <w:link w:val="BodyText3"/>
    <w:uiPriority w:val="99"/>
    <w:semiHidden/>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rPr>
      <w:rFonts w:asciiTheme="minorHAnsi" w:hAnsiTheme="minorHAnsi"/>
    </w:r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rPr>
      <w:rFonts w:asciiTheme="minorHAnsi" w:hAnsiTheme="minorHAnsi"/>
    </w:rPr>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rPr>
      <w:rFonts w:asciiTheme="minorHAnsi" w:hAnsiTheme="minorHAnsi"/>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rPr>
      <w:rFonts w:asciiTheme="minorHAnsi" w:hAnsiTheme="minorHAnsi"/>
    </w:rPr>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link w:val="BodyTextIndent3"/>
    <w:uiPriority w:val="99"/>
    <w:semiHidden/>
    <w:rPr>
      <w:sz w:val="16"/>
    </w:rPr>
  </w:style>
  <w:style w:type="character" w:styleId="BookTitle">
    <w:name w:val="Book Title"/>
    <w:uiPriority w:val="33"/>
    <w:semiHidden/>
    <w:unhideWhenUsed/>
    <w:rPr>
      <w:b/>
      <w:bCs/>
      <w:smallCaps/>
      <w:spacing w:val="5"/>
    </w:rPr>
  </w:style>
  <w:style w:type="paragraph" w:styleId="Caption">
    <w:name w:val="caption"/>
    <w:basedOn w:val="Normal"/>
    <w:next w:val="Normal"/>
    <w:uiPriority w:val="35"/>
    <w:semiHidden/>
    <w:unhideWhenUsed/>
    <w:qFormat/>
    <w:pPr>
      <w:spacing w:line="240" w:lineRule="auto"/>
    </w:pPr>
    <w:rPr>
      <w:b/>
      <w:bCs/>
      <w:color w:val="7E97AD"/>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rPr>
      <w:rFonts w:asciiTheme="minorHAnsi" w:hAnsiTheme="minorHAnsi"/>
    </w:rPr>
  </w:style>
  <w:style w:type="table" w:styleId="ColorfulGrid">
    <w:name w:val="Colorful Grid"/>
    <w:basedOn w:val="TableNormal"/>
    <w:uiPriority w:val="7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StyleRowBandSize w:val="1"/>
      <w:tblStyleColBandSize w:val="1"/>
      <w:tblBorders>
        <w:insideH w:val="single" w:sz="4" w:space="0" w:color="FFFFFF"/>
      </w:tblBorders>
    </w:tblPr>
    <w:tcPr>
      <w:shd w:val="clear" w:color="auto" w:fill="E5EAEE"/>
    </w:tcPr>
    <w:tblStylePr w:type="firstRow">
      <w:rPr>
        <w:b/>
        <w:bCs/>
      </w:rPr>
      <w:tblPr/>
      <w:tcPr>
        <w:shd w:val="clear" w:color="auto" w:fill="CBD5DE"/>
      </w:tcPr>
    </w:tblStylePr>
    <w:tblStylePr w:type="lastRow">
      <w:rPr>
        <w:b/>
        <w:bCs/>
        <w:color w:val="000000"/>
      </w:rPr>
      <w:tblPr/>
      <w:tcPr>
        <w:shd w:val="clear" w:color="auto" w:fill="CBD5DE"/>
      </w:tcPr>
    </w:tblStylePr>
    <w:tblStylePr w:type="firstCol">
      <w:rPr>
        <w:color w:val="FFFFFF"/>
      </w:rPr>
      <w:tblPr/>
      <w:tcPr>
        <w:shd w:val="clear" w:color="auto" w:fill="577188"/>
      </w:tcPr>
    </w:tblStylePr>
    <w:tblStylePr w:type="lastCol">
      <w:rPr>
        <w:color w:val="FFFFFF"/>
      </w:rPr>
      <w:tblPr/>
      <w:tcPr>
        <w:shd w:val="clear" w:color="auto" w:fill="577188"/>
      </w:tcPr>
    </w:tblStylePr>
    <w:tblStylePr w:type="band1Vert">
      <w:tblPr/>
      <w:tcPr>
        <w:shd w:val="clear" w:color="auto" w:fill="BECBD6"/>
      </w:tcPr>
    </w:tblStylePr>
    <w:tblStylePr w:type="band1Horz">
      <w:tblPr/>
      <w:tcPr>
        <w:shd w:val="clear" w:color="auto" w:fill="BECBD6"/>
      </w:tcPr>
    </w:tblStylePr>
  </w:style>
  <w:style w:type="table" w:styleId="ColorfulGrid-Accent2">
    <w:name w:val="Colorful Grid Accent 2"/>
    <w:basedOn w:val="TableNormal"/>
    <w:uiPriority w:val="73"/>
    <w:rPr>
      <w:color w:val="000000"/>
    </w:rPr>
    <w:tblPr>
      <w:tblStyleRowBandSize w:val="1"/>
      <w:tblStyleColBandSize w:val="1"/>
      <w:tblBorders>
        <w:insideH w:val="single" w:sz="4" w:space="0" w:color="FFFFFF"/>
      </w:tblBorders>
    </w:tblPr>
    <w:tcPr>
      <w:shd w:val="clear" w:color="auto" w:fill="F4E8DF"/>
    </w:tcPr>
    <w:tblStylePr w:type="firstRow">
      <w:rPr>
        <w:b/>
        <w:bCs/>
      </w:rPr>
      <w:tblPr/>
      <w:tcPr>
        <w:shd w:val="clear" w:color="auto" w:fill="EAD1BF"/>
      </w:tcPr>
    </w:tblStylePr>
    <w:tblStylePr w:type="lastRow">
      <w:rPr>
        <w:b/>
        <w:bCs/>
        <w:color w:val="000000"/>
      </w:rPr>
      <w:tblPr/>
      <w:tcPr>
        <w:shd w:val="clear" w:color="auto" w:fill="EAD1BF"/>
      </w:tcPr>
    </w:tblStylePr>
    <w:tblStylePr w:type="firstCol">
      <w:rPr>
        <w:color w:val="FFFFFF"/>
      </w:rPr>
      <w:tblPr/>
      <w:tcPr>
        <w:shd w:val="clear" w:color="auto" w:fill="AA6736"/>
      </w:tcPr>
    </w:tblStylePr>
    <w:tblStylePr w:type="lastCol">
      <w:rPr>
        <w:color w:val="FFFFFF"/>
      </w:rPr>
      <w:tblPr/>
      <w:tcPr>
        <w:shd w:val="clear" w:color="auto" w:fill="AA6736"/>
      </w:tcPr>
    </w:tblStylePr>
    <w:tblStylePr w:type="band1Vert">
      <w:tblPr/>
      <w:tcPr>
        <w:shd w:val="clear" w:color="auto" w:fill="E5C6AF"/>
      </w:tcPr>
    </w:tblStylePr>
    <w:tblStylePr w:type="band1Horz">
      <w:tblPr/>
      <w:tcPr>
        <w:shd w:val="clear" w:color="auto" w:fill="E5C6AF"/>
      </w:tcPr>
    </w:tblStylePr>
  </w:style>
  <w:style w:type="table" w:styleId="ColorfulGrid-Accent3">
    <w:name w:val="Colorful Grid Accent 3"/>
    <w:basedOn w:val="TableNormal"/>
    <w:uiPriority w:val="73"/>
    <w:rPr>
      <w:color w:val="000000"/>
    </w:rPr>
    <w:tblPr>
      <w:tblStyleRowBandSize w:val="1"/>
      <w:tblStyleColBandSize w:val="1"/>
      <w:tblBorders>
        <w:insideH w:val="single" w:sz="4" w:space="0" w:color="FFFFFF"/>
      </w:tblBorders>
    </w:tblPr>
    <w:tcPr>
      <w:shd w:val="clear" w:color="auto" w:fill="E5E0DE"/>
    </w:tcPr>
    <w:tblStylePr w:type="firstRow">
      <w:rPr>
        <w:b/>
        <w:bCs/>
      </w:rPr>
      <w:tblPr/>
      <w:tcPr>
        <w:shd w:val="clear" w:color="auto" w:fill="CBC2BD"/>
      </w:tcPr>
    </w:tblStylePr>
    <w:tblStylePr w:type="lastRow">
      <w:rPr>
        <w:b/>
        <w:bCs/>
        <w:color w:val="000000"/>
      </w:rPr>
      <w:tblPr/>
      <w:tcPr>
        <w:shd w:val="clear" w:color="auto" w:fill="CBC2BD"/>
      </w:tcPr>
    </w:tblStylePr>
    <w:tblStylePr w:type="firstCol">
      <w:rPr>
        <w:color w:val="FFFFFF"/>
      </w:rPr>
      <w:tblPr/>
      <w:tcPr>
        <w:shd w:val="clear" w:color="auto" w:fill="5B4F47"/>
      </w:tcPr>
    </w:tblStylePr>
    <w:tblStylePr w:type="lastCol">
      <w:rPr>
        <w:color w:val="FFFFFF"/>
      </w:rPr>
      <w:tblPr/>
      <w:tcPr>
        <w:shd w:val="clear" w:color="auto" w:fill="5B4F47"/>
      </w:tcPr>
    </w:tblStylePr>
    <w:tblStylePr w:type="band1Vert">
      <w:tblPr/>
      <w:tcPr>
        <w:shd w:val="clear" w:color="auto" w:fill="BEB4AD"/>
      </w:tcPr>
    </w:tblStylePr>
    <w:tblStylePr w:type="band1Horz">
      <w:tblPr/>
      <w:tcPr>
        <w:shd w:val="clear" w:color="auto" w:fill="BEB4AD"/>
      </w:tcPr>
    </w:tblStylePr>
  </w:style>
  <w:style w:type="table" w:styleId="ColorfulGrid-Accent4">
    <w:name w:val="Colorful Grid Accent 4"/>
    <w:basedOn w:val="TableNormal"/>
    <w:uiPriority w:val="73"/>
    <w:rPr>
      <w:color w:val="000000"/>
    </w:rPr>
    <w:tblPr>
      <w:tblStyleRowBandSize w:val="1"/>
      <w:tblStyleColBandSize w:val="1"/>
      <w:tblBorders>
        <w:insideH w:val="single" w:sz="4" w:space="0" w:color="FFFFFF"/>
      </w:tblBorders>
    </w:tblPr>
    <w:tcPr>
      <w:shd w:val="clear" w:color="auto" w:fill="F0E9E1"/>
    </w:tcPr>
    <w:tblStylePr w:type="firstRow">
      <w:rPr>
        <w:b/>
        <w:bCs/>
      </w:rPr>
      <w:tblPr/>
      <w:tcPr>
        <w:shd w:val="clear" w:color="auto" w:fill="E1D3C4"/>
      </w:tcPr>
    </w:tblStylePr>
    <w:tblStylePr w:type="lastRow">
      <w:rPr>
        <w:b/>
        <w:bCs/>
        <w:color w:val="000000"/>
      </w:rPr>
      <w:tblPr/>
      <w:tcPr>
        <w:shd w:val="clear" w:color="auto" w:fill="E1D3C4"/>
      </w:tcPr>
    </w:tblStylePr>
    <w:tblStylePr w:type="firstCol">
      <w:rPr>
        <w:color w:val="FFFFFF"/>
      </w:rPr>
      <w:tblPr/>
      <w:tcPr>
        <w:shd w:val="clear" w:color="auto" w:fill="8E6E49"/>
      </w:tcPr>
    </w:tblStylePr>
    <w:tblStylePr w:type="lastCol">
      <w:rPr>
        <w:color w:val="FFFFFF"/>
      </w:rPr>
      <w:tblPr/>
      <w:tcPr>
        <w:shd w:val="clear" w:color="auto" w:fill="8E6E49"/>
      </w:tcPr>
    </w:tblStylePr>
    <w:tblStylePr w:type="band1Vert">
      <w:tblPr/>
      <w:tcPr>
        <w:shd w:val="clear" w:color="auto" w:fill="D9C9B6"/>
      </w:tcPr>
    </w:tblStylePr>
    <w:tblStylePr w:type="band1Horz">
      <w:tblPr/>
      <w:tcPr>
        <w:shd w:val="clear" w:color="auto" w:fill="D9C9B6"/>
      </w:tcPr>
    </w:tblStylePr>
  </w:style>
  <w:style w:type="table" w:styleId="ColorfulGrid-Accent5">
    <w:name w:val="Colorful Grid Accent 5"/>
    <w:basedOn w:val="TableNormal"/>
    <w:uiPriority w:val="73"/>
    <w:rPr>
      <w:color w:val="000000"/>
    </w:rPr>
    <w:tblPr>
      <w:tblStyleRowBandSize w:val="1"/>
      <w:tblStyleColBandSize w:val="1"/>
      <w:tblBorders>
        <w:insideH w:val="single" w:sz="4" w:space="0" w:color="FFFFFF"/>
      </w:tblBorders>
    </w:tblPr>
    <w:tcPr>
      <w:shd w:val="clear" w:color="auto" w:fill="DFE4E5"/>
    </w:tcPr>
    <w:tblStylePr w:type="firstRow">
      <w:rPr>
        <w:b/>
        <w:bCs/>
      </w:rPr>
      <w:tblPr/>
      <w:tcPr>
        <w:shd w:val="clear" w:color="auto" w:fill="C1C9CB"/>
      </w:tcPr>
    </w:tblStylePr>
    <w:tblStylePr w:type="lastRow">
      <w:rPr>
        <w:b/>
        <w:bCs/>
        <w:color w:val="000000"/>
      </w:rPr>
      <w:tblPr/>
      <w:tcPr>
        <w:shd w:val="clear" w:color="auto" w:fill="C1C9CB"/>
      </w:tcPr>
    </w:tblStylePr>
    <w:tblStylePr w:type="firstCol">
      <w:rPr>
        <w:color w:val="FFFFFF"/>
      </w:rPr>
      <w:tblPr/>
      <w:tcPr>
        <w:shd w:val="clear" w:color="auto" w:fill="4D595B"/>
      </w:tcPr>
    </w:tblStylePr>
    <w:tblStylePr w:type="lastCol">
      <w:rPr>
        <w:color w:val="FFFFFF"/>
      </w:rPr>
      <w:tblPr/>
      <w:tcPr>
        <w:shd w:val="clear" w:color="auto" w:fill="4D595B"/>
      </w:tcPr>
    </w:tblStylePr>
    <w:tblStylePr w:type="band1Vert">
      <w:tblPr/>
      <w:tcPr>
        <w:shd w:val="clear" w:color="auto" w:fill="B1BCBE"/>
      </w:tcPr>
    </w:tblStylePr>
    <w:tblStylePr w:type="band1Horz">
      <w:tblPr/>
      <w:tcPr>
        <w:shd w:val="clear" w:color="auto" w:fill="B1BCBE"/>
      </w:tcPr>
    </w:tblStylePr>
  </w:style>
  <w:style w:type="table" w:styleId="ColorfulGrid-Accent6">
    <w:name w:val="Colorful Grid Accent 6"/>
    <w:basedOn w:val="TableNormal"/>
    <w:uiPriority w:val="73"/>
    <w:rPr>
      <w:color w:val="000000"/>
    </w:rPr>
    <w:tblPr>
      <w:tblStyleRowBandSize w:val="1"/>
      <w:tblStyleColBandSize w:val="1"/>
      <w:tblBorders>
        <w:insideH w:val="single" w:sz="4" w:space="0" w:color="FFFFFF"/>
      </w:tblBorders>
    </w:tblPr>
    <w:tcPr>
      <w:shd w:val="clear" w:color="auto" w:fill="EBE9E2"/>
    </w:tcPr>
    <w:tblStylePr w:type="firstRow">
      <w:rPr>
        <w:b/>
        <w:bCs/>
      </w:rPr>
      <w:tblPr/>
      <w:tcPr>
        <w:shd w:val="clear" w:color="auto" w:fill="D7D3C5"/>
      </w:tcPr>
    </w:tblStylePr>
    <w:tblStylePr w:type="lastRow">
      <w:rPr>
        <w:b/>
        <w:bCs/>
        <w:color w:val="000000"/>
      </w:rPr>
      <w:tblPr/>
      <w:tcPr>
        <w:shd w:val="clear" w:color="auto" w:fill="D7D3C5"/>
      </w:tcPr>
    </w:tblStylePr>
    <w:tblStylePr w:type="firstCol">
      <w:rPr>
        <w:color w:val="FFFFFF"/>
      </w:rPr>
      <w:tblPr/>
      <w:tcPr>
        <w:shd w:val="clear" w:color="auto" w:fill="776E51"/>
      </w:tcPr>
    </w:tblStylePr>
    <w:tblStylePr w:type="lastCol">
      <w:rPr>
        <w:color w:val="FFFFFF"/>
      </w:rPr>
      <w:tblPr/>
      <w:tcPr>
        <w:shd w:val="clear" w:color="auto" w:fill="776E51"/>
      </w:tcPr>
    </w:tblStylePr>
    <w:tblStylePr w:type="band1Vert">
      <w:tblPr/>
      <w:tcPr>
        <w:shd w:val="clear" w:color="auto" w:fill="CEC9B7"/>
      </w:tcPr>
    </w:tblStylePr>
    <w:tblStylePr w:type="band1Horz">
      <w:tblPr/>
      <w:tcPr>
        <w:shd w:val="clear" w:color="auto" w:fill="CEC9B7"/>
      </w:tcPr>
    </w:tblStylePr>
  </w:style>
  <w:style w:type="table" w:styleId="ColorfulList">
    <w:name w:val="Colorful List"/>
    <w:basedOn w:val="TableNormal"/>
    <w:uiPriority w:val="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B56E3A"/>
      </w:tcPr>
    </w:tblStylePr>
    <w:tblStylePr w:type="lastRow">
      <w:rPr>
        <w:b/>
        <w:bCs/>
        <w:color w:val="B56E3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Pr>
      <w:color w:val="000000"/>
    </w:rPr>
    <w:tblPr>
      <w:tblStyleRowBandSize w:val="1"/>
      <w:tblStyleColBandSize w:val="1"/>
    </w:tblPr>
    <w:tcPr>
      <w:shd w:val="clear" w:color="auto" w:fill="F2F4F6"/>
    </w:tcPr>
    <w:tblStylePr w:type="firstRow">
      <w:rPr>
        <w:b/>
        <w:bCs/>
        <w:color w:val="FFFFFF"/>
      </w:rPr>
      <w:tblPr/>
      <w:tcPr>
        <w:tcBorders>
          <w:bottom w:val="single" w:sz="12" w:space="0" w:color="FFFFFF"/>
        </w:tcBorders>
        <w:shd w:val="clear" w:color="auto" w:fill="B56E3A"/>
      </w:tcPr>
    </w:tblStylePr>
    <w:tblStylePr w:type="lastRow">
      <w:rPr>
        <w:b/>
        <w:bCs/>
        <w:color w:val="B56E3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5EA"/>
      </w:tcPr>
    </w:tblStylePr>
    <w:tblStylePr w:type="band1Horz">
      <w:tblPr/>
      <w:tcPr>
        <w:shd w:val="clear" w:color="auto" w:fill="E5EAEE"/>
      </w:tcPr>
    </w:tblStylePr>
  </w:style>
  <w:style w:type="table" w:styleId="ColorfulList-Accent2">
    <w:name w:val="Colorful List Accent 2"/>
    <w:basedOn w:val="TableNormal"/>
    <w:uiPriority w:val="72"/>
    <w:rPr>
      <w:color w:val="000000"/>
    </w:rPr>
    <w:tblPr>
      <w:tblStyleRowBandSize w:val="1"/>
      <w:tblStyleColBandSize w:val="1"/>
    </w:tblPr>
    <w:tcPr>
      <w:shd w:val="clear" w:color="auto" w:fill="FAF3EF"/>
    </w:tcPr>
    <w:tblStylePr w:type="firstRow">
      <w:rPr>
        <w:b/>
        <w:bCs/>
        <w:color w:val="FFFFFF"/>
      </w:rPr>
      <w:tblPr/>
      <w:tcPr>
        <w:tcBorders>
          <w:bottom w:val="single" w:sz="12" w:space="0" w:color="FFFFFF"/>
        </w:tcBorders>
        <w:shd w:val="clear" w:color="auto" w:fill="B56E3A"/>
      </w:tcPr>
    </w:tblStylePr>
    <w:tblStylePr w:type="lastRow">
      <w:rPr>
        <w:b/>
        <w:bCs/>
        <w:color w:val="B56E3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E2D7"/>
      </w:tcPr>
    </w:tblStylePr>
    <w:tblStylePr w:type="band1Horz">
      <w:tblPr/>
      <w:tcPr>
        <w:shd w:val="clear" w:color="auto" w:fill="F4E8DF"/>
      </w:tcPr>
    </w:tblStylePr>
  </w:style>
  <w:style w:type="table" w:styleId="ColorfulList-Accent3">
    <w:name w:val="Colorful List Accent 3"/>
    <w:basedOn w:val="TableNormal"/>
    <w:uiPriority w:val="72"/>
    <w:rPr>
      <w:color w:val="000000"/>
    </w:rPr>
    <w:tblPr>
      <w:tblStyleRowBandSize w:val="1"/>
      <w:tblStyleColBandSize w:val="1"/>
    </w:tblPr>
    <w:tcPr>
      <w:shd w:val="clear" w:color="auto" w:fill="F2F0EE"/>
    </w:tcPr>
    <w:tblStylePr w:type="firstRow">
      <w:rPr>
        <w:b/>
        <w:bCs/>
        <w:color w:val="FFFFFF"/>
      </w:rPr>
      <w:tblPr/>
      <w:tcPr>
        <w:tcBorders>
          <w:bottom w:val="single" w:sz="12" w:space="0" w:color="FFFFFF"/>
        </w:tcBorders>
        <w:shd w:val="clear" w:color="auto" w:fill="98754E"/>
      </w:tcPr>
    </w:tblStylePr>
    <w:tblStylePr w:type="lastRow">
      <w:rPr>
        <w:b/>
        <w:bCs/>
        <w:color w:val="98754E"/>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9D6"/>
      </w:tcPr>
    </w:tblStylePr>
    <w:tblStylePr w:type="band1Horz">
      <w:tblPr/>
      <w:tcPr>
        <w:shd w:val="clear" w:color="auto" w:fill="E5E0DE"/>
      </w:tcPr>
    </w:tblStylePr>
  </w:style>
  <w:style w:type="table" w:styleId="ColorfulList-Accent4">
    <w:name w:val="Colorful List Accent 4"/>
    <w:basedOn w:val="TableNormal"/>
    <w:uiPriority w:val="72"/>
    <w:rPr>
      <w:color w:val="000000"/>
    </w:rPr>
    <w:tblPr>
      <w:tblStyleRowBandSize w:val="1"/>
      <w:tblStyleColBandSize w:val="1"/>
    </w:tblPr>
    <w:tcPr>
      <w:shd w:val="clear" w:color="auto" w:fill="F7F4F0"/>
    </w:tcPr>
    <w:tblStylePr w:type="firstRow">
      <w:rPr>
        <w:b/>
        <w:bCs/>
        <w:color w:val="FFFFFF"/>
      </w:rPr>
      <w:tblPr/>
      <w:tcPr>
        <w:tcBorders>
          <w:bottom w:val="single" w:sz="12" w:space="0" w:color="FFFFFF"/>
        </w:tcBorders>
        <w:shd w:val="clear" w:color="auto" w:fill="61544C"/>
      </w:tcPr>
    </w:tblStylePr>
    <w:tblStylePr w:type="lastRow">
      <w:rPr>
        <w:b/>
        <w:bCs/>
        <w:color w:val="61544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4DA"/>
      </w:tcPr>
    </w:tblStylePr>
    <w:tblStylePr w:type="band1Horz">
      <w:tblPr/>
      <w:tcPr>
        <w:shd w:val="clear" w:color="auto" w:fill="F0E9E1"/>
      </w:tcPr>
    </w:tblStylePr>
  </w:style>
  <w:style w:type="table" w:styleId="ColorfulList-Accent5">
    <w:name w:val="Colorful List Accent 5"/>
    <w:basedOn w:val="TableNormal"/>
    <w:uiPriority w:val="72"/>
    <w:rPr>
      <w:color w:val="000000"/>
    </w:rPr>
    <w:tblPr>
      <w:tblStyleRowBandSize w:val="1"/>
      <w:tblStyleColBandSize w:val="1"/>
    </w:tblPr>
    <w:tcPr>
      <w:shd w:val="clear" w:color="auto" w:fill="EFF1F2"/>
    </w:tcPr>
    <w:tblStylePr w:type="firstRow">
      <w:rPr>
        <w:b/>
        <w:bCs/>
        <w:color w:val="FFFFFF"/>
      </w:rPr>
      <w:tblPr/>
      <w:tcPr>
        <w:tcBorders>
          <w:bottom w:val="single" w:sz="12" w:space="0" w:color="FFFFFF"/>
        </w:tcBorders>
        <w:shd w:val="clear" w:color="auto" w:fill="7F7657"/>
      </w:tcPr>
    </w:tblStylePr>
    <w:tblStylePr w:type="lastRow">
      <w:rPr>
        <w:b/>
        <w:bCs/>
        <w:color w:val="7F7657"/>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DEDF"/>
      </w:tcPr>
    </w:tblStylePr>
    <w:tblStylePr w:type="band1Horz">
      <w:tblPr/>
      <w:tcPr>
        <w:shd w:val="clear" w:color="auto" w:fill="DFE4E5"/>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5F4F0"/>
    </w:tcPr>
    <w:tblStylePr w:type="firstRow">
      <w:rPr>
        <w:b/>
        <w:bCs/>
        <w:color w:val="FFFFFF"/>
      </w:rPr>
      <w:tblPr/>
      <w:tcPr>
        <w:tcBorders>
          <w:bottom w:val="single" w:sz="12" w:space="0" w:color="FFFFFF"/>
        </w:tcBorders>
        <w:shd w:val="clear" w:color="auto" w:fill="525F62"/>
      </w:tcPr>
    </w:tblStylePr>
    <w:tblStylePr w:type="lastRow">
      <w:rPr>
        <w:b/>
        <w:bCs/>
        <w:color w:val="525F6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4DB"/>
      </w:tcPr>
    </w:tblStylePr>
    <w:tblStylePr w:type="band1Horz">
      <w:tblPr/>
      <w:tcPr>
        <w:shd w:val="clear" w:color="auto" w:fill="EBE9E2"/>
      </w:tcPr>
    </w:tblStylePr>
  </w:style>
  <w:style w:type="table" w:styleId="ColorfulShading">
    <w:name w:val="Colorful Shading"/>
    <w:basedOn w:val="TableNormal"/>
    <w:uiPriority w:val="71"/>
    <w:rPr>
      <w:color w:val="000000"/>
    </w:rPr>
    <w:tblPr>
      <w:tblStyleRowBandSize w:val="1"/>
      <w:tblStyleColBandSize w:val="1"/>
      <w:tblBorders>
        <w:top w:val="single" w:sz="24" w:space="0" w:color="CC8E60"/>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C8E6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StyleRowBandSize w:val="1"/>
      <w:tblStyleColBandSize w:val="1"/>
      <w:tblBorders>
        <w:top w:val="single" w:sz="24" w:space="0" w:color="CC8E60"/>
        <w:left w:val="single" w:sz="4" w:space="0" w:color="7E97AD"/>
        <w:bottom w:val="single" w:sz="4" w:space="0" w:color="7E97AD"/>
        <w:right w:val="single" w:sz="4" w:space="0" w:color="7E97AD"/>
        <w:insideH w:val="single" w:sz="4" w:space="0" w:color="FFFFFF"/>
        <w:insideV w:val="single" w:sz="4" w:space="0" w:color="FFFFFF"/>
      </w:tblBorders>
    </w:tblPr>
    <w:tcPr>
      <w:shd w:val="clear" w:color="auto" w:fill="F2F4F6"/>
    </w:tcPr>
    <w:tblStylePr w:type="firstRow">
      <w:rPr>
        <w:b/>
        <w:bCs/>
      </w:rPr>
      <w:tblPr/>
      <w:tcPr>
        <w:tcBorders>
          <w:top w:val="nil"/>
          <w:left w:val="nil"/>
          <w:bottom w:val="single" w:sz="24" w:space="0" w:color="CC8E6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55A6D"/>
      </w:tcPr>
    </w:tblStylePr>
    <w:tblStylePr w:type="firstCol">
      <w:rPr>
        <w:color w:val="FFFFFF"/>
      </w:rPr>
      <w:tblPr/>
      <w:tcPr>
        <w:tcBorders>
          <w:top w:val="nil"/>
          <w:left w:val="nil"/>
          <w:bottom w:val="nil"/>
          <w:right w:val="nil"/>
          <w:insideH w:val="single" w:sz="4" w:space="0" w:color="455A6D"/>
          <w:insideV w:val="nil"/>
        </w:tcBorders>
        <w:shd w:val="clear" w:color="auto" w:fill="455A6D"/>
      </w:tcPr>
    </w:tblStylePr>
    <w:tblStylePr w:type="lastCol">
      <w:rPr>
        <w:color w:val="FFFFFF"/>
      </w:rPr>
      <w:tblPr/>
      <w:tcPr>
        <w:tcBorders>
          <w:top w:val="nil"/>
          <w:left w:val="nil"/>
          <w:bottom w:val="nil"/>
          <w:right w:val="nil"/>
          <w:insideH w:val="nil"/>
          <w:insideV w:val="nil"/>
        </w:tcBorders>
        <w:shd w:val="clear" w:color="auto" w:fill="455A6D"/>
      </w:tcPr>
    </w:tblStylePr>
    <w:tblStylePr w:type="band1Vert">
      <w:tblPr/>
      <w:tcPr>
        <w:shd w:val="clear" w:color="auto" w:fill="CBD5DE"/>
      </w:tcPr>
    </w:tblStylePr>
    <w:tblStylePr w:type="band1Horz">
      <w:tblPr/>
      <w:tcPr>
        <w:shd w:val="clear" w:color="auto" w:fill="BECBD6"/>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StyleRowBandSize w:val="1"/>
      <w:tblStyleColBandSize w:val="1"/>
      <w:tblBorders>
        <w:top w:val="single" w:sz="24" w:space="0" w:color="CC8E60"/>
        <w:left w:val="single" w:sz="4" w:space="0" w:color="CC8E60"/>
        <w:bottom w:val="single" w:sz="4" w:space="0" w:color="CC8E60"/>
        <w:right w:val="single" w:sz="4" w:space="0" w:color="CC8E60"/>
        <w:insideH w:val="single" w:sz="4" w:space="0" w:color="FFFFFF"/>
        <w:insideV w:val="single" w:sz="4" w:space="0" w:color="FFFFFF"/>
      </w:tblBorders>
    </w:tblPr>
    <w:tcPr>
      <w:shd w:val="clear" w:color="auto" w:fill="FAF3EF"/>
    </w:tcPr>
    <w:tblStylePr w:type="firstRow">
      <w:rPr>
        <w:b/>
        <w:bCs/>
      </w:rPr>
      <w:tblPr/>
      <w:tcPr>
        <w:tcBorders>
          <w:top w:val="nil"/>
          <w:left w:val="nil"/>
          <w:bottom w:val="single" w:sz="24" w:space="0" w:color="CC8E6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8522B"/>
      </w:tcPr>
    </w:tblStylePr>
    <w:tblStylePr w:type="firstCol">
      <w:rPr>
        <w:color w:val="FFFFFF"/>
      </w:rPr>
      <w:tblPr/>
      <w:tcPr>
        <w:tcBorders>
          <w:top w:val="nil"/>
          <w:left w:val="nil"/>
          <w:bottom w:val="nil"/>
          <w:right w:val="nil"/>
          <w:insideH w:val="single" w:sz="4" w:space="0" w:color="88522B"/>
          <w:insideV w:val="nil"/>
        </w:tcBorders>
        <w:shd w:val="clear" w:color="auto" w:fill="88522B"/>
      </w:tcPr>
    </w:tblStylePr>
    <w:tblStylePr w:type="lastCol">
      <w:rPr>
        <w:color w:val="FFFFFF"/>
      </w:rPr>
      <w:tblPr/>
      <w:tcPr>
        <w:tcBorders>
          <w:top w:val="nil"/>
          <w:left w:val="nil"/>
          <w:bottom w:val="nil"/>
          <w:right w:val="nil"/>
          <w:insideH w:val="nil"/>
          <w:insideV w:val="nil"/>
        </w:tcBorders>
        <w:shd w:val="clear" w:color="auto" w:fill="88522B"/>
      </w:tcPr>
    </w:tblStylePr>
    <w:tblStylePr w:type="band1Vert">
      <w:tblPr/>
      <w:tcPr>
        <w:shd w:val="clear" w:color="auto" w:fill="EAD1BF"/>
      </w:tcPr>
    </w:tblStylePr>
    <w:tblStylePr w:type="band1Horz">
      <w:tblPr/>
      <w:tcPr>
        <w:shd w:val="clear" w:color="auto" w:fill="E5C6AF"/>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StyleRowBandSize w:val="1"/>
      <w:tblStyleColBandSize w:val="1"/>
      <w:tblBorders>
        <w:top w:val="single" w:sz="24" w:space="0" w:color="B4936D"/>
        <w:left w:val="single" w:sz="4" w:space="0" w:color="7A6A60"/>
        <w:bottom w:val="single" w:sz="4" w:space="0" w:color="7A6A60"/>
        <w:right w:val="single" w:sz="4" w:space="0" w:color="7A6A60"/>
        <w:insideH w:val="single" w:sz="4" w:space="0" w:color="FFFFFF"/>
        <w:insideV w:val="single" w:sz="4" w:space="0" w:color="FFFFFF"/>
      </w:tblBorders>
    </w:tblPr>
    <w:tcPr>
      <w:shd w:val="clear" w:color="auto" w:fill="F2F0EE"/>
    </w:tcPr>
    <w:tblStylePr w:type="firstRow">
      <w:rPr>
        <w:b/>
        <w:bCs/>
      </w:rPr>
      <w:tblPr/>
      <w:tcPr>
        <w:tcBorders>
          <w:top w:val="nil"/>
          <w:left w:val="nil"/>
          <w:bottom w:val="single" w:sz="24" w:space="0" w:color="B4936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93F39"/>
      </w:tcPr>
    </w:tblStylePr>
    <w:tblStylePr w:type="firstCol">
      <w:rPr>
        <w:color w:val="FFFFFF"/>
      </w:rPr>
      <w:tblPr/>
      <w:tcPr>
        <w:tcBorders>
          <w:top w:val="nil"/>
          <w:left w:val="nil"/>
          <w:bottom w:val="nil"/>
          <w:right w:val="nil"/>
          <w:insideH w:val="single" w:sz="4" w:space="0" w:color="493F39"/>
          <w:insideV w:val="nil"/>
        </w:tcBorders>
        <w:shd w:val="clear" w:color="auto" w:fill="493F39"/>
      </w:tcPr>
    </w:tblStylePr>
    <w:tblStylePr w:type="lastCol">
      <w:rPr>
        <w:color w:val="FFFFFF"/>
      </w:rPr>
      <w:tblPr/>
      <w:tcPr>
        <w:tcBorders>
          <w:top w:val="nil"/>
          <w:left w:val="nil"/>
          <w:bottom w:val="nil"/>
          <w:right w:val="nil"/>
          <w:insideH w:val="nil"/>
          <w:insideV w:val="nil"/>
        </w:tcBorders>
        <w:shd w:val="clear" w:color="auto" w:fill="493F39"/>
      </w:tcPr>
    </w:tblStylePr>
    <w:tblStylePr w:type="band1Vert">
      <w:tblPr/>
      <w:tcPr>
        <w:shd w:val="clear" w:color="auto" w:fill="CBC2BD"/>
      </w:tcPr>
    </w:tblStylePr>
    <w:tblStylePr w:type="band1Horz">
      <w:tblPr/>
      <w:tcPr>
        <w:shd w:val="clear" w:color="auto" w:fill="BEB4AD"/>
      </w:tcPr>
    </w:tblStylePr>
  </w:style>
  <w:style w:type="table" w:styleId="ColorfulShading-Accent4">
    <w:name w:val="Colorful Shading Accent 4"/>
    <w:basedOn w:val="TableNormal"/>
    <w:uiPriority w:val="71"/>
    <w:rPr>
      <w:color w:val="000000"/>
    </w:rPr>
    <w:tblPr>
      <w:tblStyleRowBandSize w:val="1"/>
      <w:tblStyleColBandSize w:val="1"/>
      <w:tblBorders>
        <w:top w:val="single" w:sz="24" w:space="0" w:color="7A6A60"/>
        <w:left w:val="single" w:sz="4" w:space="0" w:color="B4936D"/>
        <w:bottom w:val="single" w:sz="4" w:space="0" w:color="B4936D"/>
        <w:right w:val="single" w:sz="4" w:space="0" w:color="B4936D"/>
        <w:insideH w:val="single" w:sz="4" w:space="0" w:color="FFFFFF"/>
        <w:insideV w:val="single" w:sz="4" w:space="0" w:color="FFFFFF"/>
      </w:tblBorders>
    </w:tblPr>
    <w:tcPr>
      <w:shd w:val="clear" w:color="auto" w:fill="F7F4F0"/>
    </w:tcPr>
    <w:tblStylePr w:type="firstRow">
      <w:rPr>
        <w:b/>
        <w:bCs/>
      </w:rPr>
      <w:tblPr/>
      <w:tcPr>
        <w:tcBorders>
          <w:top w:val="nil"/>
          <w:left w:val="nil"/>
          <w:bottom w:val="single" w:sz="24" w:space="0" w:color="7A6A6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2583B"/>
      </w:tcPr>
    </w:tblStylePr>
    <w:tblStylePr w:type="firstCol">
      <w:rPr>
        <w:color w:val="FFFFFF"/>
      </w:rPr>
      <w:tblPr/>
      <w:tcPr>
        <w:tcBorders>
          <w:top w:val="nil"/>
          <w:left w:val="nil"/>
          <w:bottom w:val="nil"/>
          <w:right w:val="nil"/>
          <w:insideH w:val="single" w:sz="4" w:space="0" w:color="72583B"/>
          <w:insideV w:val="nil"/>
        </w:tcBorders>
        <w:shd w:val="clear" w:color="auto" w:fill="72583B"/>
      </w:tcPr>
    </w:tblStylePr>
    <w:tblStylePr w:type="lastCol">
      <w:rPr>
        <w:color w:val="FFFFFF"/>
      </w:rPr>
      <w:tblPr/>
      <w:tcPr>
        <w:tcBorders>
          <w:top w:val="nil"/>
          <w:left w:val="nil"/>
          <w:bottom w:val="nil"/>
          <w:right w:val="nil"/>
          <w:insideH w:val="nil"/>
          <w:insideV w:val="nil"/>
        </w:tcBorders>
        <w:shd w:val="clear" w:color="auto" w:fill="72583B"/>
      </w:tcPr>
    </w:tblStylePr>
    <w:tblStylePr w:type="band1Vert">
      <w:tblPr/>
      <w:tcPr>
        <w:shd w:val="clear" w:color="auto" w:fill="E1D3C4"/>
      </w:tcPr>
    </w:tblStylePr>
    <w:tblStylePr w:type="band1Horz">
      <w:tblPr/>
      <w:tcPr>
        <w:shd w:val="clear" w:color="auto" w:fill="D9C9B6"/>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StyleRowBandSize w:val="1"/>
      <w:tblStyleColBandSize w:val="1"/>
      <w:tblBorders>
        <w:top w:val="single" w:sz="24" w:space="0" w:color="9D936F"/>
        <w:left w:val="single" w:sz="4" w:space="0" w:color="67787B"/>
        <w:bottom w:val="single" w:sz="4" w:space="0" w:color="67787B"/>
        <w:right w:val="single" w:sz="4" w:space="0" w:color="67787B"/>
        <w:insideH w:val="single" w:sz="4" w:space="0" w:color="FFFFFF"/>
        <w:insideV w:val="single" w:sz="4" w:space="0" w:color="FFFFFF"/>
      </w:tblBorders>
    </w:tblPr>
    <w:tcPr>
      <w:shd w:val="clear" w:color="auto" w:fill="EFF1F2"/>
    </w:tcPr>
    <w:tblStylePr w:type="firstRow">
      <w:rPr>
        <w:b/>
        <w:bCs/>
      </w:rPr>
      <w:tblPr/>
      <w:tcPr>
        <w:tcBorders>
          <w:top w:val="nil"/>
          <w:left w:val="nil"/>
          <w:bottom w:val="single" w:sz="24" w:space="0" w:color="9D936F"/>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D4749"/>
      </w:tcPr>
    </w:tblStylePr>
    <w:tblStylePr w:type="firstCol">
      <w:rPr>
        <w:color w:val="FFFFFF"/>
      </w:rPr>
      <w:tblPr/>
      <w:tcPr>
        <w:tcBorders>
          <w:top w:val="nil"/>
          <w:left w:val="nil"/>
          <w:bottom w:val="nil"/>
          <w:right w:val="nil"/>
          <w:insideH w:val="single" w:sz="4" w:space="0" w:color="3D4749"/>
          <w:insideV w:val="nil"/>
        </w:tcBorders>
        <w:shd w:val="clear" w:color="auto" w:fill="3D4749"/>
      </w:tcPr>
    </w:tblStylePr>
    <w:tblStylePr w:type="lastCol">
      <w:rPr>
        <w:color w:val="FFFFFF"/>
      </w:rPr>
      <w:tblPr/>
      <w:tcPr>
        <w:tcBorders>
          <w:top w:val="nil"/>
          <w:left w:val="nil"/>
          <w:bottom w:val="nil"/>
          <w:right w:val="nil"/>
          <w:insideH w:val="nil"/>
          <w:insideV w:val="nil"/>
        </w:tcBorders>
        <w:shd w:val="clear" w:color="auto" w:fill="3D4749"/>
      </w:tcPr>
    </w:tblStylePr>
    <w:tblStylePr w:type="band1Vert">
      <w:tblPr/>
      <w:tcPr>
        <w:shd w:val="clear" w:color="auto" w:fill="C1C9CB"/>
      </w:tcPr>
    </w:tblStylePr>
    <w:tblStylePr w:type="band1Horz">
      <w:tblPr/>
      <w:tcPr>
        <w:shd w:val="clear" w:color="auto" w:fill="B1BCBE"/>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StyleRowBandSize w:val="1"/>
      <w:tblStyleColBandSize w:val="1"/>
      <w:tblBorders>
        <w:top w:val="single" w:sz="24" w:space="0" w:color="67787B"/>
        <w:left w:val="single" w:sz="4" w:space="0" w:color="9D936F"/>
        <w:bottom w:val="single" w:sz="4" w:space="0" w:color="9D936F"/>
        <w:right w:val="single" w:sz="4" w:space="0" w:color="9D936F"/>
        <w:insideH w:val="single" w:sz="4" w:space="0" w:color="FFFFFF"/>
        <w:insideV w:val="single" w:sz="4" w:space="0" w:color="FFFFFF"/>
      </w:tblBorders>
    </w:tblPr>
    <w:tcPr>
      <w:shd w:val="clear" w:color="auto" w:fill="F5F4F0"/>
    </w:tcPr>
    <w:tblStylePr w:type="firstRow">
      <w:rPr>
        <w:b/>
        <w:bCs/>
      </w:rPr>
      <w:tblPr/>
      <w:tcPr>
        <w:tcBorders>
          <w:top w:val="nil"/>
          <w:left w:val="nil"/>
          <w:bottom w:val="single" w:sz="24" w:space="0" w:color="67787B"/>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F5841"/>
      </w:tcPr>
    </w:tblStylePr>
    <w:tblStylePr w:type="firstCol">
      <w:rPr>
        <w:color w:val="FFFFFF"/>
      </w:rPr>
      <w:tblPr/>
      <w:tcPr>
        <w:tcBorders>
          <w:top w:val="nil"/>
          <w:left w:val="nil"/>
          <w:bottom w:val="nil"/>
          <w:right w:val="nil"/>
          <w:insideH w:val="single" w:sz="4" w:space="0" w:color="5F5841"/>
          <w:insideV w:val="nil"/>
        </w:tcBorders>
        <w:shd w:val="clear" w:color="auto" w:fill="5F5841"/>
      </w:tcPr>
    </w:tblStylePr>
    <w:tblStylePr w:type="lastCol">
      <w:rPr>
        <w:color w:val="FFFFFF"/>
      </w:rPr>
      <w:tblPr/>
      <w:tcPr>
        <w:tcBorders>
          <w:top w:val="nil"/>
          <w:left w:val="nil"/>
          <w:bottom w:val="nil"/>
          <w:right w:val="nil"/>
          <w:insideH w:val="nil"/>
          <w:insideV w:val="nil"/>
        </w:tcBorders>
        <w:shd w:val="clear" w:color="auto" w:fill="5F5841"/>
      </w:tcPr>
    </w:tblStylePr>
    <w:tblStylePr w:type="band1Vert">
      <w:tblPr/>
      <w:tcPr>
        <w:shd w:val="clear" w:color="auto" w:fill="D7D3C5"/>
      </w:tcPr>
    </w:tblStylePr>
    <w:tblStylePr w:type="band1Horz">
      <w:tblPr/>
      <w:tcPr>
        <w:shd w:val="clear" w:color="auto" w:fill="CEC9B7"/>
      </w:tcPr>
    </w:tblStylePr>
    <w:tblStylePr w:type="neCell">
      <w:rPr>
        <w:color w:val="000000"/>
      </w:rPr>
    </w:tblStylePr>
    <w:tblStylePr w:type="nwCell">
      <w:rPr>
        <w:color w:val="000000"/>
      </w:rPr>
    </w:tblStylePr>
  </w:style>
  <w:style w:type="character" w:styleId="CommentReference">
    <w:name w:val="annotation reference"/>
    <w:unhideWhenUsed/>
    <w:rsid w:val="0077455C"/>
    <w:rPr>
      <w:sz w:val="16"/>
    </w:rPr>
  </w:style>
  <w:style w:type="paragraph" w:styleId="CommentText">
    <w:name w:val="annotation text"/>
    <w:basedOn w:val="Normal"/>
    <w:link w:val="CommentTextChar"/>
    <w:unhideWhenUsed/>
    <w:rsid w:val="0077455C"/>
    <w:pPr>
      <w:spacing w:line="240" w:lineRule="auto"/>
    </w:pPr>
  </w:style>
  <w:style w:type="character" w:customStyle="1" w:styleId="CommentTextChar">
    <w:name w:val="Comment Text Char"/>
    <w:basedOn w:val="DefaultParagraphFont"/>
    <w:link w:val="CommentText"/>
    <w:uiPriority w:val="99"/>
    <w:rsid w:val="0077455C"/>
    <w:rPr>
      <w:rFonts w:ascii="Aptos Light" w:hAnsi="Aptos Light"/>
      <w:color w:val="262626" w:themeColor="text1" w:themeTint="D9"/>
      <w:kern w:val="20"/>
      <w:sz w:val="22"/>
      <w:lang w:val="en-US" w:eastAsia="ja-JP"/>
    </w:rPr>
  </w:style>
  <w:style w:type="paragraph" w:styleId="CommentSubject">
    <w:name w:val="annotation subject"/>
    <w:basedOn w:val="CommentText"/>
    <w:next w:val="CommentText"/>
    <w:link w:val="CommentSubjectChar"/>
    <w:uiPriority w:val="99"/>
    <w:semiHidden/>
    <w:unhideWhenUsed/>
    <w:rsid w:val="0077455C"/>
    <w:rPr>
      <w:b/>
      <w:bCs/>
    </w:rPr>
  </w:style>
  <w:style w:type="character" w:customStyle="1" w:styleId="CommentSubjectChar">
    <w:name w:val="Comment Subject Char"/>
    <w:basedOn w:val="CommentTextChar"/>
    <w:link w:val="CommentSubject"/>
    <w:uiPriority w:val="99"/>
    <w:semiHidden/>
    <w:rsid w:val="0077455C"/>
    <w:rPr>
      <w:rFonts w:ascii="Aptos Light" w:hAnsi="Aptos Light"/>
      <w:b/>
      <w:bCs/>
      <w:color w:val="262626" w:themeColor="text1" w:themeTint="D9"/>
      <w:kern w:val="20"/>
      <w:sz w:val="22"/>
      <w:lang w:val="en-US" w:eastAsia="ja-JP"/>
    </w:rPr>
  </w:style>
  <w:style w:type="table" w:styleId="DarkList">
    <w:name w:val="Dark List"/>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Pr>
    <w:tcPr>
      <w:shd w:val="clear" w:color="auto" w:fill="7E97A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94B5A"/>
      </w:tcPr>
    </w:tblStylePr>
    <w:tblStylePr w:type="firstCol">
      <w:tblPr/>
      <w:tcPr>
        <w:tcBorders>
          <w:top w:val="nil"/>
          <w:left w:val="nil"/>
          <w:bottom w:val="nil"/>
          <w:right w:val="single" w:sz="18" w:space="0" w:color="FFFFFF"/>
          <w:insideH w:val="nil"/>
          <w:insideV w:val="nil"/>
        </w:tcBorders>
        <w:shd w:val="clear" w:color="auto" w:fill="577188"/>
      </w:tcPr>
    </w:tblStylePr>
    <w:tblStylePr w:type="lastCol">
      <w:tblPr/>
      <w:tcPr>
        <w:tcBorders>
          <w:top w:val="nil"/>
          <w:left w:val="single" w:sz="18" w:space="0" w:color="FFFFFF"/>
          <w:bottom w:val="nil"/>
          <w:right w:val="nil"/>
          <w:insideH w:val="nil"/>
          <w:insideV w:val="nil"/>
        </w:tcBorders>
        <w:shd w:val="clear" w:color="auto" w:fill="577188"/>
      </w:tcPr>
    </w:tblStylePr>
    <w:tblStylePr w:type="band1Vert">
      <w:tblPr/>
      <w:tcPr>
        <w:tcBorders>
          <w:top w:val="nil"/>
          <w:left w:val="nil"/>
          <w:bottom w:val="nil"/>
          <w:right w:val="nil"/>
          <w:insideH w:val="nil"/>
          <w:insideV w:val="nil"/>
        </w:tcBorders>
        <w:shd w:val="clear" w:color="auto" w:fill="577188"/>
      </w:tcPr>
    </w:tblStylePr>
    <w:tblStylePr w:type="band1Horz">
      <w:tblPr/>
      <w:tcPr>
        <w:tcBorders>
          <w:top w:val="nil"/>
          <w:left w:val="nil"/>
          <w:bottom w:val="nil"/>
          <w:right w:val="nil"/>
          <w:insideH w:val="nil"/>
          <w:insideV w:val="nil"/>
        </w:tcBorders>
        <w:shd w:val="clear" w:color="auto" w:fill="577188"/>
      </w:tcPr>
    </w:tblStylePr>
  </w:style>
  <w:style w:type="table" w:styleId="DarkList-Accent2">
    <w:name w:val="Dark List Accent 2"/>
    <w:basedOn w:val="TableNormal"/>
    <w:uiPriority w:val="70"/>
    <w:rPr>
      <w:color w:val="FFFFFF"/>
    </w:rPr>
    <w:tblPr>
      <w:tblStyleRowBandSize w:val="1"/>
      <w:tblStyleColBandSize w:val="1"/>
    </w:tblPr>
    <w:tcPr>
      <w:shd w:val="clear" w:color="auto" w:fill="CC8E6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14424"/>
      </w:tcPr>
    </w:tblStylePr>
    <w:tblStylePr w:type="firstCol">
      <w:tblPr/>
      <w:tcPr>
        <w:tcBorders>
          <w:top w:val="nil"/>
          <w:left w:val="nil"/>
          <w:bottom w:val="nil"/>
          <w:right w:val="single" w:sz="18" w:space="0" w:color="FFFFFF"/>
          <w:insideH w:val="nil"/>
          <w:insideV w:val="nil"/>
        </w:tcBorders>
        <w:shd w:val="clear" w:color="auto" w:fill="AA6736"/>
      </w:tcPr>
    </w:tblStylePr>
    <w:tblStylePr w:type="lastCol">
      <w:tblPr/>
      <w:tcPr>
        <w:tcBorders>
          <w:top w:val="nil"/>
          <w:left w:val="single" w:sz="18" w:space="0" w:color="FFFFFF"/>
          <w:bottom w:val="nil"/>
          <w:right w:val="nil"/>
          <w:insideH w:val="nil"/>
          <w:insideV w:val="nil"/>
        </w:tcBorders>
        <w:shd w:val="clear" w:color="auto" w:fill="AA6736"/>
      </w:tcPr>
    </w:tblStylePr>
    <w:tblStylePr w:type="band1Vert">
      <w:tblPr/>
      <w:tcPr>
        <w:tcBorders>
          <w:top w:val="nil"/>
          <w:left w:val="nil"/>
          <w:bottom w:val="nil"/>
          <w:right w:val="nil"/>
          <w:insideH w:val="nil"/>
          <w:insideV w:val="nil"/>
        </w:tcBorders>
        <w:shd w:val="clear" w:color="auto" w:fill="AA6736"/>
      </w:tcPr>
    </w:tblStylePr>
    <w:tblStylePr w:type="band1Horz">
      <w:tblPr/>
      <w:tcPr>
        <w:tcBorders>
          <w:top w:val="nil"/>
          <w:left w:val="nil"/>
          <w:bottom w:val="nil"/>
          <w:right w:val="nil"/>
          <w:insideH w:val="nil"/>
          <w:insideV w:val="nil"/>
        </w:tcBorders>
        <w:shd w:val="clear" w:color="auto" w:fill="AA6736"/>
      </w:tcPr>
    </w:tblStylePr>
  </w:style>
  <w:style w:type="table" w:styleId="DarkList-Accent3">
    <w:name w:val="Dark List Accent 3"/>
    <w:basedOn w:val="TableNormal"/>
    <w:uiPriority w:val="70"/>
    <w:rPr>
      <w:color w:val="FFFFFF"/>
    </w:rPr>
    <w:tblPr>
      <w:tblStyleRowBandSize w:val="1"/>
      <w:tblStyleColBandSize w:val="1"/>
    </w:tblPr>
    <w:tcPr>
      <w:shd w:val="clear" w:color="auto" w:fill="7A6A6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C342F"/>
      </w:tcPr>
    </w:tblStylePr>
    <w:tblStylePr w:type="firstCol">
      <w:tblPr/>
      <w:tcPr>
        <w:tcBorders>
          <w:top w:val="nil"/>
          <w:left w:val="nil"/>
          <w:bottom w:val="nil"/>
          <w:right w:val="single" w:sz="18" w:space="0" w:color="FFFFFF"/>
          <w:insideH w:val="nil"/>
          <w:insideV w:val="nil"/>
        </w:tcBorders>
        <w:shd w:val="clear" w:color="auto" w:fill="5B4F47"/>
      </w:tcPr>
    </w:tblStylePr>
    <w:tblStylePr w:type="lastCol">
      <w:tblPr/>
      <w:tcPr>
        <w:tcBorders>
          <w:top w:val="nil"/>
          <w:left w:val="single" w:sz="18" w:space="0" w:color="FFFFFF"/>
          <w:bottom w:val="nil"/>
          <w:right w:val="nil"/>
          <w:insideH w:val="nil"/>
          <w:insideV w:val="nil"/>
        </w:tcBorders>
        <w:shd w:val="clear" w:color="auto" w:fill="5B4F47"/>
      </w:tcPr>
    </w:tblStylePr>
    <w:tblStylePr w:type="band1Vert">
      <w:tblPr/>
      <w:tcPr>
        <w:tcBorders>
          <w:top w:val="nil"/>
          <w:left w:val="nil"/>
          <w:bottom w:val="nil"/>
          <w:right w:val="nil"/>
          <w:insideH w:val="nil"/>
          <w:insideV w:val="nil"/>
        </w:tcBorders>
        <w:shd w:val="clear" w:color="auto" w:fill="5B4F47"/>
      </w:tcPr>
    </w:tblStylePr>
    <w:tblStylePr w:type="band1Horz">
      <w:tblPr/>
      <w:tcPr>
        <w:tcBorders>
          <w:top w:val="nil"/>
          <w:left w:val="nil"/>
          <w:bottom w:val="nil"/>
          <w:right w:val="nil"/>
          <w:insideH w:val="nil"/>
          <w:insideV w:val="nil"/>
        </w:tcBorders>
        <w:shd w:val="clear" w:color="auto" w:fill="5B4F47"/>
      </w:tcPr>
    </w:tblStylePr>
  </w:style>
  <w:style w:type="table" w:styleId="DarkList-Accent4">
    <w:name w:val="Dark List Accent 4"/>
    <w:basedOn w:val="TableNormal"/>
    <w:uiPriority w:val="70"/>
    <w:rPr>
      <w:color w:val="FFFFFF"/>
    </w:rPr>
    <w:tblPr>
      <w:tblStyleRowBandSize w:val="1"/>
      <w:tblStyleColBandSize w:val="1"/>
    </w:tblPr>
    <w:tcPr>
      <w:shd w:val="clear" w:color="auto" w:fill="B4936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E4930"/>
      </w:tcPr>
    </w:tblStylePr>
    <w:tblStylePr w:type="firstCol">
      <w:tblPr/>
      <w:tcPr>
        <w:tcBorders>
          <w:top w:val="nil"/>
          <w:left w:val="nil"/>
          <w:bottom w:val="nil"/>
          <w:right w:val="single" w:sz="18" w:space="0" w:color="FFFFFF"/>
          <w:insideH w:val="nil"/>
          <w:insideV w:val="nil"/>
        </w:tcBorders>
        <w:shd w:val="clear" w:color="auto" w:fill="8E6E49"/>
      </w:tcPr>
    </w:tblStylePr>
    <w:tblStylePr w:type="lastCol">
      <w:tblPr/>
      <w:tcPr>
        <w:tcBorders>
          <w:top w:val="nil"/>
          <w:left w:val="single" w:sz="18" w:space="0" w:color="FFFFFF"/>
          <w:bottom w:val="nil"/>
          <w:right w:val="nil"/>
          <w:insideH w:val="nil"/>
          <w:insideV w:val="nil"/>
        </w:tcBorders>
        <w:shd w:val="clear" w:color="auto" w:fill="8E6E49"/>
      </w:tcPr>
    </w:tblStylePr>
    <w:tblStylePr w:type="band1Vert">
      <w:tblPr/>
      <w:tcPr>
        <w:tcBorders>
          <w:top w:val="nil"/>
          <w:left w:val="nil"/>
          <w:bottom w:val="nil"/>
          <w:right w:val="nil"/>
          <w:insideH w:val="nil"/>
          <w:insideV w:val="nil"/>
        </w:tcBorders>
        <w:shd w:val="clear" w:color="auto" w:fill="8E6E49"/>
      </w:tcPr>
    </w:tblStylePr>
    <w:tblStylePr w:type="band1Horz">
      <w:tblPr/>
      <w:tcPr>
        <w:tcBorders>
          <w:top w:val="nil"/>
          <w:left w:val="nil"/>
          <w:bottom w:val="nil"/>
          <w:right w:val="nil"/>
          <w:insideH w:val="nil"/>
          <w:insideV w:val="nil"/>
        </w:tcBorders>
        <w:shd w:val="clear" w:color="auto" w:fill="8E6E49"/>
      </w:tcPr>
    </w:tblStylePr>
  </w:style>
  <w:style w:type="table" w:styleId="DarkList-Accent5">
    <w:name w:val="Dark List Accent 5"/>
    <w:basedOn w:val="TableNormal"/>
    <w:uiPriority w:val="70"/>
    <w:rPr>
      <w:color w:val="FFFFFF"/>
    </w:rPr>
    <w:tblPr>
      <w:tblStyleRowBandSize w:val="1"/>
      <w:tblStyleColBandSize w:val="1"/>
    </w:tblPr>
    <w:tcPr>
      <w:shd w:val="clear" w:color="auto" w:fill="67787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33B3D"/>
      </w:tcPr>
    </w:tblStylePr>
    <w:tblStylePr w:type="firstCol">
      <w:tblPr/>
      <w:tcPr>
        <w:tcBorders>
          <w:top w:val="nil"/>
          <w:left w:val="nil"/>
          <w:bottom w:val="nil"/>
          <w:right w:val="single" w:sz="18" w:space="0" w:color="FFFFFF"/>
          <w:insideH w:val="nil"/>
          <w:insideV w:val="nil"/>
        </w:tcBorders>
        <w:shd w:val="clear" w:color="auto" w:fill="4D595B"/>
      </w:tcPr>
    </w:tblStylePr>
    <w:tblStylePr w:type="lastCol">
      <w:tblPr/>
      <w:tcPr>
        <w:tcBorders>
          <w:top w:val="nil"/>
          <w:left w:val="single" w:sz="18" w:space="0" w:color="FFFFFF"/>
          <w:bottom w:val="nil"/>
          <w:right w:val="nil"/>
          <w:insideH w:val="nil"/>
          <w:insideV w:val="nil"/>
        </w:tcBorders>
        <w:shd w:val="clear" w:color="auto" w:fill="4D595B"/>
      </w:tcPr>
    </w:tblStylePr>
    <w:tblStylePr w:type="band1Vert">
      <w:tblPr/>
      <w:tcPr>
        <w:tcBorders>
          <w:top w:val="nil"/>
          <w:left w:val="nil"/>
          <w:bottom w:val="nil"/>
          <w:right w:val="nil"/>
          <w:insideH w:val="nil"/>
          <w:insideV w:val="nil"/>
        </w:tcBorders>
        <w:shd w:val="clear" w:color="auto" w:fill="4D595B"/>
      </w:tcPr>
    </w:tblStylePr>
    <w:tblStylePr w:type="band1Horz">
      <w:tblPr/>
      <w:tcPr>
        <w:tcBorders>
          <w:top w:val="nil"/>
          <w:left w:val="nil"/>
          <w:bottom w:val="nil"/>
          <w:right w:val="nil"/>
          <w:insideH w:val="nil"/>
          <w:insideV w:val="nil"/>
        </w:tcBorders>
        <w:shd w:val="clear" w:color="auto" w:fill="4D595B"/>
      </w:tcPr>
    </w:tblStylePr>
  </w:style>
  <w:style w:type="table" w:styleId="DarkList-Accent6">
    <w:name w:val="Dark List Accent 6"/>
    <w:basedOn w:val="TableNormal"/>
    <w:uiPriority w:val="70"/>
    <w:rPr>
      <w:color w:val="FFFFFF"/>
    </w:rPr>
    <w:tblPr>
      <w:tblStyleRowBandSize w:val="1"/>
      <w:tblStyleColBandSize w:val="1"/>
    </w:tblPr>
    <w:tcPr>
      <w:shd w:val="clear" w:color="auto" w:fill="9D936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F4936"/>
      </w:tcPr>
    </w:tblStylePr>
    <w:tblStylePr w:type="firstCol">
      <w:tblPr/>
      <w:tcPr>
        <w:tcBorders>
          <w:top w:val="nil"/>
          <w:left w:val="nil"/>
          <w:bottom w:val="nil"/>
          <w:right w:val="single" w:sz="18" w:space="0" w:color="FFFFFF"/>
          <w:insideH w:val="nil"/>
          <w:insideV w:val="nil"/>
        </w:tcBorders>
        <w:shd w:val="clear" w:color="auto" w:fill="776E51"/>
      </w:tcPr>
    </w:tblStylePr>
    <w:tblStylePr w:type="lastCol">
      <w:tblPr/>
      <w:tcPr>
        <w:tcBorders>
          <w:top w:val="nil"/>
          <w:left w:val="single" w:sz="18" w:space="0" w:color="FFFFFF"/>
          <w:bottom w:val="nil"/>
          <w:right w:val="nil"/>
          <w:insideH w:val="nil"/>
          <w:insideV w:val="nil"/>
        </w:tcBorders>
        <w:shd w:val="clear" w:color="auto" w:fill="776E51"/>
      </w:tcPr>
    </w:tblStylePr>
    <w:tblStylePr w:type="band1Vert">
      <w:tblPr/>
      <w:tcPr>
        <w:tcBorders>
          <w:top w:val="nil"/>
          <w:left w:val="nil"/>
          <w:bottom w:val="nil"/>
          <w:right w:val="nil"/>
          <w:insideH w:val="nil"/>
          <w:insideV w:val="nil"/>
        </w:tcBorders>
        <w:shd w:val="clear" w:color="auto" w:fill="776E51"/>
      </w:tcPr>
    </w:tblStylePr>
    <w:tblStylePr w:type="band1Horz">
      <w:tblPr/>
      <w:tcPr>
        <w:tcBorders>
          <w:top w:val="nil"/>
          <w:left w:val="nil"/>
          <w:bottom w:val="nil"/>
          <w:right w:val="nil"/>
          <w:insideH w:val="nil"/>
          <w:insideV w:val="nil"/>
        </w:tcBorders>
        <w:shd w:val="clear" w:color="auto" w:fill="776E51"/>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rFonts w:asciiTheme="minorHAnsi" w:hAnsiTheme="minorHAnsi"/>
    </w:rPr>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rPr>
      <w:rFonts w:asciiTheme="minorHAnsi" w:hAnsiTheme="minorHAnsi"/>
    </w:rPr>
  </w:style>
  <w:style w:type="character" w:styleId="Emphasis">
    <w:name w:val="Emphasis"/>
    <w:uiPriority w:val="20"/>
    <w:semiHidden/>
    <w:unhideWhenUsed/>
    <w:rPr>
      <w:i/>
      <w:iCs/>
    </w:rPr>
  </w:style>
  <w:style w:type="character" w:styleId="EndnoteReference">
    <w:name w:val="endnote reference"/>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Calibri" w:eastAsia="Times New Roman" w:hAnsi="Calibri"/>
      <w:sz w:val="24"/>
    </w:rPr>
  </w:style>
  <w:style w:type="paragraph" w:styleId="EnvelopeReturn">
    <w:name w:val="envelope return"/>
    <w:basedOn w:val="Normal"/>
    <w:uiPriority w:val="99"/>
    <w:semiHidden/>
    <w:unhideWhenUsed/>
    <w:pPr>
      <w:spacing w:after="0" w:line="240" w:lineRule="auto"/>
    </w:pPr>
    <w:rPr>
      <w:rFonts w:ascii="Calibri" w:eastAsia="Times New Roman" w:hAnsi="Calibri"/>
    </w:rPr>
  </w:style>
  <w:style w:type="character" w:styleId="FollowedHyperlink">
    <w:name w:val="FollowedHyperlink"/>
    <w:uiPriority w:val="99"/>
    <w:semiHidden/>
    <w:unhideWhenUsed/>
    <w:rPr>
      <w:color w:val="969696"/>
      <w:u w:val="single"/>
    </w:rPr>
  </w:style>
  <w:style w:type="character" w:styleId="FootnoteReference">
    <w:name w:val="footnote reference"/>
    <w:qFormat/>
    <w:rsid w:val="00C46203"/>
    <w:rPr>
      <w:rFonts w:asciiTheme="minorHAnsi" w:hAnsiTheme="minorHAnsi"/>
      <w:sz w:val="18"/>
      <w:vertAlign w:val="superscript"/>
    </w:rPr>
  </w:style>
  <w:style w:type="paragraph" w:styleId="FootnoteText">
    <w:name w:val="footnote text"/>
    <w:basedOn w:val="Normal"/>
    <w:link w:val="FootnoteTextChar"/>
    <w:qFormat/>
    <w:rsid w:val="00884710"/>
    <w:pPr>
      <w:spacing w:after="0" w:line="240" w:lineRule="auto"/>
    </w:pPr>
    <w:rPr>
      <w:sz w:val="15"/>
    </w:rPr>
  </w:style>
  <w:style w:type="character" w:customStyle="1" w:styleId="FootnoteTextChar">
    <w:name w:val="Footnote Text Char"/>
    <w:link w:val="FootnoteText"/>
    <w:rsid w:val="00884710"/>
    <w:rPr>
      <w:rFonts w:asciiTheme="minorHAnsi" w:hAnsiTheme="minorHAnsi"/>
      <w:color w:val="595959" w:themeColor="text1" w:themeTint="A6"/>
      <w:kern w:val="20"/>
      <w:sz w:val="15"/>
      <w:lang w:val="en-US" w:eastAsia="ja-JP"/>
    </w:rPr>
  </w:style>
  <w:style w:type="character" w:customStyle="1" w:styleId="Heading3Char">
    <w:name w:val="Heading 3 Char"/>
    <w:link w:val="Heading3"/>
    <w:uiPriority w:val="1"/>
    <w:rsid w:val="007D5CF3"/>
    <w:rPr>
      <w:rFonts w:asciiTheme="minorHAnsi" w:eastAsia="Times New Roman" w:hAnsiTheme="minorHAnsi"/>
      <w:b/>
      <w:bCs/>
      <w:caps/>
      <w:color w:val="132D4E" w:themeColor="text2"/>
      <w:kern w:val="20"/>
      <w:sz w:val="22"/>
      <w:lang w:val="en-US" w:eastAsia="ja-JP"/>
    </w:rPr>
  </w:style>
  <w:style w:type="character" w:customStyle="1" w:styleId="Heading4Char">
    <w:name w:val="Heading 4 Char"/>
    <w:link w:val="Heading4"/>
    <w:uiPriority w:val="1"/>
    <w:rsid w:val="001D528E"/>
    <w:rPr>
      <w:rFonts w:asciiTheme="minorHAnsi" w:eastAsia="Times New Roman" w:hAnsiTheme="minorHAnsi"/>
      <w:b/>
      <w:bCs/>
      <w:iCs/>
      <w:color w:val="027566" w:themeColor="accent2" w:themeShade="BF"/>
      <w:kern w:val="20"/>
      <w:sz w:val="22"/>
      <w:lang w:val="en-US" w:eastAsia="ja-JP"/>
    </w:rPr>
  </w:style>
  <w:style w:type="character" w:customStyle="1" w:styleId="Heading5Char">
    <w:name w:val="Heading 5 Char"/>
    <w:link w:val="Heading5"/>
    <w:uiPriority w:val="1"/>
    <w:rsid w:val="00A1608C"/>
    <w:rPr>
      <w:rFonts w:ascii="Aptos" w:eastAsia="Times New Roman" w:hAnsi="Aptos"/>
      <w:color w:val="134291" w:themeColor="accent1"/>
      <w:kern w:val="20"/>
      <w:sz w:val="22"/>
      <w:lang w:val="en-US" w:eastAsia="ja-JP"/>
    </w:rPr>
  </w:style>
  <w:style w:type="character" w:customStyle="1" w:styleId="Heading6Char">
    <w:name w:val="Heading 6 Char"/>
    <w:link w:val="Heading6"/>
    <w:uiPriority w:val="18"/>
    <w:semiHidden/>
    <w:rsid w:val="00075758"/>
    <w:rPr>
      <w:rFonts w:ascii="Calibri" w:eastAsia="Times New Roman" w:hAnsi="Calibri"/>
      <w:i/>
      <w:iCs/>
      <w:color w:val="394B5A"/>
      <w:kern w:val="20"/>
      <w:sz w:val="22"/>
      <w:lang w:val="en-US" w:eastAsia="ja-JP"/>
    </w:rPr>
  </w:style>
  <w:style w:type="character" w:customStyle="1" w:styleId="Heading7Char">
    <w:name w:val="Heading 7 Char"/>
    <w:link w:val="Heading7"/>
    <w:uiPriority w:val="18"/>
    <w:semiHidden/>
    <w:rsid w:val="00075758"/>
    <w:rPr>
      <w:rFonts w:ascii="Calibri" w:eastAsia="Times New Roman" w:hAnsi="Calibri"/>
      <w:i/>
      <w:iCs/>
      <w:color w:val="404040"/>
      <w:kern w:val="20"/>
      <w:sz w:val="22"/>
      <w:lang w:val="en-US" w:eastAsia="ja-JP"/>
    </w:rPr>
  </w:style>
  <w:style w:type="character" w:customStyle="1" w:styleId="Heading8Char">
    <w:name w:val="Heading 8 Char"/>
    <w:link w:val="Heading8"/>
    <w:uiPriority w:val="18"/>
    <w:semiHidden/>
    <w:rPr>
      <w:rFonts w:ascii="Calibri" w:eastAsia="Times New Roman" w:hAnsi="Calibri"/>
      <w:color w:val="404040"/>
      <w:kern w:val="20"/>
      <w:sz w:val="22"/>
      <w:lang w:val="en-US" w:eastAsia="ja-JP"/>
    </w:rPr>
  </w:style>
  <w:style w:type="character" w:customStyle="1" w:styleId="Heading9Char">
    <w:name w:val="Heading 9 Char"/>
    <w:link w:val="Heading9"/>
    <w:uiPriority w:val="18"/>
    <w:semiHidden/>
    <w:rPr>
      <w:rFonts w:ascii="Calibri" w:eastAsia="Times New Roman" w:hAnsi="Calibri"/>
      <w:i/>
      <w:iCs/>
      <w:color w:val="404040"/>
      <w:kern w:val="20"/>
      <w:sz w:val="22"/>
      <w:lang w:val="en-US" w:eastAsia="ja-JP"/>
    </w:rPr>
  </w:style>
  <w:style w:type="character" w:styleId="HTMLAcronym">
    <w:name w:val="HTML Acronym"/>
    <w:basedOn w:val="DefaultParagraphFont"/>
    <w:uiPriority w:val="99"/>
    <w:semiHidden/>
    <w:unhideWhenUsed/>
    <w:rPr>
      <w:rFonts w:asciiTheme="minorHAnsi" w:hAnsiTheme="minorHAnsi"/>
    </w:rPr>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link w:val="HTMLAddress"/>
    <w:uiPriority w:val="99"/>
    <w:semiHidden/>
    <w:rPr>
      <w:i/>
      <w:iCs/>
    </w:rPr>
  </w:style>
  <w:style w:type="character" w:styleId="HTMLCite">
    <w:name w:val="HTML Cite"/>
    <w:uiPriority w:val="99"/>
    <w:semiHidden/>
    <w:unhideWhenUsed/>
    <w:rPr>
      <w:i/>
      <w:iCs/>
    </w:rPr>
  </w:style>
  <w:style w:type="character" w:styleId="HTMLCode">
    <w:name w:val="HTML Code"/>
    <w:uiPriority w:val="99"/>
    <w:semiHidden/>
    <w:unhideWhenUsed/>
    <w:rPr>
      <w:rFonts w:ascii="Consolas" w:hAnsi="Consolas" w:cs="Consolas"/>
      <w:sz w:val="20"/>
    </w:rPr>
  </w:style>
  <w:style w:type="character" w:styleId="HTMLDefinition">
    <w:name w:val="HTML Definition"/>
    <w:uiPriority w:val="99"/>
    <w:semiHidden/>
    <w:unhideWhenUsed/>
    <w:rPr>
      <w:i/>
      <w:iCs/>
    </w:rPr>
  </w:style>
  <w:style w:type="character" w:styleId="HTMLKeyboard">
    <w:name w:val="HTML Keyboard"/>
    <w:uiPriority w:val="99"/>
    <w:semiHidden/>
    <w:unhideWhenUsed/>
    <w:rPr>
      <w:rFonts w:ascii="Consolas" w:hAnsi="Consolas" w:cs="Consolas"/>
      <w:sz w:val="20"/>
    </w:rPr>
  </w:style>
  <w:style w:type="paragraph" w:styleId="HTMLPreformatted">
    <w:name w:val="HTML Preformatted"/>
    <w:basedOn w:val="Normal"/>
    <w:link w:val="HTMLPreformattedChar"/>
    <w:uiPriority w:val="99"/>
    <w:semiHidden/>
    <w:unhideWhenUsed/>
    <w:pPr>
      <w:spacing w:after="0" w:line="240" w:lineRule="auto"/>
    </w:pPr>
    <w:rPr>
      <w:rFonts w:ascii="Consolas" w:hAnsi="Consolas" w:cs="Consolas"/>
    </w:rPr>
  </w:style>
  <w:style w:type="character" w:customStyle="1" w:styleId="HTMLPreformattedChar">
    <w:name w:val="HTML Preformatted Char"/>
    <w:link w:val="HTMLPreformatted"/>
    <w:uiPriority w:val="99"/>
    <w:semiHidden/>
    <w:rPr>
      <w:rFonts w:ascii="Consolas" w:hAnsi="Consolas" w:cs="Consolas"/>
      <w:sz w:val="20"/>
    </w:rPr>
  </w:style>
  <w:style w:type="character" w:styleId="HTMLSample">
    <w:name w:val="HTML Sample"/>
    <w:uiPriority w:val="99"/>
    <w:semiHidden/>
    <w:unhideWhenUsed/>
    <w:rPr>
      <w:rFonts w:ascii="Consolas" w:hAnsi="Consolas" w:cs="Consolas"/>
      <w:sz w:val="24"/>
    </w:rPr>
  </w:style>
  <w:style w:type="character" w:styleId="HTMLTypewriter">
    <w:name w:val="HTML Typewriter"/>
    <w:uiPriority w:val="99"/>
    <w:semiHidden/>
    <w:unhideWhenUsed/>
    <w:rPr>
      <w:rFonts w:ascii="Consolas" w:hAnsi="Consolas" w:cs="Consolas"/>
      <w:sz w:val="20"/>
    </w:rPr>
  </w:style>
  <w:style w:type="character" w:styleId="HTMLVariable">
    <w:name w:val="HTML Variable"/>
    <w:uiPriority w:val="99"/>
    <w:semiHidden/>
    <w:unhideWhenUsed/>
    <w:rPr>
      <w:i/>
      <w:iCs/>
    </w:rPr>
  </w:style>
  <w:style w:type="character" w:styleId="Hyperlink">
    <w:name w:val="Hyperlink"/>
    <w:uiPriority w:val="99"/>
    <w:unhideWhenUsed/>
    <w:rsid w:val="001D528E"/>
    <w:rPr>
      <w:rFonts w:asciiTheme="minorHAnsi" w:hAnsiTheme="minorHAnsi"/>
      <w:color w:val="134291" w:themeColor="accent1"/>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Calibri" w:eastAsia="Times New Roman" w:hAnsi="Calibri"/>
      <w:b/>
      <w:bCs/>
    </w:rPr>
  </w:style>
  <w:style w:type="character" w:styleId="IntenseEmphasis">
    <w:name w:val="Intense Emphasis"/>
    <w:uiPriority w:val="21"/>
    <w:semiHidden/>
    <w:unhideWhenUsed/>
    <w:rPr>
      <w:b/>
      <w:bCs/>
      <w:i/>
      <w:iCs/>
      <w:color w:val="7E97AD"/>
    </w:rPr>
  </w:style>
  <w:style w:type="paragraph" w:styleId="IntenseQuote">
    <w:name w:val="Intense Quote"/>
    <w:basedOn w:val="Normal"/>
    <w:next w:val="Normal"/>
    <w:link w:val="IntenseQuoteChar"/>
    <w:uiPriority w:val="30"/>
    <w:semiHidden/>
    <w:unhideWhenUsed/>
    <w:pPr>
      <w:pBdr>
        <w:bottom w:val="single" w:sz="4" w:space="4" w:color="7E97AD"/>
      </w:pBdr>
      <w:spacing w:before="200" w:after="280"/>
      <w:ind w:left="936" w:right="936"/>
    </w:pPr>
    <w:rPr>
      <w:b/>
      <w:bCs/>
      <w:i/>
      <w:iCs/>
      <w:color w:val="7E97AD"/>
    </w:rPr>
  </w:style>
  <w:style w:type="character" w:customStyle="1" w:styleId="IntenseQuoteChar">
    <w:name w:val="Intense Quote Char"/>
    <w:link w:val="IntenseQuote"/>
    <w:uiPriority w:val="30"/>
    <w:semiHidden/>
    <w:rPr>
      <w:b/>
      <w:bCs/>
      <w:i/>
      <w:iCs/>
      <w:color w:val="7E97AD"/>
    </w:rPr>
  </w:style>
  <w:style w:type="character" w:styleId="IntenseReference">
    <w:name w:val="Intense Reference"/>
    <w:uiPriority w:val="32"/>
    <w:semiHidden/>
    <w:unhideWhenUsed/>
    <w:rPr>
      <w:b/>
      <w:bCs/>
      <w:smallCaps/>
      <w:color w:val="CC8E60"/>
      <w:spacing w:val="5"/>
      <w:u w:val="single"/>
    </w:rPr>
  </w:style>
  <w:style w:type="table" w:styleId="LightGrid">
    <w:name w:val="Light Grid"/>
    <w:basedOn w:val="TableNormal"/>
    <w:uiPriority w:val="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Times New Roman"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Times New Roman"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tblPr>
      <w:tblStyleRowBandSize w:val="1"/>
      <w:tblStyleColBandSize w:val="1"/>
      <w:tblBorders>
        <w:top w:val="single" w:sz="8" w:space="0" w:color="7E97AD"/>
        <w:left w:val="single" w:sz="8" w:space="0" w:color="7E97AD"/>
        <w:bottom w:val="single" w:sz="8" w:space="0" w:color="7E97AD"/>
        <w:right w:val="single" w:sz="8" w:space="0" w:color="7E97AD"/>
        <w:insideH w:val="single" w:sz="8" w:space="0" w:color="7E97AD"/>
        <w:insideV w:val="single" w:sz="8" w:space="0" w:color="7E97AD"/>
      </w:tblBorders>
    </w:tblPr>
    <w:tblStylePr w:type="firstRow">
      <w:pPr>
        <w:spacing w:before="0" w:after="0" w:line="240" w:lineRule="auto"/>
      </w:pPr>
      <w:rPr>
        <w:rFonts w:ascii="Calibri" w:eastAsia="Times New Roman" w:hAnsi="Calibri" w:cs="Times New Roman"/>
        <w:b/>
        <w:bCs/>
      </w:rPr>
      <w:tblPr/>
      <w:tcPr>
        <w:tcBorders>
          <w:top w:val="single" w:sz="8" w:space="0" w:color="7E97AD"/>
          <w:left w:val="single" w:sz="8" w:space="0" w:color="7E97AD"/>
          <w:bottom w:val="single" w:sz="18" w:space="0" w:color="7E97AD"/>
          <w:right w:val="single" w:sz="8" w:space="0" w:color="7E97AD"/>
          <w:insideH w:val="nil"/>
          <w:insideV w:val="single" w:sz="8" w:space="0" w:color="7E97AD"/>
        </w:tcBorders>
      </w:tcPr>
    </w:tblStylePr>
    <w:tblStylePr w:type="lastRow">
      <w:pPr>
        <w:spacing w:before="0" w:after="0" w:line="240" w:lineRule="auto"/>
      </w:pPr>
      <w:rPr>
        <w:rFonts w:ascii="Calibri" w:eastAsia="Times New Roman" w:hAnsi="Calibri" w:cs="Times New Roman"/>
        <w:b/>
        <w:bCs/>
      </w:rPr>
      <w:tblPr/>
      <w:tcPr>
        <w:tcBorders>
          <w:top w:val="double" w:sz="6" w:space="0" w:color="7E97AD"/>
          <w:left w:val="single" w:sz="8" w:space="0" w:color="7E97AD"/>
          <w:bottom w:val="single" w:sz="8" w:space="0" w:color="7E97AD"/>
          <w:right w:val="single" w:sz="8" w:space="0" w:color="7E97AD"/>
          <w:insideH w:val="nil"/>
          <w:insideV w:val="single" w:sz="8" w:space="0" w:color="7E97AD"/>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7E97AD"/>
          <w:left w:val="single" w:sz="8" w:space="0" w:color="7E97AD"/>
          <w:bottom w:val="single" w:sz="8" w:space="0" w:color="7E97AD"/>
          <w:right w:val="single" w:sz="8" w:space="0" w:color="7E97AD"/>
        </w:tcBorders>
      </w:tcPr>
    </w:tblStylePr>
    <w:tblStylePr w:type="band1Vert">
      <w:tblPr/>
      <w:tcPr>
        <w:tcBorders>
          <w:top w:val="single" w:sz="8" w:space="0" w:color="7E97AD"/>
          <w:left w:val="single" w:sz="8" w:space="0" w:color="7E97AD"/>
          <w:bottom w:val="single" w:sz="8" w:space="0" w:color="7E97AD"/>
          <w:right w:val="single" w:sz="8" w:space="0" w:color="7E97AD"/>
        </w:tcBorders>
        <w:shd w:val="clear" w:color="auto" w:fill="DFE5EA"/>
      </w:tcPr>
    </w:tblStylePr>
    <w:tblStylePr w:type="band1Horz">
      <w:tblPr/>
      <w:tcPr>
        <w:tcBorders>
          <w:top w:val="single" w:sz="8" w:space="0" w:color="7E97AD"/>
          <w:left w:val="single" w:sz="8" w:space="0" w:color="7E97AD"/>
          <w:bottom w:val="single" w:sz="8" w:space="0" w:color="7E97AD"/>
          <w:right w:val="single" w:sz="8" w:space="0" w:color="7E97AD"/>
          <w:insideV w:val="single" w:sz="8" w:space="0" w:color="7E97AD"/>
        </w:tcBorders>
        <w:shd w:val="clear" w:color="auto" w:fill="DFE5EA"/>
      </w:tcPr>
    </w:tblStylePr>
    <w:tblStylePr w:type="band2Horz">
      <w:tblPr/>
      <w:tcPr>
        <w:tcBorders>
          <w:top w:val="single" w:sz="8" w:space="0" w:color="7E97AD"/>
          <w:left w:val="single" w:sz="8" w:space="0" w:color="7E97AD"/>
          <w:bottom w:val="single" w:sz="8" w:space="0" w:color="7E97AD"/>
          <w:right w:val="single" w:sz="8" w:space="0" w:color="7E97AD"/>
          <w:insideV w:val="single" w:sz="8" w:space="0" w:color="7E97AD"/>
        </w:tcBorders>
      </w:tcPr>
    </w:tblStylePr>
  </w:style>
  <w:style w:type="table" w:styleId="LightGrid-Accent2">
    <w:name w:val="Light Grid Accent 2"/>
    <w:basedOn w:val="TableNormal"/>
    <w:uiPriority w:val="62"/>
    <w:tblPr>
      <w:tblStyleRowBandSize w:val="1"/>
      <w:tblStyleColBandSize w:val="1"/>
      <w:tblBorders>
        <w:top w:val="single" w:sz="8" w:space="0" w:color="CC8E60"/>
        <w:left w:val="single" w:sz="8" w:space="0" w:color="CC8E60"/>
        <w:bottom w:val="single" w:sz="8" w:space="0" w:color="CC8E60"/>
        <w:right w:val="single" w:sz="8" w:space="0" w:color="CC8E60"/>
        <w:insideH w:val="single" w:sz="8" w:space="0" w:color="CC8E60"/>
        <w:insideV w:val="single" w:sz="8" w:space="0" w:color="CC8E60"/>
      </w:tblBorders>
    </w:tblPr>
    <w:tblStylePr w:type="firstRow">
      <w:pPr>
        <w:spacing w:before="0" w:after="0" w:line="240" w:lineRule="auto"/>
      </w:pPr>
      <w:rPr>
        <w:rFonts w:ascii="Calibri" w:eastAsia="Times New Roman" w:hAnsi="Calibri" w:cs="Times New Roman"/>
        <w:b/>
        <w:bCs/>
      </w:rPr>
      <w:tblPr/>
      <w:tcPr>
        <w:tcBorders>
          <w:top w:val="single" w:sz="8" w:space="0" w:color="CC8E60"/>
          <w:left w:val="single" w:sz="8" w:space="0" w:color="CC8E60"/>
          <w:bottom w:val="single" w:sz="18" w:space="0" w:color="CC8E60"/>
          <w:right w:val="single" w:sz="8" w:space="0" w:color="CC8E60"/>
          <w:insideH w:val="nil"/>
          <w:insideV w:val="single" w:sz="8" w:space="0" w:color="CC8E60"/>
        </w:tcBorders>
      </w:tcPr>
    </w:tblStylePr>
    <w:tblStylePr w:type="lastRow">
      <w:pPr>
        <w:spacing w:before="0" w:after="0" w:line="240" w:lineRule="auto"/>
      </w:pPr>
      <w:rPr>
        <w:rFonts w:ascii="Calibri" w:eastAsia="Times New Roman" w:hAnsi="Calibri" w:cs="Times New Roman"/>
        <w:b/>
        <w:bCs/>
      </w:rPr>
      <w:tblPr/>
      <w:tcPr>
        <w:tcBorders>
          <w:top w:val="double" w:sz="6" w:space="0" w:color="CC8E60"/>
          <w:left w:val="single" w:sz="8" w:space="0" w:color="CC8E60"/>
          <w:bottom w:val="single" w:sz="8" w:space="0" w:color="CC8E60"/>
          <w:right w:val="single" w:sz="8" w:space="0" w:color="CC8E60"/>
          <w:insideH w:val="nil"/>
          <w:insideV w:val="single" w:sz="8" w:space="0" w:color="CC8E6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CC8E60"/>
          <w:left w:val="single" w:sz="8" w:space="0" w:color="CC8E60"/>
          <w:bottom w:val="single" w:sz="8" w:space="0" w:color="CC8E60"/>
          <w:right w:val="single" w:sz="8" w:space="0" w:color="CC8E60"/>
        </w:tcBorders>
      </w:tcPr>
    </w:tblStylePr>
    <w:tblStylePr w:type="band1Vert">
      <w:tblPr/>
      <w:tcPr>
        <w:tcBorders>
          <w:top w:val="single" w:sz="8" w:space="0" w:color="CC8E60"/>
          <w:left w:val="single" w:sz="8" w:space="0" w:color="CC8E60"/>
          <w:bottom w:val="single" w:sz="8" w:space="0" w:color="CC8E60"/>
          <w:right w:val="single" w:sz="8" w:space="0" w:color="CC8E60"/>
        </w:tcBorders>
        <w:shd w:val="clear" w:color="auto" w:fill="F2E2D7"/>
      </w:tcPr>
    </w:tblStylePr>
    <w:tblStylePr w:type="band1Horz">
      <w:tblPr/>
      <w:tcPr>
        <w:tcBorders>
          <w:top w:val="single" w:sz="8" w:space="0" w:color="CC8E60"/>
          <w:left w:val="single" w:sz="8" w:space="0" w:color="CC8E60"/>
          <w:bottom w:val="single" w:sz="8" w:space="0" w:color="CC8E60"/>
          <w:right w:val="single" w:sz="8" w:space="0" w:color="CC8E60"/>
          <w:insideV w:val="single" w:sz="8" w:space="0" w:color="CC8E60"/>
        </w:tcBorders>
        <w:shd w:val="clear" w:color="auto" w:fill="F2E2D7"/>
      </w:tcPr>
    </w:tblStylePr>
    <w:tblStylePr w:type="band2Horz">
      <w:tblPr/>
      <w:tcPr>
        <w:tcBorders>
          <w:top w:val="single" w:sz="8" w:space="0" w:color="CC8E60"/>
          <w:left w:val="single" w:sz="8" w:space="0" w:color="CC8E60"/>
          <w:bottom w:val="single" w:sz="8" w:space="0" w:color="CC8E60"/>
          <w:right w:val="single" w:sz="8" w:space="0" w:color="CC8E60"/>
          <w:insideV w:val="single" w:sz="8" w:space="0" w:color="CC8E60"/>
        </w:tcBorders>
      </w:tcPr>
    </w:tblStylePr>
  </w:style>
  <w:style w:type="table" w:styleId="LightGrid-Accent3">
    <w:name w:val="Light Grid Accent 3"/>
    <w:basedOn w:val="TableNormal"/>
    <w:uiPriority w:val="62"/>
    <w:tblPr>
      <w:tblStyleRowBandSize w:val="1"/>
      <w:tblStyleColBandSize w:val="1"/>
      <w:tblBorders>
        <w:top w:val="single" w:sz="8" w:space="0" w:color="7A6A60"/>
        <w:left w:val="single" w:sz="8" w:space="0" w:color="7A6A60"/>
        <w:bottom w:val="single" w:sz="8" w:space="0" w:color="7A6A60"/>
        <w:right w:val="single" w:sz="8" w:space="0" w:color="7A6A60"/>
        <w:insideH w:val="single" w:sz="8" w:space="0" w:color="7A6A60"/>
        <w:insideV w:val="single" w:sz="8" w:space="0" w:color="7A6A60"/>
      </w:tblBorders>
    </w:tblPr>
    <w:tblStylePr w:type="firstRow">
      <w:pPr>
        <w:spacing w:before="0" w:after="0" w:line="240" w:lineRule="auto"/>
      </w:pPr>
      <w:rPr>
        <w:rFonts w:ascii="Calibri" w:eastAsia="Times New Roman" w:hAnsi="Calibri" w:cs="Times New Roman"/>
        <w:b/>
        <w:bCs/>
      </w:rPr>
      <w:tblPr/>
      <w:tcPr>
        <w:tcBorders>
          <w:top w:val="single" w:sz="8" w:space="0" w:color="7A6A60"/>
          <w:left w:val="single" w:sz="8" w:space="0" w:color="7A6A60"/>
          <w:bottom w:val="single" w:sz="18" w:space="0" w:color="7A6A60"/>
          <w:right w:val="single" w:sz="8" w:space="0" w:color="7A6A60"/>
          <w:insideH w:val="nil"/>
          <w:insideV w:val="single" w:sz="8" w:space="0" w:color="7A6A60"/>
        </w:tcBorders>
      </w:tcPr>
    </w:tblStylePr>
    <w:tblStylePr w:type="lastRow">
      <w:pPr>
        <w:spacing w:before="0" w:after="0" w:line="240" w:lineRule="auto"/>
      </w:pPr>
      <w:rPr>
        <w:rFonts w:ascii="Calibri" w:eastAsia="Times New Roman" w:hAnsi="Calibri" w:cs="Times New Roman"/>
        <w:b/>
        <w:bCs/>
      </w:rPr>
      <w:tblPr/>
      <w:tcPr>
        <w:tcBorders>
          <w:top w:val="double" w:sz="6" w:space="0" w:color="7A6A60"/>
          <w:left w:val="single" w:sz="8" w:space="0" w:color="7A6A60"/>
          <w:bottom w:val="single" w:sz="8" w:space="0" w:color="7A6A60"/>
          <w:right w:val="single" w:sz="8" w:space="0" w:color="7A6A60"/>
          <w:insideH w:val="nil"/>
          <w:insideV w:val="single" w:sz="8" w:space="0" w:color="7A6A6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7A6A60"/>
          <w:left w:val="single" w:sz="8" w:space="0" w:color="7A6A60"/>
          <w:bottom w:val="single" w:sz="8" w:space="0" w:color="7A6A60"/>
          <w:right w:val="single" w:sz="8" w:space="0" w:color="7A6A60"/>
        </w:tcBorders>
      </w:tcPr>
    </w:tblStylePr>
    <w:tblStylePr w:type="band1Vert">
      <w:tblPr/>
      <w:tcPr>
        <w:tcBorders>
          <w:top w:val="single" w:sz="8" w:space="0" w:color="7A6A60"/>
          <w:left w:val="single" w:sz="8" w:space="0" w:color="7A6A60"/>
          <w:bottom w:val="single" w:sz="8" w:space="0" w:color="7A6A60"/>
          <w:right w:val="single" w:sz="8" w:space="0" w:color="7A6A60"/>
        </w:tcBorders>
        <w:shd w:val="clear" w:color="auto" w:fill="DFD9D6"/>
      </w:tcPr>
    </w:tblStylePr>
    <w:tblStylePr w:type="band1Horz">
      <w:tblPr/>
      <w:tcPr>
        <w:tcBorders>
          <w:top w:val="single" w:sz="8" w:space="0" w:color="7A6A60"/>
          <w:left w:val="single" w:sz="8" w:space="0" w:color="7A6A60"/>
          <w:bottom w:val="single" w:sz="8" w:space="0" w:color="7A6A60"/>
          <w:right w:val="single" w:sz="8" w:space="0" w:color="7A6A60"/>
          <w:insideV w:val="single" w:sz="8" w:space="0" w:color="7A6A60"/>
        </w:tcBorders>
        <w:shd w:val="clear" w:color="auto" w:fill="DFD9D6"/>
      </w:tcPr>
    </w:tblStylePr>
    <w:tblStylePr w:type="band2Horz">
      <w:tblPr/>
      <w:tcPr>
        <w:tcBorders>
          <w:top w:val="single" w:sz="8" w:space="0" w:color="7A6A60"/>
          <w:left w:val="single" w:sz="8" w:space="0" w:color="7A6A60"/>
          <w:bottom w:val="single" w:sz="8" w:space="0" w:color="7A6A60"/>
          <w:right w:val="single" w:sz="8" w:space="0" w:color="7A6A60"/>
          <w:insideV w:val="single" w:sz="8" w:space="0" w:color="7A6A60"/>
        </w:tcBorders>
      </w:tcPr>
    </w:tblStylePr>
  </w:style>
  <w:style w:type="table" w:styleId="LightGrid-Accent4">
    <w:name w:val="Light Grid Accent 4"/>
    <w:basedOn w:val="TableNormal"/>
    <w:uiPriority w:val="62"/>
    <w:tblPr>
      <w:tblStyleRowBandSize w:val="1"/>
      <w:tblStyleColBandSize w:val="1"/>
      <w:tblBorders>
        <w:top w:val="single" w:sz="8" w:space="0" w:color="B4936D"/>
        <w:left w:val="single" w:sz="8" w:space="0" w:color="B4936D"/>
        <w:bottom w:val="single" w:sz="8" w:space="0" w:color="B4936D"/>
        <w:right w:val="single" w:sz="8" w:space="0" w:color="B4936D"/>
        <w:insideH w:val="single" w:sz="8" w:space="0" w:color="B4936D"/>
        <w:insideV w:val="single" w:sz="8" w:space="0" w:color="B4936D"/>
      </w:tblBorders>
    </w:tblPr>
    <w:tblStylePr w:type="firstRow">
      <w:pPr>
        <w:spacing w:before="0" w:after="0" w:line="240" w:lineRule="auto"/>
      </w:pPr>
      <w:rPr>
        <w:rFonts w:ascii="Calibri" w:eastAsia="Times New Roman" w:hAnsi="Calibri" w:cs="Times New Roman"/>
        <w:b/>
        <w:bCs/>
      </w:rPr>
      <w:tblPr/>
      <w:tcPr>
        <w:tcBorders>
          <w:top w:val="single" w:sz="8" w:space="0" w:color="B4936D"/>
          <w:left w:val="single" w:sz="8" w:space="0" w:color="B4936D"/>
          <w:bottom w:val="single" w:sz="18" w:space="0" w:color="B4936D"/>
          <w:right w:val="single" w:sz="8" w:space="0" w:color="B4936D"/>
          <w:insideH w:val="nil"/>
          <w:insideV w:val="single" w:sz="8" w:space="0" w:color="B4936D"/>
        </w:tcBorders>
      </w:tcPr>
    </w:tblStylePr>
    <w:tblStylePr w:type="lastRow">
      <w:pPr>
        <w:spacing w:before="0" w:after="0" w:line="240" w:lineRule="auto"/>
      </w:pPr>
      <w:rPr>
        <w:rFonts w:ascii="Calibri" w:eastAsia="Times New Roman" w:hAnsi="Calibri" w:cs="Times New Roman"/>
        <w:b/>
        <w:bCs/>
      </w:rPr>
      <w:tblPr/>
      <w:tcPr>
        <w:tcBorders>
          <w:top w:val="double" w:sz="6" w:space="0" w:color="B4936D"/>
          <w:left w:val="single" w:sz="8" w:space="0" w:color="B4936D"/>
          <w:bottom w:val="single" w:sz="8" w:space="0" w:color="B4936D"/>
          <w:right w:val="single" w:sz="8" w:space="0" w:color="B4936D"/>
          <w:insideH w:val="nil"/>
          <w:insideV w:val="single" w:sz="8" w:space="0" w:color="B4936D"/>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B4936D"/>
          <w:left w:val="single" w:sz="8" w:space="0" w:color="B4936D"/>
          <w:bottom w:val="single" w:sz="8" w:space="0" w:color="B4936D"/>
          <w:right w:val="single" w:sz="8" w:space="0" w:color="B4936D"/>
        </w:tcBorders>
      </w:tcPr>
    </w:tblStylePr>
    <w:tblStylePr w:type="band1Vert">
      <w:tblPr/>
      <w:tcPr>
        <w:tcBorders>
          <w:top w:val="single" w:sz="8" w:space="0" w:color="B4936D"/>
          <w:left w:val="single" w:sz="8" w:space="0" w:color="B4936D"/>
          <w:bottom w:val="single" w:sz="8" w:space="0" w:color="B4936D"/>
          <w:right w:val="single" w:sz="8" w:space="0" w:color="B4936D"/>
        </w:tcBorders>
        <w:shd w:val="clear" w:color="auto" w:fill="ECE4DA"/>
      </w:tcPr>
    </w:tblStylePr>
    <w:tblStylePr w:type="band1Horz">
      <w:tblPr/>
      <w:tcPr>
        <w:tcBorders>
          <w:top w:val="single" w:sz="8" w:space="0" w:color="B4936D"/>
          <w:left w:val="single" w:sz="8" w:space="0" w:color="B4936D"/>
          <w:bottom w:val="single" w:sz="8" w:space="0" w:color="B4936D"/>
          <w:right w:val="single" w:sz="8" w:space="0" w:color="B4936D"/>
          <w:insideV w:val="single" w:sz="8" w:space="0" w:color="B4936D"/>
        </w:tcBorders>
        <w:shd w:val="clear" w:color="auto" w:fill="ECE4DA"/>
      </w:tcPr>
    </w:tblStylePr>
    <w:tblStylePr w:type="band2Horz">
      <w:tblPr/>
      <w:tcPr>
        <w:tcBorders>
          <w:top w:val="single" w:sz="8" w:space="0" w:color="B4936D"/>
          <w:left w:val="single" w:sz="8" w:space="0" w:color="B4936D"/>
          <w:bottom w:val="single" w:sz="8" w:space="0" w:color="B4936D"/>
          <w:right w:val="single" w:sz="8" w:space="0" w:color="B4936D"/>
          <w:insideV w:val="single" w:sz="8" w:space="0" w:color="B4936D"/>
        </w:tcBorders>
      </w:tcPr>
    </w:tblStylePr>
  </w:style>
  <w:style w:type="table" w:styleId="LightGrid-Accent5">
    <w:name w:val="Light Grid Accent 5"/>
    <w:basedOn w:val="TableNormal"/>
    <w:uiPriority w:val="62"/>
    <w:tblPr>
      <w:tblStyleRowBandSize w:val="1"/>
      <w:tblStyleColBandSize w:val="1"/>
      <w:tblBorders>
        <w:top w:val="single" w:sz="8" w:space="0" w:color="67787B"/>
        <w:left w:val="single" w:sz="8" w:space="0" w:color="67787B"/>
        <w:bottom w:val="single" w:sz="8" w:space="0" w:color="67787B"/>
        <w:right w:val="single" w:sz="8" w:space="0" w:color="67787B"/>
        <w:insideH w:val="single" w:sz="8" w:space="0" w:color="67787B"/>
        <w:insideV w:val="single" w:sz="8" w:space="0" w:color="67787B"/>
      </w:tblBorders>
    </w:tblPr>
    <w:tblStylePr w:type="firstRow">
      <w:pPr>
        <w:spacing w:before="0" w:after="0" w:line="240" w:lineRule="auto"/>
      </w:pPr>
      <w:rPr>
        <w:rFonts w:ascii="Calibri" w:eastAsia="Times New Roman" w:hAnsi="Calibri" w:cs="Times New Roman"/>
        <w:b/>
        <w:bCs/>
      </w:rPr>
      <w:tblPr/>
      <w:tcPr>
        <w:tcBorders>
          <w:top w:val="single" w:sz="8" w:space="0" w:color="67787B"/>
          <w:left w:val="single" w:sz="8" w:space="0" w:color="67787B"/>
          <w:bottom w:val="single" w:sz="18" w:space="0" w:color="67787B"/>
          <w:right w:val="single" w:sz="8" w:space="0" w:color="67787B"/>
          <w:insideH w:val="nil"/>
          <w:insideV w:val="single" w:sz="8" w:space="0" w:color="67787B"/>
        </w:tcBorders>
      </w:tcPr>
    </w:tblStylePr>
    <w:tblStylePr w:type="lastRow">
      <w:pPr>
        <w:spacing w:before="0" w:after="0" w:line="240" w:lineRule="auto"/>
      </w:pPr>
      <w:rPr>
        <w:rFonts w:ascii="Calibri" w:eastAsia="Times New Roman" w:hAnsi="Calibri" w:cs="Times New Roman"/>
        <w:b/>
        <w:bCs/>
      </w:rPr>
      <w:tblPr/>
      <w:tcPr>
        <w:tcBorders>
          <w:top w:val="double" w:sz="6" w:space="0" w:color="67787B"/>
          <w:left w:val="single" w:sz="8" w:space="0" w:color="67787B"/>
          <w:bottom w:val="single" w:sz="8" w:space="0" w:color="67787B"/>
          <w:right w:val="single" w:sz="8" w:space="0" w:color="67787B"/>
          <w:insideH w:val="nil"/>
          <w:insideV w:val="single" w:sz="8" w:space="0" w:color="67787B"/>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67787B"/>
          <w:left w:val="single" w:sz="8" w:space="0" w:color="67787B"/>
          <w:bottom w:val="single" w:sz="8" w:space="0" w:color="67787B"/>
          <w:right w:val="single" w:sz="8" w:space="0" w:color="67787B"/>
        </w:tcBorders>
      </w:tcPr>
    </w:tblStylePr>
    <w:tblStylePr w:type="band1Vert">
      <w:tblPr/>
      <w:tcPr>
        <w:tcBorders>
          <w:top w:val="single" w:sz="8" w:space="0" w:color="67787B"/>
          <w:left w:val="single" w:sz="8" w:space="0" w:color="67787B"/>
          <w:bottom w:val="single" w:sz="8" w:space="0" w:color="67787B"/>
          <w:right w:val="single" w:sz="8" w:space="0" w:color="67787B"/>
        </w:tcBorders>
        <w:shd w:val="clear" w:color="auto" w:fill="D8DEDF"/>
      </w:tcPr>
    </w:tblStylePr>
    <w:tblStylePr w:type="band1Horz">
      <w:tblPr/>
      <w:tcPr>
        <w:tcBorders>
          <w:top w:val="single" w:sz="8" w:space="0" w:color="67787B"/>
          <w:left w:val="single" w:sz="8" w:space="0" w:color="67787B"/>
          <w:bottom w:val="single" w:sz="8" w:space="0" w:color="67787B"/>
          <w:right w:val="single" w:sz="8" w:space="0" w:color="67787B"/>
          <w:insideV w:val="single" w:sz="8" w:space="0" w:color="67787B"/>
        </w:tcBorders>
        <w:shd w:val="clear" w:color="auto" w:fill="D8DEDF"/>
      </w:tcPr>
    </w:tblStylePr>
    <w:tblStylePr w:type="band2Horz">
      <w:tblPr/>
      <w:tcPr>
        <w:tcBorders>
          <w:top w:val="single" w:sz="8" w:space="0" w:color="67787B"/>
          <w:left w:val="single" w:sz="8" w:space="0" w:color="67787B"/>
          <w:bottom w:val="single" w:sz="8" w:space="0" w:color="67787B"/>
          <w:right w:val="single" w:sz="8" w:space="0" w:color="67787B"/>
          <w:insideV w:val="single" w:sz="8" w:space="0" w:color="67787B"/>
        </w:tcBorders>
      </w:tcPr>
    </w:tblStylePr>
  </w:style>
  <w:style w:type="table" w:styleId="LightGrid-Accent6">
    <w:name w:val="Light Grid Accent 6"/>
    <w:basedOn w:val="TableNormal"/>
    <w:uiPriority w:val="62"/>
    <w:tblPr>
      <w:tblStyleRowBandSize w:val="1"/>
      <w:tblStyleColBandSize w:val="1"/>
      <w:tblBorders>
        <w:top w:val="single" w:sz="8" w:space="0" w:color="9D936F"/>
        <w:left w:val="single" w:sz="8" w:space="0" w:color="9D936F"/>
        <w:bottom w:val="single" w:sz="8" w:space="0" w:color="9D936F"/>
        <w:right w:val="single" w:sz="8" w:space="0" w:color="9D936F"/>
        <w:insideH w:val="single" w:sz="8" w:space="0" w:color="9D936F"/>
        <w:insideV w:val="single" w:sz="8" w:space="0" w:color="9D936F"/>
      </w:tblBorders>
    </w:tblPr>
    <w:tblStylePr w:type="firstRow">
      <w:pPr>
        <w:spacing w:before="0" w:after="0" w:line="240" w:lineRule="auto"/>
      </w:pPr>
      <w:rPr>
        <w:rFonts w:ascii="Calibri" w:eastAsia="Times New Roman" w:hAnsi="Calibri" w:cs="Times New Roman"/>
        <w:b/>
        <w:bCs/>
      </w:rPr>
      <w:tblPr/>
      <w:tcPr>
        <w:tcBorders>
          <w:top w:val="single" w:sz="8" w:space="0" w:color="9D936F"/>
          <w:left w:val="single" w:sz="8" w:space="0" w:color="9D936F"/>
          <w:bottom w:val="single" w:sz="18" w:space="0" w:color="9D936F"/>
          <w:right w:val="single" w:sz="8" w:space="0" w:color="9D936F"/>
          <w:insideH w:val="nil"/>
          <w:insideV w:val="single" w:sz="8" w:space="0" w:color="9D936F"/>
        </w:tcBorders>
      </w:tcPr>
    </w:tblStylePr>
    <w:tblStylePr w:type="lastRow">
      <w:pPr>
        <w:spacing w:before="0" w:after="0" w:line="240" w:lineRule="auto"/>
      </w:pPr>
      <w:rPr>
        <w:rFonts w:ascii="Calibri" w:eastAsia="Times New Roman" w:hAnsi="Calibri" w:cs="Times New Roman"/>
        <w:b/>
        <w:bCs/>
      </w:rPr>
      <w:tblPr/>
      <w:tcPr>
        <w:tcBorders>
          <w:top w:val="double" w:sz="6" w:space="0" w:color="9D936F"/>
          <w:left w:val="single" w:sz="8" w:space="0" w:color="9D936F"/>
          <w:bottom w:val="single" w:sz="8" w:space="0" w:color="9D936F"/>
          <w:right w:val="single" w:sz="8" w:space="0" w:color="9D936F"/>
          <w:insideH w:val="nil"/>
          <w:insideV w:val="single" w:sz="8" w:space="0" w:color="9D936F"/>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9D936F"/>
          <w:left w:val="single" w:sz="8" w:space="0" w:color="9D936F"/>
          <w:bottom w:val="single" w:sz="8" w:space="0" w:color="9D936F"/>
          <w:right w:val="single" w:sz="8" w:space="0" w:color="9D936F"/>
        </w:tcBorders>
      </w:tcPr>
    </w:tblStylePr>
    <w:tblStylePr w:type="band1Vert">
      <w:tblPr/>
      <w:tcPr>
        <w:tcBorders>
          <w:top w:val="single" w:sz="8" w:space="0" w:color="9D936F"/>
          <w:left w:val="single" w:sz="8" w:space="0" w:color="9D936F"/>
          <w:bottom w:val="single" w:sz="8" w:space="0" w:color="9D936F"/>
          <w:right w:val="single" w:sz="8" w:space="0" w:color="9D936F"/>
        </w:tcBorders>
        <w:shd w:val="clear" w:color="auto" w:fill="E6E4DB"/>
      </w:tcPr>
    </w:tblStylePr>
    <w:tblStylePr w:type="band1Horz">
      <w:tblPr/>
      <w:tcPr>
        <w:tcBorders>
          <w:top w:val="single" w:sz="8" w:space="0" w:color="9D936F"/>
          <w:left w:val="single" w:sz="8" w:space="0" w:color="9D936F"/>
          <w:bottom w:val="single" w:sz="8" w:space="0" w:color="9D936F"/>
          <w:right w:val="single" w:sz="8" w:space="0" w:color="9D936F"/>
          <w:insideV w:val="single" w:sz="8" w:space="0" w:color="9D936F"/>
        </w:tcBorders>
        <w:shd w:val="clear" w:color="auto" w:fill="E6E4DB"/>
      </w:tcPr>
    </w:tblStylePr>
    <w:tblStylePr w:type="band2Horz">
      <w:tblPr/>
      <w:tcPr>
        <w:tcBorders>
          <w:top w:val="single" w:sz="8" w:space="0" w:color="9D936F"/>
          <w:left w:val="single" w:sz="8" w:space="0" w:color="9D936F"/>
          <w:bottom w:val="single" w:sz="8" w:space="0" w:color="9D936F"/>
          <w:right w:val="single" w:sz="8" w:space="0" w:color="9D936F"/>
          <w:insideV w:val="single" w:sz="8" w:space="0" w:color="9D936F"/>
        </w:tcBorders>
      </w:tcPr>
    </w:tblStylePr>
  </w:style>
  <w:style w:type="table" w:styleId="LightList">
    <w:name w:val="Light List"/>
    <w:basedOn w:val="TableNormal"/>
    <w:uiPriority w:val="6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tblPr>
      <w:tblStyleRowBandSize w:val="1"/>
      <w:tblStyleColBandSize w:val="1"/>
      <w:tblBorders>
        <w:top w:val="single" w:sz="8" w:space="0" w:color="7E97AD"/>
        <w:left w:val="single" w:sz="8" w:space="0" w:color="7E97AD"/>
        <w:bottom w:val="single" w:sz="8" w:space="0" w:color="7E97AD"/>
        <w:right w:val="single" w:sz="8" w:space="0" w:color="7E97AD"/>
      </w:tblBorders>
    </w:tblPr>
    <w:tblStylePr w:type="firstRow">
      <w:pPr>
        <w:spacing w:before="0" w:after="0" w:line="240" w:lineRule="auto"/>
      </w:pPr>
      <w:rPr>
        <w:b/>
        <w:bCs/>
        <w:color w:val="FFFFFF"/>
      </w:rPr>
      <w:tblPr/>
      <w:tcPr>
        <w:shd w:val="clear" w:color="auto" w:fill="7E97AD"/>
      </w:tcPr>
    </w:tblStylePr>
    <w:tblStylePr w:type="lastRow">
      <w:pPr>
        <w:spacing w:before="0" w:after="0" w:line="240" w:lineRule="auto"/>
      </w:pPr>
      <w:rPr>
        <w:b/>
        <w:bCs/>
      </w:rPr>
      <w:tblPr/>
      <w:tcPr>
        <w:tcBorders>
          <w:top w:val="double" w:sz="6" w:space="0" w:color="7E97AD"/>
          <w:left w:val="single" w:sz="8" w:space="0" w:color="7E97AD"/>
          <w:bottom w:val="single" w:sz="8" w:space="0" w:color="7E97AD"/>
          <w:right w:val="single" w:sz="8" w:space="0" w:color="7E97AD"/>
        </w:tcBorders>
      </w:tcPr>
    </w:tblStylePr>
    <w:tblStylePr w:type="firstCol">
      <w:rPr>
        <w:b/>
        <w:bCs/>
      </w:rPr>
    </w:tblStylePr>
    <w:tblStylePr w:type="lastCol">
      <w:rPr>
        <w:b/>
        <w:bCs/>
      </w:rPr>
    </w:tblStylePr>
    <w:tblStylePr w:type="band1Vert">
      <w:tblPr/>
      <w:tcPr>
        <w:tcBorders>
          <w:top w:val="single" w:sz="8" w:space="0" w:color="7E97AD"/>
          <w:left w:val="single" w:sz="8" w:space="0" w:color="7E97AD"/>
          <w:bottom w:val="single" w:sz="8" w:space="0" w:color="7E97AD"/>
          <w:right w:val="single" w:sz="8" w:space="0" w:color="7E97AD"/>
        </w:tcBorders>
      </w:tcPr>
    </w:tblStylePr>
    <w:tblStylePr w:type="band1Horz">
      <w:tblPr/>
      <w:tcPr>
        <w:tcBorders>
          <w:top w:val="single" w:sz="8" w:space="0" w:color="7E97AD"/>
          <w:left w:val="single" w:sz="8" w:space="0" w:color="7E97AD"/>
          <w:bottom w:val="single" w:sz="8" w:space="0" w:color="7E97AD"/>
          <w:right w:val="single" w:sz="8" w:space="0" w:color="7E97AD"/>
        </w:tcBorders>
      </w:tcPr>
    </w:tblStylePr>
  </w:style>
  <w:style w:type="table" w:styleId="LightList-Accent2">
    <w:name w:val="Light List Accent 2"/>
    <w:basedOn w:val="TableNormal"/>
    <w:uiPriority w:val="61"/>
    <w:tblPr>
      <w:tblStyleRowBandSize w:val="1"/>
      <w:tblStyleColBandSize w:val="1"/>
      <w:tblBorders>
        <w:top w:val="single" w:sz="8" w:space="0" w:color="CC8E60"/>
        <w:left w:val="single" w:sz="8" w:space="0" w:color="CC8E60"/>
        <w:bottom w:val="single" w:sz="8" w:space="0" w:color="CC8E60"/>
        <w:right w:val="single" w:sz="8" w:space="0" w:color="CC8E60"/>
      </w:tblBorders>
    </w:tblPr>
    <w:tblStylePr w:type="firstRow">
      <w:pPr>
        <w:spacing w:before="0" w:after="0" w:line="240" w:lineRule="auto"/>
      </w:pPr>
      <w:rPr>
        <w:b/>
        <w:bCs/>
        <w:color w:val="FFFFFF"/>
      </w:rPr>
      <w:tblPr/>
      <w:tcPr>
        <w:shd w:val="clear" w:color="auto" w:fill="CC8E60"/>
      </w:tcPr>
    </w:tblStylePr>
    <w:tblStylePr w:type="lastRow">
      <w:pPr>
        <w:spacing w:before="0" w:after="0" w:line="240" w:lineRule="auto"/>
      </w:pPr>
      <w:rPr>
        <w:b/>
        <w:bCs/>
      </w:rPr>
      <w:tblPr/>
      <w:tcPr>
        <w:tcBorders>
          <w:top w:val="double" w:sz="6" w:space="0" w:color="CC8E60"/>
          <w:left w:val="single" w:sz="8" w:space="0" w:color="CC8E60"/>
          <w:bottom w:val="single" w:sz="8" w:space="0" w:color="CC8E60"/>
          <w:right w:val="single" w:sz="8" w:space="0" w:color="CC8E60"/>
        </w:tcBorders>
      </w:tcPr>
    </w:tblStylePr>
    <w:tblStylePr w:type="firstCol">
      <w:rPr>
        <w:b/>
        <w:bCs/>
      </w:rPr>
    </w:tblStylePr>
    <w:tblStylePr w:type="lastCol">
      <w:rPr>
        <w:b/>
        <w:bCs/>
      </w:rPr>
    </w:tblStylePr>
    <w:tblStylePr w:type="band1Vert">
      <w:tblPr/>
      <w:tcPr>
        <w:tcBorders>
          <w:top w:val="single" w:sz="8" w:space="0" w:color="CC8E60"/>
          <w:left w:val="single" w:sz="8" w:space="0" w:color="CC8E60"/>
          <w:bottom w:val="single" w:sz="8" w:space="0" w:color="CC8E60"/>
          <w:right w:val="single" w:sz="8" w:space="0" w:color="CC8E60"/>
        </w:tcBorders>
      </w:tcPr>
    </w:tblStylePr>
    <w:tblStylePr w:type="band1Horz">
      <w:tblPr/>
      <w:tcPr>
        <w:tcBorders>
          <w:top w:val="single" w:sz="8" w:space="0" w:color="CC8E60"/>
          <w:left w:val="single" w:sz="8" w:space="0" w:color="CC8E60"/>
          <w:bottom w:val="single" w:sz="8" w:space="0" w:color="CC8E60"/>
          <w:right w:val="single" w:sz="8" w:space="0" w:color="CC8E60"/>
        </w:tcBorders>
      </w:tcPr>
    </w:tblStylePr>
  </w:style>
  <w:style w:type="table" w:styleId="LightList-Accent3">
    <w:name w:val="Light List Accent 3"/>
    <w:basedOn w:val="TableNormal"/>
    <w:uiPriority w:val="61"/>
    <w:tblPr>
      <w:tblStyleRowBandSize w:val="1"/>
      <w:tblStyleColBandSize w:val="1"/>
      <w:tblBorders>
        <w:top w:val="single" w:sz="8" w:space="0" w:color="7A6A60"/>
        <w:left w:val="single" w:sz="8" w:space="0" w:color="7A6A60"/>
        <w:bottom w:val="single" w:sz="8" w:space="0" w:color="7A6A60"/>
        <w:right w:val="single" w:sz="8" w:space="0" w:color="7A6A60"/>
      </w:tblBorders>
    </w:tblPr>
    <w:tblStylePr w:type="firstRow">
      <w:pPr>
        <w:spacing w:before="0" w:after="0" w:line="240" w:lineRule="auto"/>
      </w:pPr>
      <w:rPr>
        <w:b/>
        <w:bCs/>
        <w:color w:val="FFFFFF"/>
      </w:rPr>
      <w:tblPr/>
      <w:tcPr>
        <w:shd w:val="clear" w:color="auto" w:fill="7A6A60"/>
      </w:tcPr>
    </w:tblStylePr>
    <w:tblStylePr w:type="lastRow">
      <w:pPr>
        <w:spacing w:before="0" w:after="0" w:line="240" w:lineRule="auto"/>
      </w:pPr>
      <w:rPr>
        <w:b/>
        <w:bCs/>
      </w:rPr>
      <w:tblPr/>
      <w:tcPr>
        <w:tcBorders>
          <w:top w:val="double" w:sz="6" w:space="0" w:color="7A6A60"/>
          <w:left w:val="single" w:sz="8" w:space="0" w:color="7A6A60"/>
          <w:bottom w:val="single" w:sz="8" w:space="0" w:color="7A6A60"/>
          <w:right w:val="single" w:sz="8" w:space="0" w:color="7A6A60"/>
        </w:tcBorders>
      </w:tcPr>
    </w:tblStylePr>
    <w:tblStylePr w:type="firstCol">
      <w:rPr>
        <w:b/>
        <w:bCs/>
      </w:rPr>
    </w:tblStylePr>
    <w:tblStylePr w:type="lastCol">
      <w:rPr>
        <w:b/>
        <w:bCs/>
      </w:rPr>
    </w:tblStylePr>
    <w:tblStylePr w:type="band1Vert">
      <w:tblPr/>
      <w:tcPr>
        <w:tcBorders>
          <w:top w:val="single" w:sz="8" w:space="0" w:color="7A6A60"/>
          <w:left w:val="single" w:sz="8" w:space="0" w:color="7A6A60"/>
          <w:bottom w:val="single" w:sz="8" w:space="0" w:color="7A6A60"/>
          <w:right w:val="single" w:sz="8" w:space="0" w:color="7A6A60"/>
        </w:tcBorders>
      </w:tcPr>
    </w:tblStylePr>
    <w:tblStylePr w:type="band1Horz">
      <w:tblPr/>
      <w:tcPr>
        <w:tcBorders>
          <w:top w:val="single" w:sz="8" w:space="0" w:color="7A6A60"/>
          <w:left w:val="single" w:sz="8" w:space="0" w:color="7A6A60"/>
          <w:bottom w:val="single" w:sz="8" w:space="0" w:color="7A6A60"/>
          <w:right w:val="single" w:sz="8" w:space="0" w:color="7A6A60"/>
        </w:tcBorders>
      </w:tcPr>
    </w:tblStylePr>
  </w:style>
  <w:style w:type="table" w:styleId="LightList-Accent4">
    <w:name w:val="Light List Accent 4"/>
    <w:basedOn w:val="TableNormal"/>
    <w:uiPriority w:val="61"/>
    <w:tblPr>
      <w:tblStyleRowBandSize w:val="1"/>
      <w:tblStyleColBandSize w:val="1"/>
      <w:tblBorders>
        <w:top w:val="single" w:sz="8" w:space="0" w:color="B4936D"/>
        <w:left w:val="single" w:sz="8" w:space="0" w:color="B4936D"/>
        <w:bottom w:val="single" w:sz="8" w:space="0" w:color="B4936D"/>
        <w:right w:val="single" w:sz="8" w:space="0" w:color="B4936D"/>
      </w:tblBorders>
    </w:tblPr>
    <w:tblStylePr w:type="firstRow">
      <w:pPr>
        <w:spacing w:before="0" w:after="0" w:line="240" w:lineRule="auto"/>
      </w:pPr>
      <w:rPr>
        <w:b/>
        <w:bCs/>
        <w:color w:val="FFFFFF"/>
      </w:rPr>
      <w:tblPr/>
      <w:tcPr>
        <w:shd w:val="clear" w:color="auto" w:fill="B4936D"/>
      </w:tcPr>
    </w:tblStylePr>
    <w:tblStylePr w:type="lastRow">
      <w:pPr>
        <w:spacing w:before="0" w:after="0" w:line="240" w:lineRule="auto"/>
      </w:pPr>
      <w:rPr>
        <w:b/>
        <w:bCs/>
      </w:rPr>
      <w:tblPr/>
      <w:tcPr>
        <w:tcBorders>
          <w:top w:val="double" w:sz="6" w:space="0" w:color="B4936D"/>
          <w:left w:val="single" w:sz="8" w:space="0" w:color="B4936D"/>
          <w:bottom w:val="single" w:sz="8" w:space="0" w:color="B4936D"/>
          <w:right w:val="single" w:sz="8" w:space="0" w:color="B4936D"/>
        </w:tcBorders>
      </w:tcPr>
    </w:tblStylePr>
    <w:tblStylePr w:type="firstCol">
      <w:rPr>
        <w:b/>
        <w:bCs/>
      </w:rPr>
    </w:tblStylePr>
    <w:tblStylePr w:type="lastCol">
      <w:rPr>
        <w:b/>
        <w:bCs/>
      </w:rPr>
    </w:tblStylePr>
    <w:tblStylePr w:type="band1Vert">
      <w:tblPr/>
      <w:tcPr>
        <w:tcBorders>
          <w:top w:val="single" w:sz="8" w:space="0" w:color="B4936D"/>
          <w:left w:val="single" w:sz="8" w:space="0" w:color="B4936D"/>
          <w:bottom w:val="single" w:sz="8" w:space="0" w:color="B4936D"/>
          <w:right w:val="single" w:sz="8" w:space="0" w:color="B4936D"/>
        </w:tcBorders>
      </w:tcPr>
    </w:tblStylePr>
    <w:tblStylePr w:type="band1Horz">
      <w:tblPr/>
      <w:tcPr>
        <w:tcBorders>
          <w:top w:val="single" w:sz="8" w:space="0" w:color="B4936D"/>
          <w:left w:val="single" w:sz="8" w:space="0" w:color="B4936D"/>
          <w:bottom w:val="single" w:sz="8" w:space="0" w:color="B4936D"/>
          <w:right w:val="single" w:sz="8" w:space="0" w:color="B4936D"/>
        </w:tcBorders>
      </w:tcPr>
    </w:tblStylePr>
  </w:style>
  <w:style w:type="table" w:styleId="LightList-Accent5">
    <w:name w:val="Light List Accent 5"/>
    <w:basedOn w:val="TableNormal"/>
    <w:uiPriority w:val="61"/>
    <w:tblPr>
      <w:tblStyleRowBandSize w:val="1"/>
      <w:tblStyleColBandSize w:val="1"/>
      <w:tblBorders>
        <w:top w:val="single" w:sz="8" w:space="0" w:color="67787B"/>
        <w:left w:val="single" w:sz="8" w:space="0" w:color="67787B"/>
        <w:bottom w:val="single" w:sz="8" w:space="0" w:color="67787B"/>
        <w:right w:val="single" w:sz="8" w:space="0" w:color="67787B"/>
      </w:tblBorders>
    </w:tblPr>
    <w:tblStylePr w:type="firstRow">
      <w:pPr>
        <w:spacing w:before="0" w:after="0" w:line="240" w:lineRule="auto"/>
      </w:pPr>
      <w:rPr>
        <w:b/>
        <w:bCs/>
        <w:color w:val="FFFFFF"/>
      </w:rPr>
      <w:tblPr/>
      <w:tcPr>
        <w:shd w:val="clear" w:color="auto" w:fill="67787B"/>
      </w:tcPr>
    </w:tblStylePr>
    <w:tblStylePr w:type="lastRow">
      <w:pPr>
        <w:spacing w:before="0" w:after="0" w:line="240" w:lineRule="auto"/>
      </w:pPr>
      <w:rPr>
        <w:b/>
        <w:bCs/>
      </w:rPr>
      <w:tblPr/>
      <w:tcPr>
        <w:tcBorders>
          <w:top w:val="double" w:sz="6" w:space="0" w:color="67787B"/>
          <w:left w:val="single" w:sz="8" w:space="0" w:color="67787B"/>
          <w:bottom w:val="single" w:sz="8" w:space="0" w:color="67787B"/>
          <w:right w:val="single" w:sz="8" w:space="0" w:color="67787B"/>
        </w:tcBorders>
      </w:tcPr>
    </w:tblStylePr>
    <w:tblStylePr w:type="firstCol">
      <w:rPr>
        <w:b/>
        <w:bCs/>
      </w:rPr>
    </w:tblStylePr>
    <w:tblStylePr w:type="lastCol">
      <w:rPr>
        <w:b/>
        <w:bCs/>
      </w:rPr>
    </w:tblStylePr>
    <w:tblStylePr w:type="band1Vert">
      <w:tblPr/>
      <w:tcPr>
        <w:tcBorders>
          <w:top w:val="single" w:sz="8" w:space="0" w:color="67787B"/>
          <w:left w:val="single" w:sz="8" w:space="0" w:color="67787B"/>
          <w:bottom w:val="single" w:sz="8" w:space="0" w:color="67787B"/>
          <w:right w:val="single" w:sz="8" w:space="0" w:color="67787B"/>
        </w:tcBorders>
      </w:tcPr>
    </w:tblStylePr>
    <w:tblStylePr w:type="band1Horz">
      <w:tblPr/>
      <w:tcPr>
        <w:tcBorders>
          <w:top w:val="single" w:sz="8" w:space="0" w:color="67787B"/>
          <w:left w:val="single" w:sz="8" w:space="0" w:color="67787B"/>
          <w:bottom w:val="single" w:sz="8" w:space="0" w:color="67787B"/>
          <w:right w:val="single" w:sz="8" w:space="0" w:color="67787B"/>
        </w:tcBorders>
      </w:tcPr>
    </w:tblStylePr>
  </w:style>
  <w:style w:type="table" w:styleId="LightList-Accent6">
    <w:name w:val="Light List Accent 6"/>
    <w:basedOn w:val="TableNormal"/>
    <w:uiPriority w:val="61"/>
    <w:tblPr>
      <w:tblStyleRowBandSize w:val="1"/>
      <w:tblStyleColBandSize w:val="1"/>
      <w:tblBorders>
        <w:top w:val="single" w:sz="8" w:space="0" w:color="9D936F"/>
        <w:left w:val="single" w:sz="8" w:space="0" w:color="9D936F"/>
        <w:bottom w:val="single" w:sz="8" w:space="0" w:color="9D936F"/>
        <w:right w:val="single" w:sz="8" w:space="0" w:color="9D936F"/>
      </w:tblBorders>
    </w:tblPr>
    <w:tblStylePr w:type="firstRow">
      <w:pPr>
        <w:spacing w:before="0" w:after="0" w:line="240" w:lineRule="auto"/>
      </w:pPr>
      <w:rPr>
        <w:b/>
        <w:bCs/>
        <w:color w:val="FFFFFF"/>
      </w:rPr>
      <w:tblPr/>
      <w:tcPr>
        <w:shd w:val="clear" w:color="auto" w:fill="9D936F"/>
      </w:tcPr>
    </w:tblStylePr>
    <w:tblStylePr w:type="lastRow">
      <w:pPr>
        <w:spacing w:before="0" w:after="0" w:line="240" w:lineRule="auto"/>
      </w:pPr>
      <w:rPr>
        <w:b/>
        <w:bCs/>
      </w:rPr>
      <w:tblPr/>
      <w:tcPr>
        <w:tcBorders>
          <w:top w:val="double" w:sz="6" w:space="0" w:color="9D936F"/>
          <w:left w:val="single" w:sz="8" w:space="0" w:color="9D936F"/>
          <w:bottom w:val="single" w:sz="8" w:space="0" w:color="9D936F"/>
          <w:right w:val="single" w:sz="8" w:space="0" w:color="9D936F"/>
        </w:tcBorders>
      </w:tcPr>
    </w:tblStylePr>
    <w:tblStylePr w:type="firstCol">
      <w:rPr>
        <w:b/>
        <w:bCs/>
      </w:rPr>
    </w:tblStylePr>
    <w:tblStylePr w:type="lastCol">
      <w:rPr>
        <w:b/>
        <w:bCs/>
      </w:rPr>
    </w:tblStylePr>
    <w:tblStylePr w:type="band1Vert">
      <w:tblPr/>
      <w:tcPr>
        <w:tcBorders>
          <w:top w:val="single" w:sz="8" w:space="0" w:color="9D936F"/>
          <w:left w:val="single" w:sz="8" w:space="0" w:color="9D936F"/>
          <w:bottom w:val="single" w:sz="8" w:space="0" w:color="9D936F"/>
          <w:right w:val="single" w:sz="8" w:space="0" w:color="9D936F"/>
        </w:tcBorders>
      </w:tcPr>
    </w:tblStylePr>
    <w:tblStylePr w:type="band1Horz">
      <w:tblPr/>
      <w:tcPr>
        <w:tcBorders>
          <w:top w:val="single" w:sz="8" w:space="0" w:color="9D936F"/>
          <w:left w:val="single" w:sz="8" w:space="0" w:color="9D936F"/>
          <w:bottom w:val="single" w:sz="8" w:space="0" w:color="9D936F"/>
          <w:right w:val="single" w:sz="8" w:space="0" w:color="9D936F"/>
        </w:tcBorders>
      </w:tcPr>
    </w:tblStylePr>
  </w:style>
  <w:style w:type="table" w:styleId="LightShading">
    <w:name w:val="Light Shading"/>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Pr>
      <w:color w:val="577188"/>
    </w:rPr>
    <w:tblPr>
      <w:tblStyleRowBandSize w:val="1"/>
      <w:tblStyleColBandSize w:val="1"/>
      <w:tblBorders>
        <w:top w:val="single" w:sz="8" w:space="0" w:color="7E97AD"/>
        <w:bottom w:val="single" w:sz="8" w:space="0" w:color="7E97AD"/>
      </w:tblBorders>
    </w:tblPr>
    <w:tblStylePr w:type="firstRow">
      <w:pPr>
        <w:spacing w:before="0" w:after="0" w:line="240" w:lineRule="auto"/>
      </w:pPr>
      <w:rPr>
        <w:b/>
        <w:bCs/>
      </w:rPr>
      <w:tblPr/>
      <w:tcPr>
        <w:tcBorders>
          <w:top w:val="single" w:sz="8" w:space="0" w:color="7E97AD"/>
          <w:left w:val="nil"/>
          <w:bottom w:val="single" w:sz="8" w:space="0" w:color="7E97AD"/>
          <w:right w:val="nil"/>
          <w:insideH w:val="nil"/>
          <w:insideV w:val="nil"/>
        </w:tcBorders>
      </w:tcPr>
    </w:tblStylePr>
    <w:tblStylePr w:type="lastRow">
      <w:pPr>
        <w:spacing w:before="0" w:after="0" w:line="240" w:lineRule="auto"/>
      </w:pPr>
      <w:rPr>
        <w:b/>
        <w:bCs/>
      </w:rPr>
      <w:tblPr/>
      <w:tcPr>
        <w:tcBorders>
          <w:top w:val="single" w:sz="8" w:space="0" w:color="7E97AD"/>
          <w:left w:val="nil"/>
          <w:bottom w:val="single" w:sz="8" w:space="0" w:color="7E97A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5EA"/>
      </w:tcPr>
    </w:tblStylePr>
    <w:tblStylePr w:type="band1Horz">
      <w:tblPr/>
      <w:tcPr>
        <w:tcBorders>
          <w:left w:val="nil"/>
          <w:right w:val="nil"/>
          <w:insideH w:val="nil"/>
          <w:insideV w:val="nil"/>
        </w:tcBorders>
        <w:shd w:val="clear" w:color="auto" w:fill="DFE5EA"/>
      </w:tcPr>
    </w:tblStylePr>
  </w:style>
  <w:style w:type="table" w:styleId="LightShading-Accent2">
    <w:name w:val="Light Shading Accent 2"/>
    <w:basedOn w:val="TableNormal"/>
    <w:uiPriority w:val="60"/>
    <w:rPr>
      <w:color w:val="AA6736"/>
    </w:rPr>
    <w:tblPr>
      <w:tblStyleRowBandSize w:val="1"/>
      <w:tblStyleColBandSize w:val="1"/>
      <w:tblBorders>
        <w:top w:val="single" w:sz="8" w:space="0" w:color="CC8E60"/>
        <w:bottom w:val="single" w:sz="8" w:space="0" w:color="CC8E60"/>
      </w:tblBorders>
    </w:tblPr>
    <w:tblStylePr w:type="firstRow">
      <w:pPr>
        <w:spacing w:before="0" w:after="0" w:line="240" w:lineRule="auto"/>
      </w:pPr>
      <w:rPr>
        <w:b/>
        <w:bCs/>
      </w:rPr>
      <w:tblPr/>
      <w:tcPr>
        <w:tcBorders>
          <w:top w:val="single" w:sz="8" w:space="0" w:color="CC8E60"/>
          <w:left w:val="nil"/>
          <w:bottom w:val="single" w:sz="8" w:space="0" w:color="CC8E60"/>
          <w:right w:val="nil"/>
          <w:insideH w:val="nil"/>
          <w:insideV w:val="nil"/>
        </w:tcBorders>
      </w:tcPr>
    </w:tblStylePr>
    <w:tblStylePr w:type="lastRow">
      <w:pPr>
        <w:spacing w:before="0" w:after="0" w:line="240" w:lineRule="auto"/>
      </w:pPr>
      <w:rPr>
        <w:b/>
        <w:bCs/>
      </w:rPr>
      <w:tblPr/>
      <w:tcPr>
        <w:tcBorders>
          <w:top w:val="single" w:sz="8" w:space="0" w:color="CC8E60"/>
          <w:left w:val="nil"/>
          <w:bottom w:val="single" w:sz="8" w:space="0" w:color="CC8E6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E2D7"/>
      </w:tcPr>
    </w:tblStylePr>
    <w:tblStylePr w:type="band1Horz">
      <w:tblPr/>
      <w:tcPr>
        <w:tcBorders>
          <w:left w:val="nil"/>
          <w:right w:val="nil"/>
          <w:insideH w:val="nil"/>
          <w:insideV w:val="nil"/>
        </w:tcBorders>
        <w:shd w:val="clear" w:color="auto" w:fill="F2E2D7"/>
      </w:tcPr>
    </w:tblStylePr>
  </w:style>
  <w:style w:type="table" w:styleId="LightShading-Accent3">
    <w:name w:val="Light Shading Accent 3"/>
    <w:basedOn w:val="TableNormal"/>
    <w:uiPriority w:val="60"/>
    <w:rPr>
      <w:color w:val="5B4F47"/>
    </w:rPr>
    <w:tblPr>
      <w:tblStyleRowBandSize w:val="1"/>
      <w:tblStyleColBandSize w:val="1"/>
      <w:tblBorders>
        <w:top w:val="single" w:sz="8" w:space="0" w:color="7A6A60"/>
        <w:bottom w:val="single" w:sz="8" w:space="0" w:color="7A6A60"/>
      </w:tblBorders>
    </w:tblPr>
    <w:tblStylePr w:type="firstRow">
      <w:pPr>
        <w:spacing w:before="0" w:after="0" w:line="240" w:lineRule="auto"/>
      </w:pPr>
      <w:rPr>
        <w:b/>
        <w:bCs/>
      </w:rPr>
      <w:tblPr/>
      <w:tcPr>
        <w:tcBorders>
          <w:top w:val="single" w:sz="8" w:space="0" w:color="7A6A60"/>
          <w:left w:val="nil"/>
          <w:bottom w:val="single" w:sz="8" w:space="0" w:color="7A6A60"/>
          <w:right w:val="nil"/>
          <w:insideH w:val="nil"/>
          <w:insideV w:val="nil"/>
        </w:tcBorders>
      </w:tcPr>
    </w:tblStylePr>
    <w:tblStylePr w:type="lastRow">
      <w:pPr>
        <w:spacing w:before="0" w:after="0" w:line="240" w:lineRule="auto"/>
      </w:pPr>
      <w:rPr>
        <w:b/>
        <w:bCs/>
      </w:rPr>
      <w:tblPr/>
      <w:tcPr>
        <w:tcBorders>
          <w:top w:val="single" w:sz="8" w:space="0" w:color="7A6A60"/>
          <w:left w:val="nil"/>
          <w:bottom w:val="single" w:sz="8" w:space="0" w:color="7A6A6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9D6"/>
      </w:tcPr>
    </w:tblStylePr>
    <w:tblStylePr w:type="band1Horz">
      <w:tblPr/>
      <w:tcPr>
        <w:tcBorders>
          <w:left w:val="nil"/>
          <w:right w:val="nil"/>
          <w:insideH w:val="nil"/>
          <w:insideV w:val="nil"/>
        </w:tcBorders>
        <w:shd w:val="clear" w:color="auto" w:fill="DFD9D6"/>
      </w:tcPr>
    </w:tblStylePr>
  </w:style>
  <w:style w:type="table" w:styleId="LightShading-Accent4">
    <w:name w:val="Light Shading Accent 4"/>
    <w:basedOn w:val="TableNormal"/>
    <w:uiPriority w:val="60"/>
    <w:rPr>
      <w:color w:val="8E6E49"/>
    </w:rPr>
    <w:tblPr>
      <w:tblStyleRowBandSize w:val="1"/>
      <w:tblStyleColBandSize w:val="1"/>
      <w:tblBorders>
        <w:top w:val="single" w:sz="8" w:space="0" w:color="B4936D"/>
        <w:bottom w:val="single" w:sz="8" w:space="0" w:color="B4936D"/>
      </w:tblBorders>
    </w:tblPr>
    <w:tblStylePr w:type="firstRow">
      <w:pPr>
        <w:spacing w:before="0" w:after="0" w:line="240" w:lineRule="auto"/>
      </w:pPr>
      <w:rPr>
        <w:b/>
        <w:bCs/>
      </w:rPr>
      <w:tblPr/>
      <w:tcPr>
        <w:tcBorders>
          <w:top w:val="single" w:sz="8" w:space="0" w:color="B4936D"/>
          <w:left w:val="nil"/>
          <w:bottom w:val="single" w:sz="8" w:space="0" w:color="B4936D"/>
          <w:right w:val="nil"/>
          <w:insideH w:val="nil"/>
          <w:insideV w:val="nil"/>
        </w:tcBorders>
      </w:tcPr>
    </w:tblStylePr>
    <w:tblStylePr w:type="lastRow">
      <w:pPr>
        <w:spacing w:before="0" w:after="0" w:line="240" w:lineRule="auto"/>
      </w:pPr>
      <w:rPr>
        <w:b/>
        <w:bCs/>
      </w:rPr>
      <w:tblPr/>
      <w:tcPr>
        <w:tcBorders>
          <w:top w:val="single" w:sz="8" w:space="0" w:color="B4936D"/>
          <w:left w:val="nil"/>
          <w:bottom w:val="single" w:sz="8" w:space="0" w:color="B4936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4DA"/>
      </w:tcPr>
    </w:tblStylePr>
    <w:tblStylePr w:type="band1Horz">
      <w:tblPr/>
      <w:tcPr>
        <w:tcBorders>
          <w:left w:val="nil"/>
          <w:right w:val="nil"/>
          <w:insideH w:val="nil"/>
          <w:insideV w:val="nil"/>
        </w:tcBorders>
        <w:shd w:val="clear" w:color="auto" w:fill="ECE4DA"/>
      </w:tcPr>
    </w:tblStylePr>
  </w:style>
  <w:style w:type="table" w:styleId="LightShading-Accent5">
    <w:name w:val="Light Shading Accent 5"/>
    <w:basedOn w:val="TableNormal"/>
    <w:uiPriority w:val="60"/>
    <w:rPr>
      <w:color w:val="4D595B"/>
    </w:rPr>
    <w:tblPr>
      <w:tblStyleRowBandSize w:val="1"/>
      <w:tblStyleColBandSize w:val="1"/>
      <w:tblBorders>
        <w:top w:val="single" w:sz="8" w:space="0" w:color="67787B"/>
        <w:bottom w:val="single" w:sz="8" w:space="0" w:color="67787B"/>
      </w:tblBorders>
    </w:tblPr>
    <w:tblStylePr w:type="firstRow">
      <w:pPr>
        <w:spacing w:before="0" w:after="0" w:line="240" w:lineRule="auto"/>
      </w:pPr>
      <w:rPr>
        <w:b/>
        <w:bCs/>
      </w:rPr>
      <w:tblPr/>
      <w:tcPr>
        <w:tcBorders>
          <w:top w:val="single" w:sz="8" w:space="0" w:color="67787B"/>
          <w:left w:val="nil"/>
          <w:bottom w:val="single" w:sz="8" w:space="0" w:color="67787B"/>
          <w:right w:val="nil"/>
          <w:insideH w:val="nil"/>
          <w:insideV w:val="nil"/>
        </w:tcBorders>
      </w:tcPr>
    </w:tblStylePr>
    <w:tblStylePr w:type="lastRow">
      <w:pPr>
        <w:spacing w:before="0" w:after="0" w:line="240" w:lineRule="auto"/>
      </w:pPr>
      <w:rPr>
        <w:b/>
        <w:bCs/>
      </w:rPr>
      <w:tblPr/>
      <w:tcPr>
        <w:tcBorders>
          <w:top w:val="single" w:sz="8" w:space="0" w:color="67787B"/>
          <w:left w:val="nil"/>
          <w:bottom w:val="single" w:sz="8" w:space="0" w:color="67787B"/>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DEDF"/>
      </w:tcPr>
    </w:tblStylePr>
    <w:tblStylePr w:type="band1Horz">
      <w:tblPr/>
      <w:tcPr>
        <w:tcBorders>
          <w:left w:val="nil"/>
          <w:right w:val="nil"/>
          <w:insideH w:val="nil"/>
          <w:insideV w:val="nil"/>
        </w:tcBorders>
        <w:shd w:val="clear" w:color="auto" w:fill="D8DEDF"/>
      </w:tcPr>
    </w:tblStylePr>
  </w:style>
  <w:style w:type="table" w:styleId="LightShading-Accent6">
    <w:name w:val="Light Shading Accent 6"/>
    <w:basedOn w:val="TableNormal"/>
    <w:uiPriority w:val="60"/>
    <w:rPr>
      <w:color w:val="776E51"/>
    </w:rPr>
    <w:tblPr>
      <w:tblStyleRowBandSize w:val="1"/>
      <w:tblStyleColBandSize w:val="1"/>
      <w:tblBorders>
        <w:top w:val="single" w:sz="8" w:space="0" w:color="9D936F"/>
        <w:bottom w:val="single" w:sz="8" w:space="0" w:color="9D936F"/>
      </w:tblBorders>
    </w:tblPr>
    <w:tblStylePr w:type="firstRow">
      <w:pPr>
        <w:spacing w:before="0" w:after="0" w:line="240" w:lineRule="auto"/>
      </w:pPr>
      <w:rPr>
        <w:b/>
        <w:bCs/>
      </w:rPr>
      <w:tblPr/>
      <w:tcPr>
        <w:tcBorders>
          <w:top w:val="single" w:sz="8" w:space="0" w:color="9D936F"/>
          <w:left w:val="nil"/>
          <w:bottom w:val="single" w:sz="8" w:space="0" w:color="9D936F"/>
          <w:right w:val="nil"/>
          <w:insideH w:val="nil"/>
          <w:insideV w:val="nil"/>
        </w:tcBorders>
      </w:tcPr>
    </w:tblStylePr>
    <w:tblStylePr w:type="lastRow">
      <w:pPr>
        <w:spacing w:before="0" w:after="0" w:line="240" w:lineRule="auto"/>
      </w:pPr>
      <w:rPr>
        <w:b/>
        <w:bCs/>
      </w:rPr>
      <w:tblPr/>
      <w:tcPr>
        <w:tcBorders>
          <w:top w:val="single" w:sz="8" w:space="0" w:color="9D936F"/>
          <w:left w:val="nil"/>
          <w:bottom w:val="single" w:sz="8" w:space="0" w:color="9D93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4DB"/>
      </w:tcPr>
    </w:tblStylePr>
    <w:tblStylePr w:type="band1Horz">
      <w:tblPr/>
      <w:tcPr>
        <w:tcBorders>
          <w:left w:val="nil"/>
          <w:right w:val="nil"/>
          <w:insideH w:val="nil"/>
          <w:insideV w:val="nil"/>
        </w:tcBorders>
        <w:shd w:val="clear" w:color="auto" w:fill="E6E4DB"/>
      </w:tcPr>
    </w:tblStylePr>
  </w:style>
  <w:style w:type="character" w:styleId="LineNumber">
    <w:name w:val="line number"/>
    <w:basedOn w:val="DefaultParagraphFont"/>
    <w:uiPriority w:val="99"/>
    <w:semiHidden/>
    <w:unhideWhenUsed/>
    <w:rPr>
      <w:rFonts w:asciiTheme="minorHAnsi" w:hAnsiTheme="minorHAnsi"/>
    </w:rPr>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qFormat/>
    <w:rsid w:val="00D32F3E"/>
    <w:pPr>
      <w:numPr>
        <w:numId w:val="6"/>
      </w:numPr>
      <w:spacing w:before="120" w:after="40"/>
      <w:ind w:left="357" w:hanging="357"/>
    </w:pPr>
    <w:rPr>
      <w:lang w:val="en-GB"/>
    </w:rPr>
  </w:style>
  <w:style w:type="paragraph" w:styleId="ListBullet2">
    <w:name w:val="List Bullet 2"/>
    <w:basedOn w:val="Normal"/>
    <w:uiPriority w:val="99"/>
    <w:unhideWhenUsed/>
    <w:rsid w:val="003C66CD"/>
    <w:pPr>
      <w:numPr>
        <w:numId w:val="1"/>
      </w:numPr>
      <w:spacing w:after="40"/>
      <w:ind w:left="714" w:hanging="357"/>
      <w:contextualSpacing/>
    </w:pPr>
  </w:style>
  <w:style w:type="paragraph" w:styleId="ListBullet3">
    <w:name w:val="List Bullet 3"/>
    <w:basedOn w:val="Normal"/>
    <w:uiPriority w:val="99"/>
    <w:unhideWhenUsed/>
    <w:rsid w:val="00A35DA7"/>
    <w:pPr>
      <w:numPr>
        <w:numId w:val="2"/>
      </w:numPr>
      <w:spacing w:after="40"/>
      <w:contextualSpacing/>
    </w:pPr>
  </w:style>
  <w:style w:type="numbering" w:customStyle="1" w:styleId="CurrentList30">
    <w:name w:val="Current List30"/>
    <w:uiPriority w:val="99"/>
    <w:rsid w:val="003C66CD"/>
    <w:pPr>
      <w:numPr>
        <w:numId w:val="36"/>
      </w:numPr>
    </w:pPr>
  </w:style>
  <w:style w:type="paragraph" w:styleId="ListBullet5">
    <w:name w:val="List Bullet 5"/>
    <w:basedOn w:val="Normal"/>
    <w:uiPriority w:val="99"/>
    <w:semiHidden/>
    <w:unhideWhenUsed/>
    <w:pPr>
      <w:numPr>
        <w:numId w:val="3"/>
      </w:numPr>
      <w:contextualSpacing/>
    </w:pPr>
  </w:style>
  <w:style w:type="paragraph" w:styleId="ListContinue">
    <w:name w:val="List Continue"/>
    <w:basedOn w:val="Normal"/>
    <w:uiPriority w:val="99"/>
    <w:unhideWhenUsed/>
    <w:pPr>
      <w:spacing w:after="120"/>
      <w:ind w:left="360"/>
      <w:contextualSpacing/>
    </w:pPr>
  </w:style>
  <w:style w:type="paragraph" w:styleId="ListContinue2">
    <w:name w:val="List Continue 2"/>
    <w:basedOn w:val="Normal"/>
    <w:uiPriority w:val="99"/>
    <w:unhideWhenUsed/>
    <w:pPr>
      <w:spacing w:after="120"/>
      <w:ind w:left="720"/>
      <w:contextualSpacing/>
    </w:pPr>
  </w:style>
  <w:style w:type="paragraph" w:styleId="ListContinue3">
    <w:name w:val="List Continue 3"/>
    <w:basedOn w:val="Normal"/>
    <w:uiPriority w:val="99"/>
    <w:unhideWhenUsed/>
    <w:pPr>
      <w:spacing w:after="120"/>
      <w:ind w:left="1080"/>
      <w:contextualSpacing/>
    </w:pPr>
  </w:style>
  <w:style w:type="paragraph" w:styleId="ListContinue4">
    <w:name w:val="List Continue 4"/>
    <w:basedOn w:val="Normal"/>
    <w:uiPriority w:val="99"/>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customStyle="1" w:styleId="Contactinfo">
    <w:name w:val="Contact info"/>
    <w:basedOn w:val="Heading1"/>
    <w:qFormat/>
    <w:rsid w:val="009B0D73"/>
    <w:pPr>
      <w:numPr>
        <w:numId w:val="0"/>
      </w:numPr>
    </w:pPr>
    <w:rPr>
      <w:color w:val="BAFDF4" w:themeColor="accent2" w:themeTint="33"/>
      <w:sz w:val="36"/>
    </w:rPr>
  </w:style>
  <w:style w:type="paragraph" w:styleId="ListNumber">
    <w:name w:val="List Number"/>
    <w:basedOn w:val="Normal"/>
    <w:uiPriority w:val="99"/>
    <w:unhideWhenUsed/>
    <w:qFormat/>
    <w:rsid w:val="00291B94"/>
    <w:pPr>
      <w:numPr>
        <w:numId w:val="45"/>
      </w:numPr>
      <w:spacing w:after="40"/>
      <w:contextualSpacing/>
    </w:pPr>
  </w:style>
  <w:style w:type="paragraph" w:styleId="ListNumber4">
    <w:name w:val="List Number 4"/>
    <w:basedOn w:val="Normal"/>
    <w:uiPriority w:val="18"/>
    <w:semiHidden/>
    <w:unhideWhenUsed/>
    <w:rsid w:val="002232A2"/>
    <w:pPr>
      <w:numPr>
        <w:ilvl w:val="3"/>
        <w:numId w:val="5"/>
      </w:numPr>
      <w:contextualSpacing/>
    </w:pPr>
  </w:style>
  <w:style w:type="paragraph" w:styleId="ListNumber5">
    <w:name w:val="List Number 5"/>
    <w:basedOn w:val="Normal"/>
    <w:uiPriority w:val="18"/>
    <w:semiHidden/>
    <w:unhideWhenUsed/>
    <w:rsid w:val="002232A2"/>
    <w:pPr>
      <w:numPr>
        <w:ilvl w:val="4"/>
        <w:numId w:val="5"/>
      </w:numPr>
      <w:contextualSpacing/>
    </w:pPr>
  </w:style>
  <w:style w:type="paragraph" w:styleId="ListParagraph">
    <w:name w:val="List Paragraph"/>
    <w:aliases w:val="List Paragraph Numbered list level1"/>
    <w:basedOn w:val="Normal"/>
    <w:uiPriority w:val="34"/>
    <w:unhideWhenUsed/>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before="40" w:line="300" w:lineRule="auto"/>
    </w:pPr>
    <w:rPr>
      <w:rFonts w:ascii="Consolas" w:hAnsi="Consolas" w:cs="Consolas"/>
      <w:color w:val="595959"/>
      <w:lang w:val="en-US" w:eastAsia="ja-JP"/>
    </w:rPr>
  </w:style>
  <w:style w:type="character" w:customStyle="1" w:styleId="MacroTextChar">
    <w:name w:val="Macro Text Char"/>
    <w:link w:val="MacroText"/>
    <w:uiPriority w:val="99"/>
    <w:semiHidden/>
    <w:rPr>
      <w:rFonts w:ascii="Consolas" w:hAnsi="Consolas" w:cs="Consolas"/>
      <w:sz w:val="20"/>
    </w:rPr>
  </w:style>
  <w:style w:type="table" w:styleId="MediumGrid1">
    <w:name w:val="Medium Grid 1"/>
    <w:basedOn w:val="TableNormal"/>
    <w:uiPriority w:val="6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tblPr>
      <w:tblStyleRowBandSize w:val="1"/>
      <w:tblStyleColBandSize w:val="1"/>
      <w:tblBorders>
        <w:top w:val="single" w:sz="8" w:space="0" w:color="9EB0C1"/>
        <w:left w:val="single" w:sz="8" w:space="0" w:color="9EB0C1"/>
        <w:bottom w:val="single" w:sz="8" w:space="0" w:color="9EB0C1"/>
        <w:right w:val="single" w:sz="8" w:space="0" w:color="9EB0C1"/>
        <w:insideH w:val="single" w:sz="8" w:space="0" w:color="9EB0C1"/>
        <w:insideV w:val="single" w:sz="8" w:space="0" w:color="9EB0C1"/>
      </w:tblBorders>
    </w:tblPr>
    <w:tcPr>
      <w:shd w:val="clear" w:color="auto" w:fill="DFE5EA"/>
    </w:tcPr>
    <w:tblStylePr w:type="firstRow">
      <w:rPr>
        <w:b/>
        <w:bCs/>
      </w:rPr>
    </w:tblStylePr>
    <w:tblStylePr w:type="lastRow">
      <w:rPr>
        <w:b/>
        <w:bCs/>
      </w:rPr>
      <w:tblPr/>
      <w:tcPr>
        <w:tcBorders>
          <w:top w:val="single" w:sz="18" w:space="0" w:color="9EB0C1"/>
        </w:tcBorders>
      </w:tcPr>
    </w:tblStylePr>
    <w:tblStylePr w:type="firstCol">
      <w:rPr>
        <w:b/>
        <w:bCs/>
      </w:rPr>
    </w:tblStylePr>
    <w:tblStylePr w:type="lastCol">
      <w:rPr>
        <w:b/>
        <w:bCs/>
      </w:rPr>
    </w:tblStylePr>
    <w:tblStylePr w:type="band1Vert">
      <w:tblPr/>
      <w:tcPr>
        <w:shd w:val="clear" w:color="auto" w:fill="BECBD6"/>
      </w:tcPr>
    </w:tblStylePr>
    <w:tblStylePr w:type="band1Horz">
      <w:tblPr/>
      <w:tcPr>
        <w:shd w:val="clear" w:color="auto" w:fill="BECBD6"/>
      </w:tcPr>
    </w:tblStylePr>
  </w:style>
  <w:style w:type="table" w:styleId="MediumGrid1-Accent2">
    <w:name w:val="Medium Grid 1 Accent 2"/>
    <w:basedOn w:val="TableNormal"/>
    <w:uiPriority w:val="67"/>
    <w:tblPr>
      <w:tblStyleRowBandSize w:val="1"/>
      <w:tblStyleColBandSize w:val="1"/>
      <w:tblBorders>
        <w:top w:val="single" w:sz="8" w:space="0" w:color="D8AA87"/>
        <w:left w:val="single" w:sz="8" w:space="0" w:color="D8AA87"/>
        <w:bottom w:val="single" w:sz="8" w:space="0" w:color="D8AA87"/>
        <w:right w:val="single" w:sz="8" w:space="0" w:color="D8AA87"/>
        <w:insideH w:val="single" w:sz="8" w:space="0" w:color="D8AA87"/>
        <w:insideV w:val="single" w:sz="8" w:space="0" w:color="D8AA87"/>
      </w:tblBorders>
    </w:tblPr>
    <w:tcPr>
      <w:shd w:val="clear" w:color="auto" w:fill="F2E2D7"/>
    </w:tcPr>
    <w:tblStylePr w:type="firstRow">
      <w:rPr>
        <w:b/>
        <w:bCs/>
      </w:rPr>
    </w:tblStylePr>
    <w:tblStylePr w:type="lastRow">
      <w:rPr>
        <w:b/>
        <w:bCs/>
      </w:rPr>
      <w:tblPr/>
      <w:tcPr>
        <w:tcBorders>
          <w:top w:val="single" w:sz="18" w:space="0" w:color="D8AA87"/>
        </w:tcBorders>
      </w:tcPr>
    </w:tblStylePr>
    <w:tblStylePr w:type="firstCol">
      <w:rPr>
        <w:b/>
        <w:bCs/>
      </w:rPr>
    </w:tblStylePr>
    <w:tblStylePr w:type="lastCol">
      <w:rPr>
        <w:b/>
        <w:bCs/>
      </w:rPr>
    </w:tblStylePr>
    <w:tblStylePr w:type="band1Vert">
      <w:tblPr/>
      <w:tcPr>
        <w:shd w:val="clear" w:color="auto" w:fill="E5C6AF"/>
      </w:tcPr>
    </w:tblStylePr>
    <w:tblStylePr w:type="band1Horz">
      <w:tblPr/>
      <w:tcPr>
        <w:shd w:val="clear" w:color="auto" w:fill="E5C6AF"/>
      </w:tcPr>
    </w:tblStylePr>
  </w:style>
  <w:style w:type="table" w:styleId="MediumGrid1-Accent3">
    <w:name w:val="Medium Grid 1 Accent 3"/>
    <w:basedOn w:val="TableNormal"/>
    <w:uiPriority w:val="67"/>
    <w:tblPr>
      <w:tblStyleRowBandSize w:val="1"/>
      <w:tblStyleColBandSize w:val="1"/>
      <w:tblBorders>
        <w:top w:val="single" w:sz="8" w:space="0" w:color="9E8E84"/>
        <w:left w:val="single" w:sz="8" w:space="0" w:color="9E8E84"/>
        <w:bottom w:val="single" w:sz="8" w:space="0" w:color="9E8E84"/>
        <w:right w:val="single" w:sz="8" w:space="0" w:color="9E8E84"/>
        <w:insideH w:val="single" w:sz="8" w:space="0" w:color="9E8E84"/>
        <w:insideV w:val="single" w:sz="8" w:space="0" w:color="9E8E84"/>
      </w:tblBorders>
    </w:tblPr>
    <w:tcPr>
      <w:shd w:val="clear" w:color="auto" w:fill="DFD9D6"/>
    </w:tcPr>
    <w:tblStylePr w:type="firstRow">
      <w:rPr>
        <w:b/>
        <w:bCs/>
      </w:rPr>
    </w:tblStylePr>
    <w:tblStylePr w:type="lastRow">
      <w:rPr>
        <w:b/>
        <w:bCs/>
      </w:rPr>
      <w:tblPr/>
      <w:tcPr>
        <w:tcBorders>
          <w:top w:val="single" w:sz="18" w:space="0" w:color="9E8E84"/>
        </w:tcBorders>
      </w:tcPr>
    </w:tblStylePr>
    <w:tblStylePr w:type="firstCol">
      <w:rPr>
        <w:b/>
        <w:bCs/>
      </w:rPr>
    </w:tblStylePr>
    <w:tblStylePr w:type="lastCol">
      <w:rPr>
        <w:b/>
        <w:bCs/>
      </w:rPr>
    </w:tblStylePr>
    <w:tblStylePr w:type="band1Vert">
      <w:tblPr/>
      <w:tcPr>
        <w:shd w:val="clear" w:color="auto" w:fill="BEB4AD"/>
      </w:tcPr>
    </w:tblStylePr>
    <w:tblStylePr w:type="band1Horz">
      <w:tblPr/>
      <w:tcPr>
        <w:shd w:val="clear" w:color="auto" w:fill="BEB4AD"/>
      </w:tcPr>
    </w:tblStylePr>
  </w:style>
  <w:style w:type="table" w:styleId="MediumGrid1-Accent4">
    <w:name w:val="Medium Grid 1 Accent 4"/>
    <w:basedOn w:val="TableNormal"/>
    <w:uiPriority w:val="67"/>
    <w:tblPr>
      <w:tblStyleRowBandSize w:val="1"/>
      <w:tblStyleColBandSize w:val="1"/>
      <w:tblBorders>
        <w:top w:val="single" w:sz="8" w:space="0" w:color="C6AD91"/>
        <w:left w:val="single" w:sz="8" w:space="0" w:color="C6AD91"/>
        <w:bottom w:val="single" w:sz="8" w:space="0" w:color="C6AD91"/>
        <w:right w:val="single" w:sz="8" w:space="0" w:color="C6AD91"/>
        <w:insideH w:val="single" w:sz="8" w:space="0" w:color="C6AD91"/>
        <w:insideV w:val="single" w:sz="8" w:space="0" w:color="C6AD91"/>
      </w:tblBorders>
    </w:tblPr>
    <w:tcPr>
      <w:shd w:val="clear" w:color="auto" w:fill="ECE4DA"/>
    </w:tcPr>
    <w:tblStylePr w:type="firstRow">
      <w:rPr>
        <w:b/>
        <w:bCs/>
      </w:rPr>
    </w:tblStylePr>
    <w:tblStylePr w:type="lastRow">
      <w:rPr>
        <w:b/>
        <w:bCs/>
      </w:rPr>
      <w:tblPr/>
      <w:tcPr>
        <w:tcBorders>
          <w:top w:val="single" w:sz="18" w:space="0" w:color="C6AD91"/>
        </w:tcBorders>
      </w:tcPr>
    </w:tblStylePr>
    <w:tblStylePr w:type="firstCol">
      <w:rPr>
        <w:b/>
        <w:bCs/>
      </w:rPr>
    </w:tblStylePr>
    <w:tblStylePr w:type="lastCol">
      <w:rPr>
        <w:b/>
        <w:bCs/>
      </w:rPr>
    </w:tblStylePr>
    <w:tblStylePr w:type="band1Vert">
      <w:tblPr/>
      <w:tcPr>
        <w:shd w:val="clear" w:color="auto" w:fill="D9C9B6"/>
      </w:tcPr>
    </w:tblStylePr>
    <w:tblStylePr w:type="band1Horz">
      <w:tblPr/>
      <w:tcPr>
        <w:shd w:val="clear" w:color="auto" w:fill="D9C9B6"/>
      </w:tcPr>
    </w:tblStylePr>
  </w:style>
  <w:style w:type="table" w:styleId="MediumGrid1-Accent5">
    <w:name w:val="Medium Grid 1 Accent 5"/>
    <w:basedOn w:val="TableNormal"/>
    <w:uiPriority w:val="67"/>
    <w:tblPr>
      <w:tblStyleRowBandSize w:val="1"/>
      <w:tblStyleColBandSize w:val="1"/>
      <w:tblBorders>
        <w:top w:val="single" w:sz="8" w:space="0" w:color="8B9B9E"/>
        <w:left w:val="single" w:sz="8" w:space="0" w:color="8B9B9E"/>
        <w:bottom w:val="single" w:sz="8" w:space="0" w:color="8B9B9E"/>
        <w:right w:val="single" w:sz="8" w:space="0" w:color="8B9B9E"/>
        <w:insideH w:val="single" w:sz="8" w:space="0" w:color="8B9B9E"/>
        <w:insideV w:val="single" w:sz="8" w:space="0" w:color="8B9B9E"/>
      </w:tblBorders>
    </w:tblPr>
    <w:tcPr>
      <w:shd w:val="clear" w:color="auto" w:fill="D8DEDF"/>
    </w:tcPr>
    <w:tblStylePr w:type="firstRow">
      <w:rPr>
        <w:b/>
        <w:bCs/>
      </w:rPr>
    </w:tblStylePr>
    <w:tblStylePr w:type="lastRow">
      <w:rPr>
        <w:b/>
        <w:bCs/>
      </w:rPr>
      <w:tblPr/>
      <w:tcPr>
        <w:tcBorders>
          <w:top w:val="single" w:sz="18" w:space="0" w:color="8B9B9E"/>
        </w:tcBorders>
      </w:tcPr>
    </w:tblStylePr>
    <w:tblStylePr w:type="firstCol">
      <w:rPr>
        <w:b/>
        <w:bCs/>
      </w:rPr>
    </w:tblStylePr>
    <w:tblStylePr w:type="lastCol">
      <w:rPr>
        <w:b/>
        <w:bCs/>
      </w:rPr>
    </w:tblStylePr>
    <w:tblStylePr w:type="band1Vert">
      <w:tblPr/>
      <w:tcPr>
        <w:shd w:val="clear" w:color="auto" w:fill="B1BCBE"/>
      </w:tcPr>
    </w:tblStylePr>
    <w:tblStylePr w:type="band1Horz">
      <w:tblPr/>
      <w:tcPr>
        <w:shd w:val="clear" w:color="auto" w:fill="B1BCBE"/>
      </w:tcPr>
    </w:tblStylePr>
  </w:style>
  <w:style w:type="table" w:styleId="MediumGrid1-Accent6">
    <w:name w:val="Medium Grid 1 Accent 6"/>
    <w:basedOn w:val="TableNormal"/>
    <w:uiPriority w:val="67"/>
    <w:tblPr>
      <w:tblStyleRowBandSize w:val="1"/>
      <w:tblStyleColBandSize w:val="1"/>
      <w:tblBorders>
        <w:top w:val="single" w:sz="8" w:space="0" w:color="B5AE93"/>
        <w:left w:val="single" w:sz="8" w:space="0" w:color="B5AE93"/>
        <w:bottom w:val="single" w:sz="8" w:space="0" w:color="B5AE93"/>
        <w:right w:val="single" w:sz="8" w:space="0" w:color="B5AE93"/>
        <w:insideH w:val="single" w:sz="8" w:space="0" w:color="B5AE93"/>
        <w:insideV w:val="single" w:sz="8" w:space="0" w:color="B5AE93"/>
      </w:tblBorders>
    </w:tblPr>
    <w:tcPr>
      <w:shd w:val="clear" w:color="auto" w:fill="E6E4DB"/>
    </w:tcPr>
    <w:tblStylePr w:type="firstRow">
      <w:rPr>
        <w:b/>
        <w:bCs/>
      </w:rPr>
    </w:tblStylePr>
    <w:tblStylePr w:type="lastRow">
      <w:rPr>
        <w:b/>
        <w:bCs/>
      </w:rPr>
      <w:tblPr/>
      <w:tcPr>
        <w:tcBorders>
          <w:top w:val="single" w:sz="18" w:space="0" w:color="B5AE93"/>
        </w:tcBorders>
      </w:tcPr>
    </w:tblStylePr>
    <w:tblStylePr w:type="firstCol">
      <w:rPr>
        <w:b/>
        <w:bCs/>
      </w:rPr>
    </w:tblStylePr>
    <w:tblStylePr w:type="lastCol">
      <w:rPr>
        <w:b/>
        <w:bCs/>
      </w:rPr>
    </w:tblStylePr>
    <w:tblStylePr w:type="band1Vert">
      <w:tblPr/>
      <w:tcPr>
        <w:shd w:val="clear" w:color="auto" w:fill="CEC9B7"/>
      </w:tcPr>
    </w:tblStylePr>
    <w:tblStylePr w:type="band1Horz">
      <w:tblPr/>
      <w:tcPr>
        <w:shd w:val="clear" w:color="auto" w:fill="CEC9B7"/>
      </w:tcPr>
    </w:tblStylePr>
  </w:style>
  <w:style w:type="table" w:styleId="MediumGrid2">
    <w:name w:val="Medium Grid 2"/>
    <w:basedOn w:val="TableNormal"/>
    <w:uiPriority w:val="68"/>
    <w:rPr>
      <w:rFonts w:ascii="Calibri" w:eastAsia="Times New Roman"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Calibri" w:eastAsia="Times New Roman" w:hAnsi="Calibri"/>
      <w:color w:val="000000"/>
    </w:rPr>
    <w:tblPr>
      <w:tblStyleRowBandSize w:val="1"/>
      <w:tblStyleColBandSize w:val="1"/>
      <w:tblBorders>
        <w:top w:val="single" w:sz="8" w:space="0" w:color="7E97AD"/>
        <w:left w:val="single" w:sz="8" w:space="0" w:color="7E97AD"/>
        <w:bottom w:val="single" w:sz="8" w:space="0" w:color="7E97AD"/>
        <w:right w:val="single" w:sz="8" w:space="0" w:color="7E97AD"/>
        <w:insideH w:val="single" w:sz="8" w:space="0" w:color="7E97AD"/>
        <w:insideV w:val="single" w:sz="8" w:space="0" w:color="7E97AD"/>
      </w:tblBorders>
    </w:tblPr>
    <w:tcPr>
      <w:shd w:val="clear" w:color="auto" w:fill="DFE5EA"/>
    </w:tcPr>
    <w:tblStylePr w:type="firstRow">
      <w:rPr>
        <w:b/>
        <w:bCs/>
        <w:color w:val="000000"/>
      </w:rPr>
      <w:tblPr/>
      <w:tcPr>
        <w:shd w:val="clear" w:color="auto" w:fill="F2F4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EAEE"/>
      </w:tcPr>
    </w:tblStylePr>
    <w:tblStylePr w:type="band1Vert">
      <w:tblPr/>
      <w:tcPr>
        <w:shd w:val="clear" w:color="auto" w:fill="BECBD6"/>
      </w:tcPr>
    </w:tblStylePr>
    <w:tblStylePr w:type="band1Horz">
      <w:tblPr/>
      <w:tcPr>
        <w:tcBorders>
          <w:insideH w:val="single" w:sz="6" w:space="0" w:color="7E97AD"/>
          <w:insideV w:val="single" w:sz="6" w:space="0" w:color="7E97AD"/>
        </w:tcBorders>
        <w:shd w:val="clear" w:color="auto" w:fill="BECBD6"/>
      </w:tcPr>
    </w:tblStylePr>
    <w:tblStylePr w:type="nwCell">
      <w:tblPr/>
      <w:tcPr>
        <w:shd w:val="clear" w:color="auto" w:fill="FFFFFF"/>
      </w:tcPr>
    </w:tblStylePr>
  </w:style>
  <w:style w:type="table" w:styleId="MediumGrid2-Accent2">
    <w:name w:val="Medium Grid 2 Accent 2"/>
    <w:basedOn w:val="TableNormal"/>
    <w:uiPriority w:val="68"/>
    <w:rPr>
      <w:rFonts w:ascii="Calibri" w:eastAsia="Times New Roman" w:hAnsi="Calibri"/>
      <w:color w:val="000000"/>
    </w:rPr>
    <w:tblPr>
      <w:tblStyleRowBandSize w:val="1"/>
      <w:tblStyleColBandSize w:val="1"/>
      <w:tblBorders>
        <w:top w:val="single" w:sz="8" w:space="0" w:color="CC8E60"/>
        <w:left w:val="single" w:sz="8" w:space="0" w:color="CC8E60"/>
        <w:bottom w:val="single" w:sz="8" w:space="0" w:color="CC8E60"/>
        <w:right w:val="single" w:sz="8" w:space="0" w:color="CC8E60"/>
        <w:insideH w:val="single" w:sz="8" w:space="0" w:color="CC8E60"/>
        <w:insideV w:val="single" w:sz="8" w:space="0" w:color="CC8E60"/>
      </w:tblBorders>
    </w:tblPr>
    <w:tcPr>
      <w:shd w:val="clear" w:color="auto" w:fill="F2E2D7"/>
    </w:tcPr>
    <w:tblStylePr w:type="firstRow">
      <w:rPr>
        <w:b/>
        <w:bCs/>
        <w:color w:val="000000"/>
      </w:rPr>
      <w:tblPr/>
      <w:tcPr>
        <w:shd w:val="clear" w:color="auto" w:fill="FAF3E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E8DF"/>
      </w:tcPr>
    </w:tblStylePr>
    <w:tblStylePr w:type="band1Vert">
      <w:tblPr/>
      <w:tcPr>
        <w:shd w:val="clear" w:color="auto" w:fill="E5C6AF"/>
      </w:tcPr>
    </w:tblStylePr>
    <w:tblStylePr w:type="band1Horz">
      <w:tblPr/>
      <w:tcPr>
        <w:tcBorders>
          <w:insideH w:val="single" w:sz="6" w:space="0" w:color="CC8E60"/>
          <w:insideV w:val="single" w:sz="6" w:space="0" w:color="CC8E60"/>
        </w:tcBorders>
        <w:shd w:val="clear" w:color="auto" w:fill="E5C6AF"/>
      </w:tcPr>
    </w:tblStylePr>
    <w:tblStylePr w:type="nwCell">
      <w:tblPr/>
      <w:tcPr>
        <w:shd w:val="clear" w:color="auto" w:fill="FFFFFF"/>
      </w:tcPr>
    </w:tblStylePr>
  </w:style>
  <w:style w:type="table" w:styleId="MediumGrid2-Accent3">
    <w:name w:val="Medium Grid 2 Accent 3"/>
    <w:basedOn w:val="TableNormal"/>
    <w:uiPriority w:val="68"/>
    <w:rPr>
      <w:rFonts w:ascii="Calibri" w:eastAsia="Times New Roman" w:hAnsi="Calibri"/>
      <w:color w:val="000000"/>
    </w:rPr>
    <w:tblPr>
      <w:tblStyleRowBandSize w:val="1"/>
      <w:tblStyleColBandSize w:val="1"/>
      <w:tblBorders>
        <w:top w:val="single" w:sz="8" w:space="0" w:color="7A6A60"/>
        <w:left w:val="single" w:sz="8" w:space="0" w:color="7A6A60"/>
        <w:bottom w:val="single" w:sz="8" w:space="0" w:color="7A6A60"/>
        <w:right w:val="single" w:sz="8" w:space="0" w:color="7A6A60"/>
        <w:insideH w:val="single" w:sz="8" w:space="0" w:color="7A6A60"/>
        <w:insideV w:val="single" w:sz="8" w:space="0" w:color="7A6A60"/>
      </w:tblBorders>
    </w:tblPr>
    <w:tcPr>
      <w:shd w:val="clear" w:color="auto" w:fill="DFD9D6"/>
    </w:tcPr>
    <w:tblStylePr w:type="firstRow">
      <w:rPr>
        <w:b/>
        <w:bCs/>
        <w:color w:val="000000"/>
      </w:rPr>
      <w:tblPr/>
      <w:tcPr>
        <w:shd w:val="clear" w:color="auto" w:fill="F2F0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E0DE"/>
      </w:tcPr>
    </w:tblStylePr>
    <w:tblStylePr w:type="band1Vert">
      <w:tblPr/>
      <w:tcPr>
        <w:shd w:val="clear" w:color="auto" w:fill="BEB4AD"/>
      </w:tcPr>
    </w:tblStylePr>
    <w:tblStylePr w:type="band1Horz">
      <w:tblPr/>
      <w:tcPr>
        <w:tcBorders>
          <w:insideH w:val="single" w:sz="6" w:space="0" w:color="7A6A60"/>
          <w:insideV w:val="single" w:sz="6" w:space="0" w:color="7A6A60"/>
        </w:tcBorders>
        <w:shd w:val="clear" w:color="auto" w:fill="BEB4AD"/>
      </w:tcPr>
    </w:tblStylePr>
    <w:tblStylePr w:type="nwCell">
      <w:tblPr/>
      <w:tcPr>
        <w:shd w:val="clear" w:color="auto" w:fill="FFFFFF"/>
      </w:tcPr>
    </w:tblStylePr>
  </w:style>
  <w:style w:type="table" w:styleId="MediumGrid2-Accent4">
    <w:name w:val="Medium Grid 2 Accent 4"/>
    <w:basedOn w:val="TableNormal"/>
    <w:uiPriority w:val="68"/>
    <w:rPr>
      <w:rFonts w:ascii="Calibri" w:eastAsia="Times New Roman" w:hAnsi="Calibri"/>
      <w:color w:val="000000"/>
    </w:rPr>
    <w:tblPr>
      <w:tblStyleRowBandSize w:val="1"/>
      <w:tblStyleColBandSize w:val="1"/>
      <w:tblBorders>
        <w:top w:val="single" w:sz="8" w:space="0" w:color="B4936D"/>
        <w:left w:val="single" w:sz="8" w:space="0" w:color="B4936D"/>
        <w:bottom w:val="single" w:sz="8" w:space="0" w:color="B4936D"/>
        <w:right w:val="single" w:sz="8" w:space="0" w:color="B4936D"/>
        <w:insideH w:val="single" w:sz="8" w:space="0" w:color="B4936D"/>
        <w:insideV w:val="single" w:sz="8" w:space="0" w:color="B4936D"/>
      </w:tblBorders>
    </w:tblPr>
    <w:tcPr>
      <w:shd w:val="clear" w:color="auto" w:fill="ECE4DA"/>
    </w:tcPr>
    <w:tblStylePr w:type="firstRow">
      <w:rPr>
        <w:b/>
        <w:bCs/>
        <w:color w:val="000000"/>
      </w:rPr>
      <w:tblPr/>
      <w:tcPr>
        <w:shd w:val="clear" w:color="auto" w:fill="F7F4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0E9E1"/>
      </w:tcPr>
    </w:tblStylePr>
    <w:tblStylePr w:type="band1Vert">
      <w:tblPr/>
      <w:tcPr>
        <w:shd w:val="clear" w:color="auto" w:fill="D9C9B6"/>
      </w:tcPr>
    </w:tblStylePr>
    <w:tblStylePr w:type="band1Horz">
      <w:tblPr/>
      <w:tcPr>
        <w:tcBorders>
          <w:insideH w:val="single" w:sz="6" w:space="0" w:color="B4936D"/>
          <w:insideV w:val="single" w:sz="6" w:space="0" w:color="B4936D"/>
        </w:tcBorders>
        <w:shd w:val="clear" w:color="auto" w:fill="D9C9B6"/>
      </w:tcPr>
    </w:tblStylePr>
    <w:tblStylePr w:type="nwCell">
      <w:tblPr/>
      <w:tcPr>
        <w:shd w:val="clear" w:color="auto" w:fill="FFFFFF"/>
      </w:tcPr>
    </w:tblStylePr>
  </w:style>
  <w:style w:type="table" w:styleId="MediumGrid2-Accent5">
    <w:name w:val="Medium Grid 2 Accent 5"/>
    <w:basedOn w:val="TableNormal"/>
    <w:uiPriority w:val="68"/>
    <w:rPr>
      <w:rFonts w:ascii="Calibri" w:eastAsia="Times New Roman" w:hAnsi="Calibri"/>
      <w:color w:val="000000"/>
    </w:rPr>
    <w:tblPr>
      <w:tblStyleRowBandSize w:val="1"/>
      <w:tblStyleColBandSize w:val="1"/>
      <w:tblBorders>
        <w:top w:val="single" w:sz="8" w:space="0" w:color="67787B"/>
        <w:left w:val="single" w:sz="8" w:space="0" w:color="67787B"/>
        <w:bottom w:val="single" w:sz="8" w:space="0" w:color="67787B"/>
        <w:right w:val="single" w:sz="8" w:space="0" w:color="67787B"/>
        <w:insideH w:val="single" w:sz="8" w:space="0" w:color="67787B"/>
        <w:insideV w:val="single" w:sz="8" w:space="0" w:color="67787B"/>
      </w:tblBorders>
    </w:tblPr>
    <w:tcPr>
      <w:shd w:val="clear" w:color="auto" w:fill="D8DEDF"/>
    </w:tcPr>
    <w:tblStylePr w:type="firstRow">
      <w:rPr>
        <w:b/>
        <w:bCs/>
        <w:color w:val="000000"/>
      </w:rPr>
      <w:tblPr/>
      <w:tcPr>
        <w:shd w:val="clear" w:color="auto" w:fill="EFF1F2"/>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FE4E5"/>
      </w:tcPr>
    </w:tblStylePr>
    <w:tblStylePr w:type="band1Vert">
      <w:tblPr/>
      <w:tcPr>
        <w:shd w:val="clear" w:color="auto" w:fill="B1BCBE"/>
      </w:tcPr>
    </w:tblStylePr>
    <w:tblStylePr w:type="band1Horz">
      <w:tblPr/>
      <w:tcPr>
        <w:tcBorders>
          <w:insideH w:val="single" w:sz="6" w:space="0" w:color="67787B"/>
          <w:insideV w:val="single" w:sz="6" w:space="0" w:color="67787B"/>
        </w:tcBorders>
        <w:shd w:val="clear" w:color="auto" w:fill="B1BCBE"/>
      </w:tcPr>
    </w:tblStylePr>
    <w:tblStylePr w:type="nwCell">
      <w:tblPr/>
      <w:tcPr>
        <w:shd w:val="clear" w:color="auto" w:fill="FFFFFF"/>
      </w:tcPr>
    </w:tblStylePr>
  </w:style>
  <w:style w:type="table" w:styleId="MediumGrid2-Accent6">
    <w:name w:val="Medium Grid 2 Accent 6"/>
    <w:basedOn w:val="TableNormal"/>
    <w:uiPriority w:val="68"/>
    <w:rPr>
      <w:rFonts w:ascii="Calibri" w:eastAsia="Times New Roman" w:hAnsi="Calibri"/>
      <w:color w:val="000000"/>
    </w:rPr>
    <w:tblPr>
      <w:tblStyleRowBandSize w:val="1"/>
      <w:tblStyleColBandSize w:val="1"/>
      <w:tblBorders>
        <w:top w:val="single" w:sz="8" w:space="0" w:color="9D936F"/>
        <w:left w:val="single" w:sz="8" w:space="0" w:color="9D936F"/>
        <w:bottom w:val="single" w:sz="8" w:space="0" w:color="9D936F"/>
        <w:right w:val="single" w:sz="8" w:space="0" w:color="9D936F"/>
        <w:insideH w:val="single" w:sz="8" w:space="0" w:color="9D936F"/>
        <w:insideV w:val="single" w:sz="8" w:space="0" w:color="9D936F"/>
      </w:tblBorders>
    </w:tblPr>
    <w:tcPr>
      <w:shd w:val="clear" w:color="auto" w:fill="E6E4DB"/>
    </w:tcPr>
    <w:tblStylePr w:type="firstRow">
      <w:rPr>
        <w:b/>
        <w:bCs/>
        <w:color w:val="000000"/>
      </w:rPr>
      <w:tblPr/>
      <w:tcPr>
        <w:shd w:val="clear" w:color="auto" w:fill="F5F4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BE9E2"/>
      </w:tcPr>
    </w:tblStylePr>
    <w:tblStylePr w:type="band1Vert">
      <w:tblPr/>
      <w:tcPr>
        <w:shd w:val="clear" w:color="auto" w:fill="CEC9B7"/>
      </w:tcPr>
    </w:tblStylePr>
    <w:tblStylePr w:type="band1Horz">
      <w:tblPr/>
      <w:tcPr>
        <w:tcBorders>
          <w:insideH w:val="single" w:sz="6" w:space="0" w:color="9D936F"/>
          <w:insideV w:val="single" w:sz="6" w:space="0" w:color="9D936F"/>
        </w:tcBorders>
        <w:shd w:val="clear" w:color="auto" w:fill="CEC9B7"/>
      </w:tcPr>
    </w:tblStylePr>
    <w:tblStylePr w:type="nwCell">
      <w:tblPr/>
      <w:tcPr>
        <w:shd w:val="clear" w:color="auto" w:fill="FFFFFF"/>
      </w:tcPr>
    </w:tblStylePr>
  </w:style>
  <w:style w:type="table" w:styleId="MediumGrid3">
    <w:name w:val="Medium Grid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E5EA"/>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E97A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E97A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E97A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E97A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ECBD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ECBD6"/>
      </w:tcPr>
    </w:tblStylePr>
  </w:style>
  <w:style w:type="table" w:styleId="MediumGrid3-Accent2">
    <w:name w:val="Medium Grid 3 Accent 2"/>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E2D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C8E6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C8E6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C8E6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C8E6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5C6A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5C6AF"/>
      </w:tcPr>
    </w:tblStylePr>
  </w:style>
  <w:style w:type="table" w:styleId="MediumGrid3-Accent3">
    <w:name w:val="Medium Grid 3 Accent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9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A6A6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A6A6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A6A6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A6A6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EB4A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EB4AD"/>
      </w:tcPr>
    </w:tblStylePr>
  </w:style>
  <w:style w:type="table" w:styleId="MediumGrid3-Accent4">
    <w:name w:val="Medium Grid 3 Accent 4"/>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CE4DA"/>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B4936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B4936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B4936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B4936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9C9B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9C9B6"/>
      </w:tcPr>
    </w:tblStylePr>
  </w:style>
  <w:style w:type="table" w:styleId="MediumGrid3-Accent5">
    <w:name w:val="Medium Grid 3 Accent 5"/>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8DED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7787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7787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7787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7787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1BCB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1BCBE"/>
      </w:tcPr>
    </w:tblStylePr>
  </w:style>
  <w:style w:type="table" w:styleId="MediumGrid3-Accent6">
    <w:name w:val="Medium Grid 3 Accent 6"/>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4D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D936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D936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D936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D936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EC9B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EC9B7"/>
      </w:tcPr>
    </w:tblStylePr>
  </w:style>
  <w:style w:type="table" w:styleId="MediumList1">
    <w:name w:val="Medium List 1"/>
    <w:basedOn w:val="TableNormal"/>
    <w:uiPriority w:val="65"/>
    <w:rPr>
      <w:color w:val="000000"/>
    </w:rPr>
    <w:tblPr>
      <w:tblStyleRowBandSize w:val="1"/>
      <w:tblStyleColBandSize w:val="1"/>
      <w:tblBorders>
        <w:top w:val="single" w:sz="8" w:space="0" w:color="000000"/>
        <w:bottom w:val="single" w:sz="8" w:space="0" w:color="000000"/>
      </w:tblBorders>
    </w:tblPr>
    <w:tblStylePr w:type="firstRow">
      <w:rPr>
        <w:rFonts w:ascii="Calibri" w:eastAsia="Times New Roman" w:hAnsi="Calibri" w:cs="Times New Roman"/>
      </w:rPr>
      <w:tblPr/>
      <w:tcPr>
        <w:tcBorders>
          <w:top w:val="nil"/>
          <w:bottom w:val="single" w:sz="8" w:space="0" w:color="000000"/>
        </w:tcBorders>
      </w:tcPr>
    </w:tblStylePr>
    <w:tblStylePr w:type="lastRow">
      <w:rPr>
        <w:b/>
        <w:bCs/>
        <w:color w:val="1F2123"/>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Pr>
      <w:color w:val="000000"/>
    </w:rPr>
    <w:tblPr>
      <w:tblStyleRowBandSize w:val="1"/>
      <w:tblStyleColBandSize w:val="1"/>
      <w:tblBorders>
        <w:top w:val="single" w:sz="8" w:space="0" w:color="7E97AD"/>
        <w:bottom w:val="single" w:sz="8" w:space="0" w:color="7E97AD"/>
      </w:tblBorders>
    </w:tblPr>
    <w:tblStylePr w:type="firstRow">
      <w:rPr>
        <w:rFonts w:ascii="Calibri" w:eastAsia="Times New Roman" w:hAnsi="Calibri" w:cs="Times New Roman"/>
      </w:rPr>
      <w:tblPr/>
      <w:tcPr>
        <w:tcBorders>
          <w:top w:val="nil"/>
          <w:bottom w:val="single" w:sz="8" w:space="0" w:color="7E97AD"/>
        </w:tcBorders>
      </w:tcPr>
    </w:tblStylePr>
    <w:tblStylePr w:type="lastRow">
      <w:rPr>
        <w:b/>
        <w:bCs/>
        <w:color w:val="1F2123"/>
      </w:rPr>
      <w:tblPr/>
      <w:tcPr>
        <w:tcBorders>
          <w:top w:val="single" w:sz="8" w:space="0" w:color="7E97AD"/>
          <w:bottom w:val="single" w:sz="8" w:space="0" w:color="7E97AD"/>
        </w:tcBorders>
      </w:tcPr>
    </w:tblStylePr>
    <w:tblStylePr w:type="firstCol">
      <w:rPr>
        <w:b/>
        <w:bCs/>
      </w:rPr>
    </w:tblStylePr>
    <w:tblStylePr w:type="lastCol">
      <w:rPr>
        <w:b/>
        <w:bCs/>
      </w:rPr>
      <w:tblPr/>
      <w:tcPr>
        <w:tcBorders>
          <w:top w:val="single" w:sz="8" w:space="0" w:color="7E97AD"/>
          <w:bottom w:val="single" w:sz="8" w:space="0" w:color="7E97AD"/>
        </w:tcBorders>
      </w:tcPr>
    </w:tblStylePr>
    <w:tblStylePr w:type="band1Vert">
      <w:tblPr/>
      <w:tcPr>
        <w:shd w:val="clear" w:color="auto" w:fill="DFE5EA"/>
      </w:tcPr>
    </w:tblStylePr>
    <w:tblStylePr w:type="band1Horz">
      <w:tblPr/>
      <w:tcPr>
        <w:shd w:val="clear" w:color="auto" w:fill="DFE5EA"/>
      </w:tcPr>
    </w:tblStylePr>
  </w:style>
  <w:style w:type="table" w:styleId="MediumList1-Accent2">
    <w:name w:val="Medium List 1 Accent 2"/>
    <w:basedOn w:val="TableNormal"/>
    <w:uiPriority w:val="65"/>
    <w:rPr>
      <w:color w:val="000000"/>
    </w:rPr>
    <w:tblPr>
      <w:tblStyleRowBandSize w:val="1"/>
      <w:tblStyleColBandSize w:val="1"/>
      <w:tblBorders>
        <w:top w:val="single" w:sz="8" w:space="0" w:color="CC8E60"/>
        <w:bottom w:val="single" w:sz="8" w:space="0" w:color="CC8E60"/>
      </w:tblBorders>
    </w:tblPr>
    <w:tblStylePr w:type="firstRow">
      <w:rPr>
        <w:rFonts w:ascii="Calibri" w:eastAsia="Times New Roman" w:hAnsi="Calibri" w:cs="Times New Roman"/>
      </w:rPr>
      <w:tblPr/>
      <w:tcPr>
        <w:tcBorders>
          <w:top w:val="nil"/>
          <w:bottom w:val="single" w:sz="8" w:space="0" w:color="CC8E60"/>
        </w:tcBorders>
      </w:tcPr>
    </w:tblStylePr>
    <w:tblStylePr w:type="lastRow">
      <w:rPr>
        <w:b/>
        <w:bCs/>
        <w:color w:val="1F2123"/>
      </w:rPr>
      <w:tblPr/>
      <w:tcPr>
        <w:tcBorders>
          <w:top w:val="single" w:sz="8" w:space="0" w:color="CC8E60"/>
          <w:bottom w:val="single" w:sz="8" w:space="0" w:color="CC8E60"/>
        </w:tcBorders>
      </w:tcPr>
    </w:tblStylePr>
    <w:tblStylePr w:type="firstCol">
      <w:rPr>
        <w:b/>
        <w:bCs/>
      </w:rPr>
    </w:tblStylePr>
    <w:tblStylePr w:type="lastCol">
      <w:rPr>
        <w:b/>
        <w:bCs/>
      </w:rPr>
      <w:tblPr/>
      <w:tcPr>
        <w:tcBorders>
          <w:top w:val="single" w:sz="8" w:space="0" w:color="CC8E60"/>
          <w:bottom w:val="single" w:sz="8" w:space="0" w:color="CC8E60"/>
        </w:tcBorders>
      </w:tcPr>
    </w:tblStylePr>
    <w:tblStylePr w:type="band1Vert">
      <w:tblPr/>
      <w:tcPr>
        <w:shd w:val="clear" w:color="auto" w:fill="F2E2D7"/>
      </w:tcPr>
    </w:tblStylePr>
    <w:tblStylePr w:type="band1Horz">
      <w:tblPr/>
      <w:tcPr>
        <w:shd w:val="clear" w:color="auto" w:fill="F2E2D7"/>
      </w:tcPr>
    </w:tblStylePr>
  </w:style>
  <w:style w:type="table" w:styleId="MediumList1-Accent3">
    <w:name w:val="Medium List 1 Accent 3"/>
    <w:basedOn w:val="TableNormal"/>
    <w:uiPriority w:val="65"/>
    <w:rPr>
      <w:color w:val="000000"/>
    </w:rPr>
    <w:tblPr>
      <w:tblStyleRowBandSize w:val="1"/>
      <w:tblStyleColBandSize w:val="1"/>
      <w:tblBorders>
        <w:top w:val="single" w:sz="8" w:space="0" w:color="7A6A60"/>
        <w:bottom w:val="single" w:sz="8" w:space="0" w:color="7A6A60"/>
      </w:tblBorders>
    </w:tblPr>
    <w:tblStylePr w:type="firstRow">
      <w:rPr>
        <w:rFonts w:ascii="Calibri" w:eastAsia="Times New Roman" w:hAnsi="Calibri" w:cs="Times New Roman"/>
      </w:rPr>
      <w:tblPr/>
      <w:tcPr>
        <w:tcBorders>
          <w:top w:val="nil"/>
          <w:bottom w:val="single" w:sz="8" w:space="0" w:color="7A6A60"/>
        </w:tcBorders>
      </w:tcPr>
    </w:tblStylePr>
    <w:tblStylePr w:type="lastRow">
      <w:rPr>
        <w:b/>
        <w:bCs/>
        <w:color w:val="1F2123"/>
      </w:rPr>
      <w:tblPr/>
      <w:tcPr>
        <w:tcBorders>
          <w:top w:val="single" w:sz="8" w:space="0" w:color="7A6A60"/>
          <w:bottom w:val="single" w:sz="8" w:space="0" w:color="7A6A60"/>
        </w:tcBorders>
      </w:tcPr>
    </w:tblStylePr>
    <w:tblStylePr w:type="firstCol">
      <w:rPr>
        <w:b/>
        <w:bCs/>
      </w:rPr>
    </w:tblStylePr>
    <w:tblStylePr w:type="lastCol">
      <w:rPr>
        <w:b/>
        <w:bCs/>
      </w:rPr>
      <w:tblPr/>
      <w:tcPr>
        <w:tcBorders>
          <w:top w:val="single" w:sz="8" w:space="0" w:color="7A6A60"/>
          <w:bottom w:val="single" w:sz="8" w:space="0" w:color="7A6A60"/>
        </w:tcBorders>
      </w:tcPr>
    </w:tblStylePr>
    <w:tblStylePr w:type="band1Vert">
      <w:tblPr/>
      <w:tcPr>
        <w:shd w:val="clear" w:color="auto" w:fill="DFD9D6"/>
      </w:tcPr>
    </w:tblStylePr>
    <w:tblStylePr w:type="band1Horz">
      <w:tblPr/>
      <w:tcPr>
        <w:shd w:val="clear" w:color="auto" w:fill="DFD9D6"/>
      </w:tcPr>
    </w:tblStylePr>
  </w:style>
  <w:style w:type="table" w:styleId="MediumList1-Accent4">
    <w:name w:val="Medium List 1 Accent 4"/>
    <w:basedOn w:val="TableNormal"/>
    <w:uiPriority w:val="65"/>
    <w:rPr>
      <w:color w:val="000000"/>
    </w:rPr>
    <w:tblPr>
      <w:tblStyleRowBandSize w:val="1"/>
      <w:tblStyleColBandSize w:val="1"/>
      <w:tblBorders>
        <w:top w:val="single" w:sz="8" w:space="0" w:color="B4936D"/>
        <w:bottom w:val="single" w:sz="8" w:space="0" w:color="B4936D"/>
      </w:tblBorders>
    </w:tblPr>
    <w:tblStylePr w:type="firstRow">
      <w:rPr>
        <w:rFonts w:ascii="Calibri" w:eastAsia="Times New Roman" w:hAnsi="Calibri" w:cs="Times New Roman"/>
      </w:rPr>
      <w:tblPr/>
      <w:tcPr>
        <w:tcBorders>
          <w:top w:val="nil"/>
          <w:bottom w:val="single" w:sz="8" w:space="0" w:color="B4936D"/>
        </w:tcBorders>
      </w:tcPr>
    </w:tblStylePr>
    <w:tblStylePr w:type="lastRow">
      <w:rPr>
        <w:b/>
        <w:bCs/>
        <w:color w:val="1F2123"/>
      </w:rPr>
      <w:tblPr/>
      <w:tcPr>
        <w:tcBorders>
          <w:top w:val="single" w:sz="8" w:space="0" w:color="B4936D"/>
          <w:bottom w:val="single" w:sz="8" w:space="0" w:color="B4936D"/>
        </w:tcBorders>
      </w:tcPr>
    </w:tblStylePr>
    <w:tblStylePr w:type="firstCol">
      <w:rPr>
        <w:b/>
        <w:bCs/>
      </w:rPr>
    </w:tblStylePr>
    <w:tblStylePr w:type="lastCol">
      <w:rPr>
        <w:b/>
        <w:bCs/>
      </w:rPr>
      <w:tblPr/>
      <w:tcPr>
        <w:tcBorders>
          <w:top w:val="single" w:sz="8" w:space="0" w:color="B4936D"/>
          <w:bottom w:val="single" w:sz="8" w:space="0" w:color="B4936D"/>
        </w:tcBorders>
      </w:tcPr>
    </w:tblStylePr>
    <w:tblStylePr w:type="band1Vert">
      <w:tblPr/>
      <w:tcPr>
        <w:shd w:val="clear" w:color="auto" w:fill="ECE4DA"/>
      </w:tcPr>
    </w:tblStylePr>
    <w:tblStylePr w:type="band1Horz">
      <w:tblPr/>
      <w:tcPr>
        <w:shd w:val="clear" w:color="auto" w:fill="ECE4DA"/>
      </w:tcPr>
    </w:tblStylePr>
  </w:style>
  <w:style w:type="table" w:styleId="MediumList1-Accent5">
    <w:name w:val="Medium List 1 Accent 5"/>
    <w:basedOn w:val="TableNormal"/>
    <w:uiPriority w:val="65"/>
    <w:rPr>
      <w:color w:val="000000"/>
    </w:rPr>
    <w:tblPr>
      <w:tblStyleRowBandSize w:val="1"/>
      <w:tblStyleColBandSize w:val="1"/>
      <w:tblBorders>
        <w:top w:val="single" w:sz="8" w:space="0" w:color="67787B"/>
        <w:bottom w:val="single" w:sz="8" w:space="0" w:color="67787B"/>
      </w:tblBorders>
    </w:tblPr>
    <w:tblStylePr w:type="firstRow">
      <w:rPr>
        <w:rFonts w:ascii="Calibri" w:eastAsia="Times New Roman" w:hAnsi="Calibri" w:cs="Times New Roman"/>
      </w:rPr>
      <w:tblPr/>
      <w:tcPr>
        <w:tcBorders>
          <w:top w:val="nil"/>
          <w:bottom w:val="single" w:sz="8" w:space="0" w:color="67787B"/>
        </w:tcBorders>
      </w:tcPr>
    </w:tblStylePr>
    <w:tblStylePr w:type="lastRow">
      <w:rPr>
        <w:b/>
        <w:bCs/>
        <w:color w:val="1F2123"/>
      </w:rPr>
      <w:tblPr/>
      <w:tcPr>
        <w:tcBorders>
          <w:top w:val="single" w:sz="8" w:space="0" w:color="67787B"/>
          <w:bottom w:val="single" w:sz="8" w:space="0" w:color="67787B"/>
        </w:tcBorders>
      </w:tcPr>
    </w:tblStylePr>
    <w:tblStylePr w:type="firstCol">
      <w:rPr>
        <w:b/>
        <w:bCs/>
      </w:rPr>
    </w:tblStylePr>
    <w:tblStylePr w:type="lastCol">
      <w:rPr>
        <w:b/>
        <w:bCs/>
      </w:rPr>
      <w:tblPr/>
      <w:tcPr>
        <w:tcBorders>
          <w:top w:val="single" w:sz="8" w:space="0" w:color="67787B"/>
          <w:bottom w:val="single" w:sz="8" w:space="0" w:color="67787B"/>
        </w:tcBorders>
      </w:tcPr>
    </w:tblStylePr>
    <w:tblStylePr w:type="band1Vert">
      <w:tblPr/>
      <w:tcPr>
        <w:shd w:val="clear" w:color="auto" w:fill="D8DEDF"/>
      </w:tcPr>
    </w:tblStylePr>
    <w:tblStylePr w:type="band1Horz">
      <w:tblPr/>
      <w:tcPr>
        <w:shd w:val="clear" w:color="auto" w:fill="D8DEDF"/>
      </w:tcPr>
    </w:tblStylePr>
  </w:style>
  <w:style w:type="table" w:styleId="MediumList1-Accent6">
    <w:name w:val="Medium List 1 Accent 6"/>
    <w:basedOn w:val="TableNormal"/>
    <w:uiPriority w:val="65"/>
    <w:rPr>
      <w:color w:val="000000"/>
    </w:rPr>
    <w:tblPr>
      <w:tblStyleRowBandSize w:val="1"/>
      <w:tblStyleColBandSize w:val="1"/>
      <w:tblBorders>
        <w:top w:val="single" w:sz="8" w:space="0" w:color="9D936F"/>
        <w:bottom w:val="single" w:sz="8" w:space="0" w:color="9D936F"/>
      </w:tblBorders>
    </w:tblPr>
    <w:tblStylePr w:type="firstRow">
      <w:rPr>
        <w:rFonts w:ascii="Calibri" w:eastAsia="Times New Roman" w:hAnsi="Calibri" w:cs="Times New Roman"/>
      </w:rPr>
      <w:tblPr/>
      <w:tcPr>
        <w:tcBorders>
          <w:top w:val="nil"/>
          <w:bottom w:val="single" w:sz="8" w:space="0" w:color="9D936F"/>
        </w:tcBorders>
      </w:tcPr>
    </w:tblStylePr>
    <w:tblStylePr w:type="lastRow">
      <w:rPr>
        <w:b/>
        <w:bCs/>
        <w:color w:val="1F2123"/>
      </w:rPr>
      <w:tblPr/>
      <w:tcPr>
        <w:tcBorders>
          <w:top w:val="single" w:sz="8" w:space="0" w:color="9D936F"/>
          <w:bottom w:val="single" w:sz="8" w:space="0" w:color="9D936F"/>
        </w:tcBorders>
      </w:tcPr>
    </w:tblStylePr>
    <w:tblStylePr w:type="firstCol">
      <w:rPr>
        <w:b/>
        <w:bCs/>
      </w:rPr>
    </w:tblStylePr>
    <w:tblStylePr w:type="lastCol">
      <w:rPr>
        <w:b/>
        <w:bCs/>
      </w:rPr>
      <w:tblPr/>
      <w:tcPr>
        <w:tcBorders>
          <w:top w:val="single" w:sz="8" w:space="0" w:color="9D936F"/>
          <w:bottom w:val="single" w:sz="8" w:space="0" w:color="9D936F"/>
        </w:tcBorders>
      </w:tcPr>
    </w:tblStylePr>
    <w:tblStylePr w:type="band1Vert">
      <w:tblPr/>
      <w:tcPr>
        <w:shd w:val="clear" w:color="auto" w:fill="E6E4DB"/>
      </w:tcPr>
    </w:tblStylePr>
    <w:tblStylePr w:type="band1Horz">
      <w:tblPr/>
      <w:tcPr>
        <w:shd w:val="clear" w:color="auto" w:fill="E6E4DB"/>
      </w:tcPr>
    </w:tblStylePr>
  </w:style>
  <w:style w:type="table" w:styleId="MediumList2">
    <w:name w:val="Medium List 2"/>
    <w:basedOn w:val="TableNormal"/>
    <w:uiPriority w:val="66"/>
    <w:rPr>
      <w:rFonts w:ascii="Calibri" w:eastAsia="Times New Roman"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ascii="Calibri" w:eastAsia="Times New Roman" w:hAnsi="Calibri"/>
      <w:color w:val="000000"/>
    </w:rPr>
    <w:tblPr>
      <w:tblStyleRowBandSize w:val="1"/>
      <w:tblStyleColBandSize w:val="1"/>
      <w:tblBorders>
        <w:top w:val="single" w:sz="8" w:space="0" w:color="7E97AD"/>
        <w:left w:val="single" w:sz="8" w:space="0" w:color="7E97AD"/>
        <w:bottom w:val="single" w:sz="8" w:space="0" w:color="7E97AD"/>
        <w:right w:val="single" w:sz="8" w:space="0" w:color="7E97AD"/>
      </w:tblBorders>
    </w:tblPr>
    <w:tblStylePr w:type="firstRow">
      <w:rPr>
        <w:sz w:val="24"/>
        <w:szCs w:val="24"/>
      </w:rPr>
      <w:tblPr/>
      <w:tcPr>
        <w:tcBorders>
          <w:top w:val="nil"/>
          <w:left w:val="nil"/>
          <w:bottom w:val="single" w:sz="24" w:space="0" w:color="7E97AD"/>
          <w:right w:val="nil"/>
          <w:insideH w:val="nil"/>
          <w:insideV w:val="nil"/>
        </w:tcBorders>
        <w:shd w:val="clear" w:color="auto" w:fill="FFFFFF"/>
      </w:tcPr>
    </w:tblStylePr>
    <w:tblStylePr w:type="lastRow">
      <w:tblPr/>
      <w:tcPr>
        <w:tcBorders>
          <w:top w:val="single" w:sz="8" w:space="0" w:color="7E97AD"/>
          <w:left w:val="nil"/>
          <w:bottom w:val="nil"/>
          <w:right w:val="nil"/>
          <w:insideH w:val="nil"/>
          <w:insideV w:val="nil"/>
        </w:tcBorders>
        <w:shd w:val="clear" w:color="auto" w:fill="FFFFFF"/>
      </w:tcPr>
    </w:tblStylePr>
    <w:tblStylePr w:type="firstCol">
      <w:tblPr/>
      <w:tcPr>
        <w:tcBorders>
          <w:top w:val="nil"/>
          <w:left w:val="nil"/>
          <w:bottom w:val="nil"/>
          <w:right w:val="single" w:sz="8" w:space="0" w:color="7E97AD"/>
          <w:insideH w:val="nil"/>
          <w:insideV w:val="nil"/>
        </w:tcBorders>
        <w:shd w:val="clear" w:color="auto" w:fill="FFFFFF"/>
      </w:tcPr>
    </w:tblStylePr>
    <w:tblStylePr w:type="lastCol">
      <w:tblPr/>
      <w:tcPr>
        <w:tcBorders>
          <w:top w:val="nil"/>
          <w:left w:val="single" w:sz="8" w:space="0" w:color="7E97A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E5EA"/>
      </w:tcPr>
    </w:tblStylePr>
    <w:tblStylePr w:type="band1Horz">
      <w:tblPr/>
      <w:tcPr>
        <w:tcBorders>
          <w:top w:val="nil"/>
          <w:bottom w:val="nil"/>
          <w:insideH w:val="nil"/>
          <w:insideV w:val="nil"/>
        </w:tcBorders>
        <w:shd w:val="clear" w:color="auto" w:fill="DFE5EA"/>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Calibri" w:eastAsia="Times New Roman" w:hAnsi="Calibri"/>
      <w:color w:val="000000"/>
    </w:rPr>
    <w:tblPr>
      <w:tblStyleRowBandSize w:val="1"/>
      <w:tblStyleColBandSize w:val="1"/>
      <w:tblBorders>
        <w:top w:val="single" w:sz="8" w:space="0" w:color="CC8E60"/>
        <w:left w:val="single" w:sz="8" w:space="0" w:color="CC8E60"/>
        <w:bottom w:val="single" w:sz="8" w:space="0" w:color="CC8E60"/>
        <w:right w:val="single" w:sz="8" w:space="0" w:color="CC8E60"/>
      </w:tblBorders>
    </w:tblPr>
    <w:tblStylePr w:type="firstRow">
      <w:rPr>
        <w:sz w:val="24"/>
        <w:szCs w:val="24"/>
      </w:rPr>
      <w:tblPr/>
      <w:tcPr>
        <w:tcBorders>
          <w:top w:val="nil"/>
          <w:left w:val="nil"/>
          <w:bottom w:val="single" w:sz="24" w:space="0" w:color="CC8E60"/>
          <w:right w:val="nil"/>
          <w:insideH w:val="nil"/>
          <w:insideV w:val="nil"/>
        </w:tcBorders>
        <w:shd w:val="clear" w:color="auto" w:fill="FFFFFF"/>
      </w:tcPr>
    </w:tblStylePr>
    <w:tblStylePr w:type="lastRow">
      <w:tblPr/>
      <w:tcPr>
        <w:tcBorders>
          <w:top w:val="single" w:sz="8" w:space="0" w:color="CC8E60"/>
          <w:left w:val="nil"/>
          <w:bottom w:val="nil"/>
          <w:right w:val="nil"/>
          <w:insideH w:val="nil"/>
          <w:insideV w:val="nil"/>
        </w:tcBorders>
        <w:shd w:val="clear" w:color="auto" w:fill="FFFFFF"/>
      </w:tcPr>
    </w:tblStylePr>
    <w:tblStylePr w:type="firstCol">
      <w:tblPr/>
      <w:tcPr>
        <w:tcBorders>
          <w:top w:val="nil"/>
          <w:left w:val="nil"/>
          <w:bottom w:val="nil"/>
          <w:right w:val="single" w:sz="8" w:space="0" w:color="CC8E60"/>
          <w:insideH w:val="nil"/>
          <w:insideV w:val="nil"/>
        </w:tcBorders>
        <w:shd w:val="clear" w:color="auto" w:fill="FFFFFF"/>
      </w:tcPr>
    </w:tblStylePr>
    <w:tblStylePr w:type="lastCol">
      <w:tblPr/>
      <w:tcPr>
        <w:tcBorders>
          <w:top w:val="nil"/>
          <w:left w:val="single" w:sz="8" w:space="0" w:color="CC8E6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2E2D7"/>
      </w:tcPr>
    </w:tblStylePr>
    <w:tblStylePr w:type="band1Horz">
      <w:tblPr/>
      <w:tcPr>
        <w:tcBorders>
          <w:top w:val="nil"/>
          <w:bottom w:val="nil"/>
          <w:insideH w:val="nil"/>
          <w:insideV w:val="nil"/>
        </w:tcBorders>
        <w:shd w:val="clear" w:color="auto" w:fill="F2E2D7"/>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ascii="Calibri" w:eastAsia="Times New Roman" w:hAnsi="Calibri"/>
      <w:color w:val="000000"/>
    </w:rPr>
    <w:tblPr>
      <w:tblStyleRowBandSize w:val="1"/>
      <w:tblStyleColBandSize w:val="1"/>
      <w:tblBorders>
        <w:top w:val="single" w:sz="8" w:space="0" w:color="7A6A60"/>
        <w:left w:val="single" w:sz="8" w:space="0" w:color="7A6A60"/>
        <w:bottom w:val="single" w:sz="8" w:space="0" w:color="7A6A60"/>
        <w:right w:val="single" w:sz="8" w:space="0" w:color="7A6A60"/>
      </w:tblBorders>
    </w:tblPr>
    <w:tblStylePr w:type="firstRow">
      <w:rPr>
        <w:sz w:val="24"/>
        <w:szCs w:val="24"/>
      </w:rPr>
      <w:tblPr/>
      <w:tcPr>
        <w:tcBorders>
          <w:top w:val="nil"/>
          <w:left w:val="nil"/>
          <w:bottom w:val="single" w:sz="24" w:space="0" w:color="7A6A60"/>
          <w:right w:val="nil"/>
          <w:insideH w:val="nil"/>
          <w:insideV w:val="nil"/>
        </w:tcBorders>
        <w:shd w:val="clear" w:color="auto" w:fill="FFFFFF"/>
      </w:tcPr>
    </w:tblStylePr>
    <w:tblStylePr w:type="lastRow">
      <w:tblPr/>
      <w:tcPr>
        <w:tcBorders>
          <w:top w:val="single" w:sz="8" w:space="0" w:color="7A6A60"/>
          <w:left w:val="nil"/>
          <w:bottom w:val="nil"/>
          <w:right w:val="nil"/>
          <w:insideH w:val="nil"/>
          <w:insideV w:val="nil"/>
        </w:tcBorders>
        <w:shd w:val="clear" w:color="auto" w:fill="FFFFFF"/>
      </w:tcPr>
    </w:tblStylePr>
    <w:tblStylePr w:type="firstCol">
      <w:tblPr/>
      <w:tcPr>
        <w:tcBorders>
          <w:top w:val="nil"/>
          <w:left w:val="nil"/>
          <w:bottom w:val="nil"/>
          <w:right w:val="single" w:sz="8" w:space="0" w:color="7A6A60"/>
          <w:insideH w:val="nil"/>
          <w:insideV w:val="nil"/>
        </w:tcBorders>
        <w:shd w:val="clear" w:color="auto" w:fill="FFFFFF"/>
      </w:tcPr>
    </w:tblStylePr>
    <w:tblStylePr w:type="lastCol">
      <w:tblPr/>
      <w:tcPr>
        <w:tcBorders>
          <w:top w:val="nil"/>
          <w:left w:val="single" w:sz="8" w:space="0" w:color="7A6A6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9D6"/>
      </w:tcPr>
    </w:tblStylePr>
    <w:tblStylePr w:type="band1Horz">
      <w:tblPr/>
      <w:tcPr>
        <w:tcBorders>
          <w:top w:val="nil"/>
          <w:bottom w:val="nil"/>
          <w:insideH w:val="nil"/>
          <w:insideV w:val="nil"/>
        </w:tcBorders>
        <w:shd w:val="clear" w:color="auto" w:fill="DFD9D6"/>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Calibri" w:eastAsia="Times New Roman" w:hAnsi="Calibri"/>
      <w:color w:val="000000"/>
    </w:rPr>
    <w:tblPr>
      <w:tblStyleRowBandSize w:val="1"/>
      <w:tblStyleColBandSize w:val="1"/>
      <w:tblBorders>
        <w:top w:val="single" w:sz="8" w:space="0" w:color="B4936D"/>
        <w:left w:val="single" w:sz="8" w:space="0" w:color="B4936D"/>
        <w:bottom w:val="single" w:sz="8" w:space="0" w:color="B4936D"/>
        <w:right w:val="single" w:sz="8" w:space="0" w:color="B4936D"/>
      </w:tblBorders>
    </w:tblPr>
    <w:tblStylePr w:type="firstRow">
      <w:rPr>
        <w:sz w:val="24"/>
        <w:szCs w:val="24"/>
      </w:rPr>
      <w:tblPr/>
      <w:tcPr>
        <w:tcBorders>
          <w:top w:val="nil"/>
          <w:left w:val="nil"/>
          <w:bottom w:val="single" w:sz="24" w:space="0" w:color="B4936D"/>
          <w:right w:val="nil"/>
          <w:insideH w:val="nil"/>
          <w:insideV w:val="nil"/>
        </w:tcBorders>
        <w:shd w:val="clear" w:color="auto" w:fill="FFFFFF"/>
      </w:tcPr>
    </w:tblStylePr>
    <w:tblStylePr w:type="lastRow">
      <w:tblPr/>
      <w:tcPr>
        <w:tcBorders>
          <w:top w:val="single" w:sz="8" w:space="0" w:color="B4936D"/>
          <w:left w:val="nil"/>
          <w:bottom w:val="nil"/>
          <w:right w:val="nil"/>
          <w:insideH w:val="nil"/>
          <w:insideV w:val="nil"/>
        </w:tcBorders>
        <w:shd w:val="clear" w:color="auto" w:fill="FFFFFF"/>
      </w:tcPr>
    </w:tblStylePr>
    <w:tblStylePr w:type="firstCol">
      <w:tblPr/>
      <w:tcPr>
        <w:tcBorders>
          <w:top w:val="nil"/>
          <w:left w:val="nil"/>
          <w:bottom w:val="nil"/>
          <w:right w:val="single" w:sz="8" w:space="0" w:color="B4936D"/>
          <w:insideH w:val="nil"/>
          <w:insideV w:val="nil"/>
        </w:tcBorders>
        <w:shd w:val="clear" w:color="auto" w:fill="FFFFFF"/>
      </w:tcPr>
    </w:tblStylePr>
    <w:tblStylePr w:type="lastCol">
      <w:tblPr/>
      <w:tcPr>
        <w:tcBorders>
          <w:top w:val="nil"/>
          <w:left w:val="single" w:sz="8" w:space="0" w:color="B4936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CE4DA"/>
      </w:tcPr>
    </w:tblStylePr>
    <w:tblStylePr w:type="band1Horz">
      <w:tblPr/>
      <w:tcPr>
        <w:tcBorders>
          <w:top w:val="nil"/>
          <w:bottom w:val="nil"/>
          <w:insideH w:val="nil"/>
          <w:insideV w:val="nil"/>
        </w:tcBorders>
        <w:shd w:val="clear" w:color="auto" w:fill="ECE4DA"/>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Calibri" w:eastAsia="Times New Roman" w:hAnsi="Calibri"/>
      <w:color w:val="000000"/>
    </w:rPr>
    <w:tblPr>
      <w:tblStyleRowBandSize w:val="1"/>
      <w:tblStyleColBandSize w:val="1"/>
      <w:tblBorders>
        <w:top w:val="single" w:sz="8" w:space="0" w:color="67787B"/>
        <w:left w:val="single" w:sz="8" w:space="0" w:color="67787B"/>
        <w:bottom w:val="single" w:sz="8" w:space="0" w:color="67787B"/>
        <w:right w:val="single" w:sz="8" w:space="0" w:color="67787B"/>
      </w:tblBorders>
    </w:tblPr>
    <w:tblStylePr w:type="firstRow">
      <w:rPr>
        <w:sz w:val="24"/>
        <w:szCs w:val="24"/>
      </w:rPr>
      <w:tblPr/>
      <w:tcPr>
        <w:tcBorders>
          <w:top w:val="nil"/>
          <w:left w:val="nil"/>
          <w:bottom w:val="single" w:sz="24" w:space="0" w:color="67787B"/>
          <w:right w:val="nil"/>
          <w:insideH w:val="nil"/>
          <w:insideV w:val="nil"/>
        </w:tcBorders>
        <w:shd w:val="clear" w:color="auto" w:fill="FFFFFF"/>
      </w:tcPr>
    </w:tblStylePr>
    <w:tblStylePr w:type="lastRow">
      <w:tblPr/>
      <w:tcPr>
        <w:tcBorders>
          <w:top w:val="single" w:sz="8" w:space="0" w:color="67787B"/>
          <w:left w:val="nil"/>
          <w:bottom w:val="nil"/>
          <w:right w:val="nil"/>
          <w:insideH w:val="nil"/>
          <w:insideV w:val="nil"/>
        </w:tcBorders>
        <w:shd w:val="clear" w:color="auto" w:fill="FFFFFF"/>
      </w:tcPr>
    </w:tblStylePr>
    <w:tblStylePr w:type="firstCol">
      <w:tblPr/>
      <w:tcPr>
        <w:tcBorders>
          <w:top w:val="nil"/>
          <w:left w:val="nil"/>
          <w:bottom w:val="nil"/>
          <w:right w:val="single" w:sz="8" w:space="0" w:color="67787B"/>
          <w:insideH w:val="nil"/>
          <w:insideV w:val="nil"/>
        </w:tcBorders>
        <w:shd w:val="clear" w:color="auto" w:fill="FFFFFF"/>
      </w:tcPr>
    </w:tblStylePr>
    <w:tblStylePr w:type="lastCol">
      <w:tblPr/>
      <w:tcPr>
        <w:tcBorders>
          <w:top w:val="nil"/>
          <w:left w:val="single" w:sz="8" w:space="0" w:color="67787B"/>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8DEDF"/>
      </w:tcPr>
    </w:tblStylePr>
    <w:tblStylePr w:type="band1Horz">
      <w:tblPr/>
      <w:tcPr>
        <w:tcBorders>
          <w:top w:val="nil"/>
          <w:bottom w:val="nil"/>
          <w:insideH w:val="nil"/>
          <w:insideV w:val="nil"/>
        </w:tcBorders>
        <w:shd w:val="clear" w:color="auto" w:fill="D8DEDF"/>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ascii="Calibri" w:eastAsia="Times New Roman" w:hAnsi="Calibri"/>
      <w:color w:val="000000"/>
    </w:rPr>
    <w:tblPr>
      <w:tblStyleRowBandSize w:val="1"/>
      <w:tblStyleColBandSize w:val="1"/>
      <w:tblBorders>
        <w:top w:val="single" w:sz="8" w:space="0" w:color="9D936F"/>
        <w:left w:val="single" w:sz="8" w:space="0" w:color="9D936F"/>
        <w:bottom w:val="single" w:sz="8" w:space="0" w:color="9D936F"/>
        <w:right w:val="single" w:sz="8" w:space="0" w:color="9D936F"/>
      </w:tblBorders>
    </w:tblPr>
    <w:tblStylePr w:type="firstRow">
      <w:rPr>
        <w:sz w:val="24"/>
        <w:szCs w:val="24"/>
      </w:rPr>
      <w:tblPr/>
      <w:tcPr>
        <w:tcBorders>
          <w:top w:val="nil"/>
          <w:left w:val="nil"/>
          <w:bottom w:val="single" w:sz="24" w:space="0" w:color="9D936F"/>
          <w:right w:val="nil"/>
          <w:insideH w:val="nil"/>
          <w:insideV w:val="nil"/>
        </w:tcBorders>
        <w:shd w:val="clear" w:color="auto" w:fill="FFFFFF"/>
      </w:tcPr>
    </w:tblStylePr>
    <w:tblStylePr w:type="lastRow">
      <w:tblPr/>
      <w:tcPr>
        <w:tcBorders>
          <w:top w:val="single" w:sz="8" w:space="0" w:color="9D936F"/>
          <w:left w:val="nil"/>
          <w:bottom w:val="nil"/>
          <w:right w:val="nil"/>
          <w:insideH w:val="nil"/>
          <w:insideV w:val="nil"/>
        </w:tcBorders>
        <w:shd w:val="clear" w:color="auto" w:fill="FFFFFF"/>
      </w:tcPr>
    </w:tblStylePr>
    <w:tblStylePr w:type="firstCol">
      <w:tblPr/>
      <w:tcPr>
        <w:tcBorders>
          <w:top w:val="nil"/>
          <w:left w:val="nil"/>
          <w:bottom w:val="nil"/>
          <w:right w:val="single" w:sz="8" w:space="0" w:color="9D936F"/>
          <w:insideH w:val="nil"/>
          <w:insideV w:val="nil"/>
        </w:tcBorders>
        <w:shd w:val="clear" w:color="auto" w:fill="FFFFFF"/>
      </w:tcPr>
    </w:tblStylePr>
    <w:tblStylePr w:type="lastCol">
      <w:tblPr/>
      <w:tcPr>
        <w:tcBorders>
          <w:top w:val="nil"/>
          <w:left w:val="single" w:sz="8" w:space="0" w:color="9D936F"/>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4DB"/>
      </w:tcPr>
    </w:tblStylePr>
    <w:tblStylePr w:type="band1Horz">
      <w:tblPr/>
      <w:tcPr>
        <w:tcBorders>
          <w:top w:val="nil"/>
          <w:bottom w:val="nil"/>
          <w:insideH w:val="nil"/>
          <w:insideV w:val="nil"/>
        </w:tcBorders>
        <w:shd w:val="clear" w:color="auto" w:fill="E6E4DB"/>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tblPr>
      <w:tblStyleRowBandSize w:val="1"/>
      <w:tblStyleColBandSize w:val="1"/>
      <w:tblBorders>
        <w:top w:val="single" w:sz="8" w:space="0" w:color="9EB0C1"/>
        <w:left w:val="single" w:sz="8" w:space="0" w:color="9EB0C1"/>
        <w:bottom w:val="single" w:sz="8" w:space="0" w:color="9EB0C1"/>
        <w:right w:val="single" w:sz="8" w:space="0" w:color="9EB0C1"/>
        <w:insideH w:val="single" w:sz="8" w:space="0" w:color="9EB0C1"/>
      </w:tblBorders>
    </w:tblPr>
    <w:tblStylePr w:type="firstRow">
      <w:pPr>
        <w:spacing w:before="0" w:after="0" w:line="240" w:lineRule="auto"/>
      </w:pPr>
      <w:rPr>
        <w:b/>
        <w:bCs/>
        <w:color w:val="FFFFFF"/>
      </w:rPr>
      <w:tblPr/>
      <w:tcPr>
        <w:tcBorders>
          <w:top w:val="single" w:sz="8" w:space="0" w:color="9EB0C1"/>
          <w:left w:val="single" w:sz="8" w:space="0" w:color="9EB0C1"/>
          <w:bottom w:val="single" w:sz="8" w:space="0" w:color="9EB0C1"/>
          <w:right w:val="single" w:sz="8" w:space="0" w:color="9EB0C1"/>
          <w:insideH w:val="nil"/>
          <w:insideV w:val="nil"/>
        </w:tcBorders>
        <w:shd w:val="clear" w:color="auto" w:fill="7E97AD"/>
      </w:tcPr>
    </w:tblStylePr>
    <w:tblStylePr w:type="lastRow">
      <w:pPr>
        <w:spacing w:before="0" w:after="0" w:line="240" w:lineRule="auto"/>
      </w:pPr>
      <w:rPr>
        <w:b/>
        <w:bCs/>
      </w:rPr>
      <w:tblPr/>
      <w:tcPr>
        <w:tcBorders>
          <w:top w:val="double" w:sz="6" w:space="0" w:color="9EB0C1"/>
          <w:left w:val="single" w:sz="8" w:space="0" w:color="9EB0C1"/>
          <w:bottom w:val="single" w:sz="8" w:space="0" w:color="9EB0C1"/>
          <w:right w:val="single" w:sz="8" w:space="0" w:color="9EB0C1"/>
          <w:insideH w:val="nil"/>
          <w:insideV w:val="nil"/>
        </w:tcBorders>
      </w:tcPr>
    </w:tblStylePr>
    <w:tblStylePr w:type="firstCol">
      <w:rPr>
        <w:b/>
        <w:bCs/>
      </w:rPr>
    </w:tblStylePr>
    <w:tblStylePr w:type="lastCol">
      <w:rPr>
        <w:b/>
        <w:bCs/>
      </w:rPr>
    </w:tblStylePr>
    <w:tblStylePr w:type="band1Vert">
      <w:tblPr/>
      <w:tcPr>
        <w:shd w:val="clear" w:color="auto" w:fill="DFE5EA"/>
      </w:tcPr>
    </w:tblStylePr>
    <w:tblStylePr w:type="band1Horz">
      <w:tblPr/>
      <w:tcPr>
        <w:tcBorders>
          <w:insideH w:val="nil"/>
          <w:insideV w:val="nil"/>
        </w:tcBorders>
        <w:shd w:val="clear" w:color="auto" w:fill="DFE5EA"/>
      </w:tcPr>
    </w:tblStylePr>
    <w:tblStylePr w:type="band2Horz">
      <w:tblPr/>
      <w:tcPr>
        <w:tcBorders>
          <w:insideH w:val="nil"/>
          <w:insideV w:val="nil"/>
        </w:tcBorders>
      </w:tcPr>
    </w:tblStylePr>
  </w:style>
  <w:style w:type="table" w:styleId="MediumShading1-Accent2">
    <w:name w:val="Medium Shading 1 Accent 2"/>
    <w:basedOn w:val="TableNormal"/>
    <w:uiPriority w:val="63"/>
    <w:tblPr>
      <w:tblStyleRowBandSize w:val="1"/>
      <w:tblStyleColBandSize w:val="1"/>
      <w:tblBorders>
        <w:top w:val="single" w:sz="8" w:space="0" w:color="D8AA87"/>
        <w:left w:val="single" w:sz="8" w:space="0" w:color="D8AA87"/>
        <w:bottom w:val="single" w:sz="8" w:space="0" w:color="D8AA87"/>
        <w:right w:val="single" w:sz="8" w:space="0" w:color="D8AA87"/>
        <w:insideH w:val="single" w:sz="8" w:space="0" w:color="D8AA87"/>
      </w:tblBorders>
    </w:tblPr>
    <w:tblStylePr w:type="firstRow">
      <w:pPr>
        <w:spacing w:before="0" w:after="0" w:line="240" w:lineRule="auto"/>
      </w:pPr>
      <w:rPr>
        <w:b/>
        <w:bCs/>
        <w:color w:val="FFFFFF"/>
      </w:rPr>
      <w:tblPr/>
      <w:tcPr>
        <w:tcBorders>
          <w:top w:val="single" w:sz="8" w:space="0" w:color="D8AA87"/>
          <w:left w:val="single" w:sz="8" w:space="0" w:color="D8AA87"/>
          <w:bottom w:val="single" w:sz="8" w:space="0" w:color="D8AA87"/>
          <w:right w:val="single" w:sz="8" w:space="0" w:color="D8AA87"/>
          <w:insideH w:val="nil"/>
          <w:insideV w:val="nil"/>
        </w:tcBorders>
        <w:shd w:val="clear" w:color="auto" w:fill="CC8E60"/>
      </w:tcPr>
    </w:tblStylePr>
    <w:tblStylePr w:type="lastRow">
      <w:pPr>
        <w:spacing w:before="0" w:after="0" w:line="240" w:lineRule="auto"/>
      </w:pPr>
      <w:rPr>
        <w:b/>
        <w:bCs/>
      </w:rPr>
      <w:tblPr/>
      <w:tcPr>
        <w:tcBorders>
          <w:top w:val="double" w:sz="6" w:space="0" w:color="D8AA87"/>
          <w:left w:val="single" w:sz="8" w:space="0" w:color="D8AA87"/>
          <w:bottom w:val="single" w:sz="8" w:space="0" w:color="D8AA87"/>
          <w:right w:val="single" w:sz="8" w:space="0" w:color="D8AA87"/>
          <w:insideH w:val="nil"/>
          <w:insideV w:val="nil"/>
        </w:tcBorders>
      </w:tcPr>
    </w:tblStylePr>
    <w:tblStylePr w:type="firstCol">
      <w:rPr>
        <w:b/>
        <w:bCs/>
      </w:rPr>
    </w:tblStylePr>
    <w:tblStylePr w:type="lastCol">
      <w:rPr>
        <w:b/>
        <w:bCs/>
      </w:rPr>
    </w:tblStylePr>
    <w:tblStylePr w:type="band1Vert">
      <w:tblPr/>
      <w:tcPr>
        <w:shd w:val="clear" w:color="auto" w:fill="F2E2D7"/>
      </w:tcPr>
    </w:tblStylePr>
    <w:tblStylePr w:type="band1Horz">
      <w:tblPr/>
      <w:tcPr>
        <w:tcBorders>
          <w:insideH w:val="nil"/>
          <w:insideV w:val="nil"/>
        </w:tcBorders>
        <w:shd w:val="clear" w:color="auto" w:fill="F2E2D7"/>
      </w:tcPr>
    </w:tblStylePr>
    <w:tblStylePr w:type="band2Horz">
      <w:tblPr/>
      <w:tcPr>
        <w:tcBorders>
          <w:insideH w:val="nil"/>
          <w:insideV w:val="nil"/>
        </w:tcBorders>
      </w:tcPr>
    </w:tblStylePr>
  </w:style>
  <w:style w:type="table" w:styleId="MediumShading1-Accent3">
    <w:name w:val="Medium Shading 1 Accent 3"/>
    <w:basedOn w:val="TableNormal"/>
    <w:uiPriority w:val="63"/>
    <w:tblPr>
      <w:tblStyleRowBandSize w:val="1"/>
      <w:tblStyleColBandSize w:val="1"/>
      <w:tblBorders>
        <w:top w:val="single" w:sz="8" w:space="0" w:color="9E8E84"/>
        <w:left w:val="single" w:sz="8" w:space="0" w:color="9E8E84"/>
        <w:bottom w:val="single" w:sz="8" w:space="0" w:color="9E8E84"/>
        <w:right w:val="single" w:sz="8" w:space="0" w:color="9E8E84"/>
        <w:insideH w:val="single" w:sz="8" w:space="0" w:color="9E8E84"/>
      </w:tblBorders>
    </w:tblPr>
    <w:tblStylePr w:type="firstRow">
      <w:pPr>
        <w:spacing w:before="0" w:after="0" w:line="240" w:lineRule="auto"/>
      </w:pPr>
      <w:rPr>
        <w:b/>
        <w:bCs/>
        <w:color w:val="FFFFFF"/>
      </w:rPr>
      <w:tblPr/>
      <w:tcPr>
        <w:tcBorders>
          <w:top w:val="single" w:sz="8" w:space="0" w:color="9E8E84"/>
          <w:left w:val="single" w:sz="8" w:space="0" w:color="9E8E84"/>
          <w:bottom w:val="single" w:sz="8" w:space="0" w:color="9E8E84"/>
          <w:right w:val="single" w:sz="8" w:space="0" w:color="9E8E84"/>
          <w:insideH w:val="nil"/>
          <w:insideV w:val="nil"/>
        </w:tcBorders>
        <w:shd w:val="clear" w:color="auto" w:fill="7A6A60"/>
      </w:tcPr>
    </w:tblStylePr>
    <w:tblStylePr w:type="lastRow">
      <w:pPr>
        <w:spacing w:before="0" w:after="0" w:line="240" w:lineRule="auto"/>
      </w:pPr>
      <w:rPr>
        <w:b/>
        <w:bCs/>
      </w:rPr>
      <w:tblPr/>
      <w:tcPr>
        <w:tcBorders>
          <w:top w:val="double" w:sz="6" w:space="0" w:color="9E8E84"/>
          <w:left w:val="single" w:sz="8" w:space="0" w:color="9E8E84"/>
          <w:bottom w:val="single" w:sz="8" w:space="0" w:color="9E8E84"/>
          <w:right w:val="single" w:sz="8" w:space="0" w:color="9E8E84"/>
          <w:insideH w:val="nil"/>
          <w:insideV w:val="nil"/>
        </w:tcBorders>
      </w:tcPr>
    </w:tblStylePr>
    <w:tblStylePr w:type="firstCol">
      <w:rPr>
        <w:b/>
        <w:bCs/>
      </w:rPr>
    </w:tblStylePr>
    <w:tblStylePr w:type="lastCol">
      <w:rPr>
        <w:b/>
        <w:bCs/>
      </w:rPr>
    </w:tblStylePr>
    <w:tblStylePr w:type="band1Vert">
      <w:tblPr/>
      <w:tcPr>
        <w:shd w:val="clear" w:color="auto" w:fill="DFD9D6"/>
      </w:tcPr>
    </w:tblStylePr>
    <w:tblStylePr w:type="band1Horz">
      <w:tblPr/>
      <w:tcPr>
        <w:tcBorders>
          <w:insideH w:val="nil"/>
          <w:insideV w:val="nil"/>
        </w:tcBorders>
        <w:shd w:val="clear" w:color="auto" w:fill="DFD9D6"/>
      </w:tcPr>
    </w:tblStylePr>
    <w:tblStylePr w:type="band2Horz">
      <w:tblPr/>
      <w:tcPr>
        <w:tcBorders>
          <w:insideH w:val="nil"/>
          <w:insideV w:val="nil"/>
        </w:tcBorders>
      </w:tcPr>
    </w:tblStylePr>
  </w:style>
  <w:style w:type="table" w:styleId="MediumShading1-Accent4">
    <w:name w:val="Medium Shading 1 Accent 4"/>
    <w:basedOn w:val="TableNormal"/>
    <w:uiPriority w:val="63"/>
    <w:tblPr>
      <w:tblStyleRowBandSize w:val="1"/>
      <w:tblStyleColBandSize w:val="1"/>
      <w:tblBorders>
        <w:top w:val="single" w:sz="8" w:space="0" w:color="C6AD91"/>
        <w:left w:val="single" w:sz="8" w:space="0" w:color="C6AD91"/>
        <w:bottom w:val="single" w:sz="8" w:space="0" w:color="C6AD91"/>
        <w:right w:val="single" w:sz="8" w:space="0" w:color="C6AD91"/>
        <w:insideH w:val="single" w:sz="8" w:space="0" w:color="C6AD91"/>
      </w:tblBorders>
    </w:tblPr>
    <w:tblStylePr w:type="firstRow">
      <w:pPr>
        <w:spacing w:before="0" w:after="0" w:line="240" w:lineRule="auto"/>
      </w:pPr>
      <w:rPr>
        <w:b/>
        <w:bCs/>
        <w:color w:val="FFFFFF"/>
      </w:rPr>
      <w:tblPr/>
      <w:tcPr>
        <w:tcBorders>
          <w:top w:val="single" w:sz="8" w:space="0" w:color="C6AD91"/>
          <w:left w:val="single" w:sz="8" w:space="0" w:color="C6AD91"/>
          <w:bottom w:val="single" w:sz="8" w:space="0" w:color="C6AD91"/>
          <w:right w:val="single" w:sz="8" w:space="0" w:color="C6AD91"/>
          <w:insideH w:val="nil"/>
          <w:insideV w:val="nil"/>
        </w:tcBorders>
        <w:shd w:val="clear" w:color="auto" w:fill="B4936D"/>
      </w:tcPr>
    </w:tblStylePr>
    <w:tblStylePr w:type="lastRow">
      <w:pPr>
        <w:spacing w:before="0" w:after="0" w:line="240" w:lineRule="auto"/>
      </w:pPr>
      <w:rPr>
        <w:b/>
        <w:bCs/>
      </w:rPr>
      <w:tblPr/>
      <w:tcPr>
        <w:tcBorders>
          <w:top w:val="double" w:sz="6" w:space="0" w:color="C6AD91"/>
          <w:left w:val="single" w:sz="8" w:space="0" w:color="C6AD91"/>
          <w:bottom w:val="single" w:sz="8" w:space="0" w:color="C6AD91"/>
          <w:right w:val="single" w:sz="8" w:space="0" w:color="C6AD91"/>
          <w:insideH w:val="nil"/>
          <w:insideV w:val="nil"/>
        </w:tcBorders>
      </w:tcPr>
    </w:tblStylePr>
    <w:tblStylePr w:type="firstCol">
      <w:rPr>
        <w:b/>
        <w:bCs/>
      </w:rPr>
    </w:tblStylePr>
    <w:tblStylePr w:type="lastCol">
      <w:rPr>
        <w:b/>
        <w:bCs/>
      </w:rPr>
    </w:tblStylePr>
    <w:tblStylePr w:type="band1Vert">
      <w:tblPr/>
      <w:tcPr>
        <w:shd w:val="clear" w:color="auto" w:fill="ECE4DA"/>
      </w:tcPr>
    </w:tblStylePr>
    <w:tblStylePr w:type="band1Horz">
      <w:tblPr/>
      <w:tcPr>
        <w:tcBorders>
          <w:insideH w:val="nil"/>
          <w:insideV w:val="nil"/>
        </w:tcBorders>
        <w:shd w:val="clear" w:color="auto" w:fill="ECE4DA"/>
      </w:tcPr>
    </w:tblStylePr>
    <w:tblStylePr w:type="band2Horz">
      <w:tblPr/>
      <w:tcPr>
        <w:tcBorders>
          <w:insideH w:val="nil"/>
          <w:insideV w:val="nil"/>
        </w:tcBorders>
      </w:tcPr>
    </w:tblStylePr>
  </w:style>
  <w:style w:type="table" w:styleId="MediumShading1-Accent5">
    <w:name w:val="Medium Shading 1 Accent 5"/>
    <w:basedOn w:val="TableNormal"/>
    <w:uiPriority w:val="63"/>
    <w:tblPr>
      <w:tblStyleRowBandSize w:val="1"/>
      <w:tblStyleColBandSize w:val="1"/>
      <w:tblBorders>
        <w:top w:val="single" w:sz="8" w:space="0" w:color="8B9B9E"/>
        <w:left w:val="single" w:sz="8" w:space="0" w:color="8B9B9E"/>
        <w:bottom w:val="single" w:sz="8" w:space="0" w:color="8B9B9E"/>
        <w:right w:val="single" w:sz="8" w:space="0" w:color="8B9B9E"/>
        <w:insideH w:val="single" w:sz="8" w:space="0" w:color="8B9B9E"/>
      </w:tblBorders>
    </w:tblPr>
    <w:tblStylePr w:type="firstRow">
      <w:pPr>
        <w:spacing w:before="0" w:after="0" w:line="240" w:lineRule="auto"/>
      </w:pPr>
      <w:rPr>
        <w:b/>
        <w:bCs/>
        <w:color w:val="FFFFFF"/>
      </w:rPr>
      <w:tblPr/>
      <w:tcPr>
        <w:tcBorders>
          <w:top w:val="single" w:sz="8" w:space="0" w:color="8B9B9E"/>
          <w:left w:val="single" w:sz="8" w:space="0" w:color="8B9B9E"/>
          <w:bottom w:val="single" w:sz="8" w:space="0" w:color="8B9B9E"/>
          <w:right w:val="single" w:sz="8" w:space="0" w:color="8B9B9E"/>
          <w:insideH w:val="nil"/>
          <w:insideV w:val="nil"/>
        </w:tcBorders>
        <w:shd w:val="clear" w:color="auto" w:fill="67787B"/>
      </w:tcPr>
    </w:tblStylePr>
    <w:tblStylePr w:type="lastRow">
      <w:pPr>
        <w:spacing w:before="0" w:after="0" w:line="240" w:lineRule="auto"/>
      </w:pPr>
      <w:rPr>
        <w:b/>
        <w:bCs/>
      </w:rPr>
      <w:tblPr/>
      <w:tcPr>
        <w:tcBorders>
          <w:top w:val="double" w:sz="6" w:space="0" w:color="8B9B9E"/>
          <w:left w:val="single" w:sz="8" w:space="0" w:color="8B9B9E"/>
          <w:bottom w:val="single" w:sz="8" w:space="0" w:color="8B9B9E"/>
          <w:right w:val="single" w:sz="8" w:space="0" w:color="8B9B9E"/>
          <w:insideH w:val="nil"/>
          <w:insideV w:val="nil"/>
        </w:tcBorders>
      </w:tcPr>
    </w:tblStylePr>
    <w:tblStylePr w:type="firstCol">
      <w:rPr>
        <w:b/>
        <w:bCs/>
      </w:rPr>
    </w:tblStylePr>
    <w:tblStylePr w:type="lastCol">
      <w:rPr>
        <w:b/>
        <w:bCs/>
      </w:rPr>
    </w:tblStylePr>
    <w:tblStylePr w:type="band1Vert">
      <w:tblPr/>
      <w:tcPr>
        <w:shd w:val="clear" w:color="auto" w:fill="D8DEDF"/>
      </w:tcPr>
    </w:tblStylePr>
    <w:tblStylePr w:type="band1Horz">
      <w:tblPr/>
      <w:tcPr>
        <w:tcBorders>
          <w:insideH w:val="nil"/>
          <w:insideV w:val="nil"/>
        </w:tcBorders>
        <w:shd w:val="clear" w:color="auto" w:fill="D8DEDF"/>
      </w:tcPr>
    </w:tblStylePr>
    <w:tblStylePr w:type="band2Horz">
      <w:tblPr/>
      <w:tcPr>
        <w:tcBorders>
          <w:insideH w:val="nil"/>
          <w:insideV w:val="nil"/>
        </w:tcBorders>
      </w:tcPr>
    </w:tblStylePr>
  </w:style>
  <w:style w:type="table" w:styleId="MediumShading1-Accent6">
    <w:name w:val="Medium Shading 1 Accent 6"/>
    <w:basedOn w:val="TableNormal"/>
    <w:uiPriority w:val="63"/>
    <w:tblPr>
      <w:tblStyleRowBandSize w:val="1"/>
      <w:tblStyleColBandSize w:val="1"/>
      <w:tblBorders>
        <w:top w:val="single" w:sz="8" w:space="0" w:color="B5AE93"/>
        <w:left w:val="single" w:sz="8" w:space="0" w:color="B5AE93"/>
        <w:bottom w:val="single" w:sz="8" w:space="0" w:color="B5AE93"/>
        <w:right w:val="single" w:sz="8" w:space="0" w:color="B5AE93"/>
        <w:insideH w:val="single" w:sz="8" w:space="0" w:color="B5AE93"/>
      </w:tblBorders>
    </w:tblPr>
    <w:tblStylePr w:type="firstRow">
      <w:pPr>
        <w:spacing w:before="0" w:after="0" w:line="240" w:lineRule="auto"/>
      </w:pPr>
      <w:rPr>
        <w:b/>
        <w:bCs/>
        <w:color w:val="FFFFFF"/>
      </w:rPr>
      <w:tblPr/>
      <w:tcPr>
        <w:tcBorders>
          <w:top w:val="single" w:sz="8" w:space="0" w:color="B5AE93"/>
          <w:left w:val="single" w:sz="8" w:space="0" w:color="B5AE93"/>
          <w:bottom w:val="single" w:sz="8" w:space="0" w:color="B5AE93"/>
          <w:right w:val="single" w:sz="8" w:space="0" w:color="B5AE93"/>
          <w:insideH w:val="nil"/>
          <w:insideV w:val="nil"/>
        </w:tcBorders>
        <w:shd w:val="clear" w:color="auto" w:fill="9D936F"/>
      </w:tcPr>
    </w:tblStylePr>
    <w:tblStylePr w:type="lastRow">
      <w:pPr>
        <w:spacing w:before="0" w:after="0" w:line="240" w:lineRule="auto"/>
      </w:pPr>
      <w:rPr>
        <w:b/>
        <w:bCs/>
      </w:rPr>
      <w:tblPr/>
      <w:tcPr>
        <w:tcBorders>
          <w:top w:val="double" w:sz="6" w:space="0" w:color="B5AE93"/>
          <w:left w:val="single" w:sz="8" w:space="0" w:color="B5AE93"/>
          <w:bottom w:val="single" w:sz="8" w:space="0" w:color="B5AE93"/>
          <w:right w:val="single" w:sz="8" w:space="0" w:color="B5AE93"/>
          <w:insideH w:val="nil"/>
          <w:insideV w:val="nil"/>
        </w:tcBorders>
      </w:tcPr>
    </w:tblStylePr>
    <w:tblStylePr w:type="firstCol">
      <w:rPr>
        <w:b/>
        <w:bCs/>
      </w:rPr>
    </w:tblStylePr>
    <w:tblStylePr w:type="lastCol">
      <w:rPr>
        <w:b/>
        <w:bCs/>
      </w:rPr>
    </w:tblStylePr>
    <w:tblStylePr w:type="band1Vert">
      <w:tblPr/>
      <w:tcPr>
        <w:shd w:val="clear" w:color="auto" w:fill="E6E4DB"/>
      </w:tcPr>
    </w:tblStylePr>
    <w:tblStylePr w:type="band1Horz">
      <w:tblPr/>
      <w:tcPr>
        <w:tcBorders>
          <w:insideH w:val="nil"/>
          <w:insideV w:val="nil"/>
        </w:tcBorders>
        <w:shd w:val="clear" w:color="auto" w:fill="E6E4DB"/>
      </w:tcPr>
    </w:tblStylePr>
    <w:tblStylePr w:type="band2Horz">
      <w:tblPr/>
      <w:tcPr>
        <w:tcBorders>
          <w:insideH w:val="nil"/>
          <w:insideV w:val="nil"/>
        </w:tcBorders>
      </w:tcPr>
    </w:tblStylePr>
  </w:style>
  <w:style w:type="table" w:styleId="MediumShading2">
    <w:name w:val="Medium Shading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673C73"/>
    <w:rPr>
      <w:rFonts w:asciiTheme="minorHAnsi" w:hAnsiTheme="minorHAnsi"/>
      <w:color w:val="132D4E" w:themeColor="text2"/>
      <w:sz w:val="18"/>
    </w:rPr>
    <w:tblPr>
      <w:tblStyleRowBandSize w:val="1"/>
    </w:tblPr>
    <w:tcPr>
      <w:vAlign w:val="center"/>
    </w:tcPr>
    <w:tblStylePr w:type="firstRow">
      <w:pPr>
        <w:spacing w:before="0" w:after="0" w:line="240" w:lineRule="auto"/>
      </w:pPr>
      <w:rPr>
        <w:rFonts w:asciiTheme="minorHAnsi" w:hAnsiTheme="minorHAnsi"/>
        <w:b/>
        <w:bCs/>
        <w:caps/>
        <w:smallCaps w:val="0"/>
        <w:color w:val="FFFFFF" w:themeColor="background1"/>
        <w:sz w:val="18"/>
      </w:rPr>
      <w:tblPr/>
      <w:tcPr>
        <w:shd w:val="clear" w:color="auto" w:fill="132D4E" w:themeFill="tex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StylePr>
    <w:tblStylePr w:type="lastCol">
      <w:rPr>
        <w:b/>
        <w:bCs/>
        <w:color w:val="FFFFFF"/>
      </w:rPr>
      <w:tblPr/>
      <w:tcPr>
        <w:tcBorders>
          <w:left w:val="nil"/>
          <w:right w:val="nil"/>
          <w:insideH w:val="nil"/>
          <w:insideV w:val="nil"/>
        </w:tcBorders>
        <w:shd w:val="clear" w:color="auto" w:fill="7E97AD"/>
      </w:tcPr>
    </w:tblStylePr>
    <w:tblStylePr w:type="band1Horz">
      <w:tblPr/>
      <w:tcPr>
        <w:shd w:val="clear" w:color="auto" w:fill="F2F2F2" w:themeFill="background1" w:themeFillShade="F2"/>
      </w:tcPr>
    </w:tblStylePr>
    <w:tblStylePr w:type="band2Horz">
      <w:tblPr/>
      <w:tcPr>
        <w:shd w:val="clear" w:color="auto" w:fill="D9D9D9" w:themeFill="background1" w:themeFillShade="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C8E6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C8E60"/>
      </w:tcPr>
    </w:tblStylePr>
    <w:tblStylePr w:type="lastCol">
      <w:rPr>
        <w:b/>
        <w:bCs/>
        <w:color w:val="FFFFFF"/>
      </w:rPr>
      <w:tblPr/>
      <w:tcPr>
        <w:tcBorders>
          <w:left w:val="nil"/>
          <w:right w:val="nil"/>
          <w:insideH w:val="nil"/>
          <w:insideV w:val="nil"/>
        </w:tcBorders>
        <w:shd w:val="clear" w:color="auto" w:fill="CC8E6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A6A6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A6A60"/>
      </w:tcPr>
    </w:tblStylePr>
    <w:tblStylePr w:type="lastCol">
      <w:rPr>
        <w:b/>
        <w:bCs/>
        <w:color w:val="FFFFFF"/>
      </w:rPr>
      <w:tblPr/>
      <w:tcPr>
        <w:tcBorders>
          <w:left w:val="nil"/>
          <w:right w:val="nil"/>
          <w:insideH w:val="nil"/>
          <w:insideV w:val="nil"/>
        </w:tcBorders>
        <w:shd w:val="clear" w:color="auto" w:fill="7A6A6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4936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4936D"/>
      </w:tcPr>
    </w:tblStylePr>
    <w:tblStylePr w:type="lastCol">
      <w:rPr>
        <w:b/>
        <w:bCs/>
        <w:color w:val="FFFFFF"/>
      </w:rPr>
      <w:tblPr/>
      <w:tcPr>
        <w:tcBorders>
          <w:left w:val="nil"/>
          <w:right w:val="nil"/>
          <w:insideH w:val="nil"/>
          <w:insideV w:val="nil"/>
        </w:tcBorders>
        <w:shd w:val="clear" w:color="auto" w:fill="B4936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7787B"/>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7787B"/>
      </w:tcPr>
    </w:tblStylePr>
    <w:tblStylePr w:type="lastCol">
      <w:rPr>
        <w:b/>
        <w:bCs/>
        <w:color w:val="FFFFFF"/>
      </w:rPr>
      <w:tblPr/>
      <w:tcPr>
        <w:tcBorders>
          <w:left w:val="nil"/>
          <w:right w:val="nil"/>
          <w:insideH w:val="nil"/>
          <w:insideV w:val="nil"/>
        </w:tcBorders>
        <w:shd w:val="clear" w:color="auto" w:fill="67787B"/>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D936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D936F"/>
      </w:tcPr>
    </w:tblStylePr>
    <w:tblStylePr w:type="lastCol">
      <w:rPr>
        <w:b/>
        <w:bCs/>
        <w:color w:val="FFFFFF"/>
      </w:rPr>
      <w:tblPr/>
      <w:tcPr>
        <w:tcBorders>
          <w:left w:val="nil"/>
          <w:right w:val="nil"/>
          <w:insideH w:val="nil"/>
          <w:insideV w:val="nil"/>
        </w:tcBorders>
        <w:shd w:val="clear" w:color="auto" w:fill="9D936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libri" w:eastAsia="Times New Roman" w:hAnsi="Calibri"/>
      <w:sz w:val="24"/>
    </w:rPr>
  </w:style>
  <w:style w:type="character" w:customStyle="1" w:styleId="MessageHeaderChar">
    <w:name w:val="Message Header Char"/>
    <w:link w:val="MessageHeader"/>
    <w:uiPriority w:val="99"/>
    <w:semiHidden/>
    <w:rPr>
      <w:rFonts w:ascii="Calibri" w:eastAsia="Times New Roman" w:hAnsi="Calibri" w:cs="Times New Roman"/>
      <w:sz w:val="24"/>
      <w:shd w:val="pct20" w:color="auto" w:fill="auto"/>
    </w:rPr>
  </w:style>
  <w:style w:type="paragraph" w:styleId="NormalWeb">
    <w:name w:val="Normal (Web)"/>
    <w:basedOn w:val="Normal"/>
    <w:uiPriority w:val="99"/>
    <w:semiHidden/>
    <w:unhideWhenUsed/>
    <w:rPr>
      <w:rFonts w:ascii="Times New Roman" w:hAnsi="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rPr>
      <w:rFonts w:asciiTheme="minorHAnsi" w:hAnsiTheme="minorHAnsi"/>
    </w:rPr>
  </w:style>
  <w:style w:type="character" w:styleId="PageNumber">
    <w:name w:val="page number"/>
    <w:basedOn w:val="DefaultParagraphFont"/>
    <w:uiPriority w:val="99"/>
    <w:semiHidden/>
    <w:unhideWhenUsed/>
    <w:rPr>
      <w:rFonts w:asciiTheme="minorHAnsi" w:hAnsiTheme="minorHAnsi"/>
    </w:rPr>
  </w:style>
  <w:style w:type="paragraph" w:styleId="PlainText">
    <w:name w:val="Plain Text"/>
    <w:basedOn w:val="Normal"/>
    <w:link w:val="PlainTextChar"/>
    <w:uiPriority w:val="99"/>
    <w:semiHidden/>
    <w:unhideWhenUsed/>
    <w:pPr>
      <w:spacing w:after="0" w:line="240" w:lineRule="auto"/>
    </w:pPr>
    <w:rPr>
      <w:rFonts w:ascii="Consolas" w:hAnsi="Consolas" w:cs="Consolas"/>
      <w:sz w:val="21"/>
    </w:rPr>
  </w:style>
  <w:style w:type="character" w:customStyle="1" w:styleId="PlainTextChar">
    <w:name w:val="Plain Text Char"/>
    <w:link w:val="PlainText"/>
    <w:uiPriority w:val="99"/>
    <w:semiHidden/>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Theme="minorHAnsi" w:hAnsiTheme="minorHAnsi"/>
    </w:rPr>
  </w:style>
  <w:style w:type="paragraph" w:styleId="Signature">
    <w:name w:val="Signature"/>
    <w:basedOn w:val="Normal"/>
    <w:link w:val="SignatureChar"/>
    <w:uiPriority w:val="9"/>
    <w:qFormat/>
    <w:rsid w:val="00C76D80"/>
    <w:pPr>
      <w:spacing w:before="720" w:after="0" w:line="312" w:lineRule="auto"/>
      <w:contextualSpacing/>
    </w:pPr>
  </w:style>
  <w:style w:type="character" w:customStyle="1" w:styleId="SignatureChar">
    <w:name w:val="Signature Char"/>
    <w:link w:val="Signature"/>
    <w:uiPriority w:val="9"/>
    <w:rsid w:val="00C76D80"/>
    <w:rPr>
      <w:rFonts w:ascii="Aptos Light" w:hAnsi="Aptos Light"/>
      <w:color w:val="262626" w:themeColor="text1" w:themeTint="D9"/>
      <w:kern w:val="20"/>
      <w:lang w:val="en-US" w:eastAsia="ja-JP"/>
    </w:rPr>
  </w:style>
  <w:style w:type="character" w:styleId="Strong">
    <w:name w:val="Strong"/>
    <w:uiPriority w:val="22"/>
    <w:qFormat/>
    <w:rsid w:val="00796465"/>
    <w:rPr>
      <w:rFonts w:asciiTheme="minorHAnsi" w:hAnsiTheme="minorHAnsi"/>
      <w:b/>
      <w:bCs/>
    </w:rPr>
  </w:style>
  <w:style w:type="paragraph" w:styleId="Subtitle">
    <w:name w:val="Subtitle"/>
    <w:basedOn w:val="Normal"/>
    <w:next w:val="Normal"/>
    <w:link w:val="SubtitleChar"/>
    <w:uiPriority w:val="11"/>
    <w:qFormat/>
    <w:rsid w:val="00D60ECA"/>
    <w:pPr>
      <w:keepLines/>
      <w:numPr>
        <w:ilvl w:val="1"/>
      </w:numPr>
      <w:spacing w:before="120" w:after="0"/>
      <w:contextualSpacing/>
    </w:pPr>
    <w:rPr>
      <w:rFonts w:ascii="Aptos SemiBold" w:eastAsia="Times New Roman" w:hAnsi="Aptos SemiBold"/>
      <w:color w:val="132D4E" w:themeColor="text2"/>
      <w:sz w:val="40"/>
    </w:rPr>
  </w:style>
  <w:style w:type="character" w:customStyle="1" w:styleId="SubtitleChar">
    <w:name w:val="Subtitle Char"/>
    <w:link w:val="Subtitle"/>
    <w:uiPriority w:val="11"/>
    <w:rsid w:val="00D60ECA"/>
    <w:rPr>
      <w:rFonts w:ascii="Aptos SemiBold" w:eastAsia="Times New Roman" w:hAnsi="Aptos SemiBold"/>
      <w:color w:val="132D4E" w:themeColor="text2"/>
      <w:kern w:val="20"/>
      <w:sz w:val="40"/>
      <w:lang w:val="en-US" w:eastAsia="ja-JP"/>
    </w:rPr>
  </w:style>
  <w:style w:type="character" w:styleId="SubtleEmphasis">
    <w:name w:val="Subtle Emphasis"/>
    <w:uiPriority w:val="19"/>
    <w:semiHidden/>
    <w:unhideWhenUsed/>
    <w:rPr>
      <w:i/>
      <w:iCs/>
      <w:color w:val="808080"/>
    </w:rPr>
  </w:style>
  <w:style w:type="character" w:styleId="SubtleReference">
    <w:name w:val="Subtle Reference"/>
    <w:uiPriority w:val="31"/>
    <w:semiHidden/>
    <w:unhideWhenUsed/>
    <w:rPr>
      <w:smallCaps/>
      <w:color w:val="CC8E60"/>
      <w:u w:val="single"/>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Subtitle"/>
    <w:link w:val="TitleChar"/>
    <w:uiPriority w:val="18"/>
    <w:qFormat/>
    <w:rsid w:val="00D60ECA"/>
    <w:pPr>
      <w:adjustRightInd w:val="0"/>
      <w:snapToGrid w:val="0"/>
      <w:spacing w:before="0" w:after="0" w:line="240" w:lineRule="auto"/>
      <w:contextualSpacing/>
    </w:pPr>
    <w:rPr>
      <w:rFonts w:ascii="Aptos" w:eastAsia="Times New Roman" w:hAnsi="Aptos" w:cs="Arial (Headings)"/>
      <w:b/>
      <w:color w:val="132D4E" w:themeColor="text2"/>
      <w:kern w:val="28"/>
      <w:sz w:val="80"/>
      <w:szCs w:val="52"/>
    </w:rPr>
  </w:style>
  <w:style w:type="character" w:customStyle="1" w:styleId="TitleChar">
    <w:name w:val="Title Char"/>
    <w:link w:val="Title"/>
    <w:uiPriority w:val="18"/>
    <w:rsid w:val="00D60ECA"/>
    <w:rPr>
      <w:rFonts w:ascii="Aptos" w:eastAsia="Times New Roman" w:hAnsi="Aptos" w:cs="Arial (Headings)"/>
      <w:b/>
      <w:color w:val="132D4E" w:themeColor="text2"/>
      <w:kern w:val="28"/>
      <w:sz w:val="80"/>
      <w:szCs w:val="52"/>
      <w:lang w:val="en-US" w:eastAsia="ja-JP"/>
    </w:rPr>
  </w:style>
  <w:style w:type="paragraph" w:styleId="TOAHeading">
    <w:name w:val="toa heading"/>
    <w:basedOn w:val="Normal"/>
    <w:next w:val="Normal"/>
    <w:uiPriority w:val="99"/>
    <w:semiHidden/>
    <w:unhideWhenUsed/>
    <w:pPr>
      <w:spacing w:before="120"/>
    </w:pPr>
    <w:rPr>
      <w:rFonts w:ascii="Calibri" w:eastAsia="Times New Roman" w:hAnsi="Calibri"/>
      <w:b/>
      <w:bCs/>
      <w:sz w:val="24"/>
    </w:rPr>
  </w:style>
  <w:style w:type="paragraph" w:styleId="TOC1">
    <w:name w:val="toc 1"/>
    <w:basedOn w:val="Normal"/>
    <w:next w:val="Normal"/>
    <w:autoRedefine/>
    <w:uiPriority w:val="39"/>
    <w:unhideWhenUsed/>
    <w:rsid w:val="00A03C5E"/>
    <w:pPr>
      <w:tabs>
        <w:tab w:val="left" w:pos="227"/>
        <w:tab w:val="left" w:pos="442"/>
        <w:tab w:val="right" w:leader="underscore" w:pos="9090"/>
      </w:tabs>
      <w:spacing w:after="40"/>
    </w:pPr>
    <w:rPr>
      <w:rFonts w:ascii="Aptos" w:hAnsi="Aptos"/>
      <w:b/>
      <w:noProof/>
    </w:rPr>
  </w:style>
  <w:style w:type="paragraph" w:styleId="TOC2">
    <w:name w:val="toc 2"/>
    <w:basedOn w:val="Normal"/>
    <w:next w:val="Normal"/>
    <w:autoRedefine/>
    <w:uiPriority w:val="39"/>
    <w:unhideWhenUsed/>
    <w:qFormat/>
    <w:rsid w:val="00A03C5E"/>
    <w:pPr>
      <w:tabs>
        <w:tab w:val="left" w:pos="680"/>
        <w:tab w:val="right" w:leader="underscore" w:pos="9072"/>
      </w:tabs>
      <w:spacing w:after="40"/>
      <w:ind w:left="227"/>
    </w:pPr>
    <w:rPr>
      <w:noProof/>
    </w:rPr>
  </w:style>
  <w:style w:type="paragraph" w:styleId="TOC3">
    <w:name w:val="toc 3"/>
    <w:basedOn w:val="Normal"/>
    <w:next w:val="Normal"/>
    <w:uiPriority w:val="39"/>
    <w:rsid w:val="006C5992"/>
    <w:pPr>
      <w:tabs>
        <w:tab w:val="left" w:pos="1361"/>
        <w:tab w:val="right" w:pos="9072"/>
      </w:tabs>
      <w:spacing w:before="40" w:after="40"/>
      <w:ind w:left="68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8"/>
    <w:unhideWhenUsed/>
    <w:qFormat/>
    <w:rsid w:val="00A35DA7"/>
    <w:pPr>
      <w:numPr>
        <w:numId w:val="0"/>
      </w:numPr>
      <w:spacing w:before="240" w:after="1200"/>
      <w:outlineLvl w:val="9"/>
    </w:pPr>
    <w:rPr>
      <w:rFonts w:ascii="Aptos" w:hAnsi="Aptos"/>
      <w:sz w:val="48"/>
    </w:rPr>
  </w:style>
  <w:style w:type="character" w:customStyle="1" w:styleId="NoSpacingChar">
    <w:name w:val="No Spacing Char"/>
    <w:basedOn w:val="DefaultParagraphFont"/>
    <w:link w:val="NoSpacing"/>
    <w:uiPriority w:val="1"/>
    <w:rsid w:val="00370608"/>
    <w:rPr>
      <w:rFonts w:ascii="Aptos Light" w:hAnsi="Aptos Light"/>
      <w:color w:val="595959"/>
      <w:kern w:val="20"/>
      <w:sz w:val="22"/>
      <w:lang w:val="en-US" w:eastAsia="ja-JP"/>
    </w:rPr>
  </w:style>
  <w:style w:type="paragraph" w:customStyle="1" w:styleId="Tabletitlenumbered">
    <w:name w:val="Table title numbered"/>
    <w:basedOn w:val="Normal"/>
    <w:next w:val="Normal"/>
    <w:uiPriority w:val="1"/>
    <w:qFormat/>
    <w:rsid w:val="00A61CF3"/>
    <w:pPr>
      <w:keepNext/>
      <w:numPr>
        <w:numId w:val="55"/>
      </w:numPr>
      <w:spacing w:before="240"/>
      <w:ind w:left="907" w:hanging="907"/>
    </w:pPr>
    <w:rPr>
      <w:rFonts w:asciiTheme="minorHAnsi" w:eastAsia="Times New Roman" w:hAnsiTheme="minorHAnsi"/>
      <w:color w:val="027566" w:themeColor="accent2" w:themeShade="BF"/>
    </w:rPr>
  </w:style>
  <w:style w:type="paragraph" w:customStyle="1" w:styleId="TableTextDecimal">
    <w:name w:val="Table Text Decimal"/>
    <w:basedOn w:val="Normal"/>
    <w:uiPriority w:val="1"/>
    <w:qFormat/>
    <w:rsid w:val="000C0F65"/>
    <w:pPr>
      <w:tabs>
        <w:tab w:val="decimal" w:pos="1252"/>
      </w:tabs>
      <w:spacing w:before="60" w:after="60" w:line="240" w:lineRule="auto"/>
      <w:ind w:left="144" w:right="144"/>
    </w:pPr>
    <w:rPr>
      <w:rFonts w:ascii="Aptos" w:hAnsi="Aptos"/>
      <w:sz w:val="18"/>
    </w:rPr>
  </w:style>
  <w:style w:type="table" w:customStyle="1" w:styleId="FinancialTable">
    <w:name w:val="Financial Table"/>
    <w:basedOn w:val="TableNormal"/>
    <w:uiPriority w:val="99"/>
    <w:pPr>
      <w:ind w:left="144" w:right="144"/>
    </w:pPr>
    <w:tblPr>
      <w:tblBorders>
        <w:insideH w:val="single" w:sz="4" w:space="0" w:color="D9D9D9"/>
      </w:tblBorders>
      <w:tblCellMar>
        <w:left w:w="0" w:type="dxa"/>
        <w:right w:w="0" w:type="dxa"/>
      </w:tblCellMar>
    </w:tblPr>
    <w:tblStylePr w:type="firstRow">
      <w:rPr>
        <w:rFonts w:ascii="Calibri" w:hAnsi="Calibri"/>
        <w:b w:val="0"/>
        <w:caps/>
        <w:smallCaps w:val="0"/>
        <w:color w:val="7E97AD"/>
        <w:sz w:val="22"/>
      </w:rPr>
    </w:tblStylePr>
    <w:tblStylePr w:type="firstCol">
      <w:rPr>
        <w:b/>
      </w:rPr>
    </w:tblStylePr>
  </w:style>
  <w:style w:type="numbering" w:customStyle="1" w:styleId="AnnualReport">
    <w:name w:val="Annual Report"/>
    <w:uiPriority w:val="99"/>
    <w:pPr>
      <w:numPr>
        <w:numId w:val="4"/>
      </w:numPr>
    </w:pPr>
  </w:style>
  <w:style w:type="paragraph" w:customStyle="1" w:styleId="TableText">
    <w:name w:val="Table Text"/>
    <w:basedOn w:val="Normal"/>
    <w:uiPriority w:val="8"/>
    <w:qFormat/>
    <w:rsid w:val="000C0F65"/>
    <w:pPr>
      <w:spacing w:before="60" w:after="60" w:line="240" w:lineRule="auto"/>
      <w:ind w:left="144" w:right="144"/>
    </w:pPr>
    <w:rPr>
      <w:rFonts w:ascii="Aptos" w:hAnsi="Aptos"/>
      <w:sz w:val="18"/>
    </w:rPr>
  </w:style>
  <w:style w:type="paragraph" w:customStyle="1" w:styleId="TableHeading">
    <w:name w:val="Table Heading"/>
    <w:basedOn w:val="Normal"/>
    <w:link w:val="TableHeadingChar"/>
    <w:uiPriority w:val="1"/>
    <w:qFormat/>
    <w:rsid w:val="000C0F65"/>
    <w:pPr>
      <w:spacing w:after="40" w:line="240" w:lineRule="auto"/>
      <w:ind w:left="144" w:right="144"/>
    </w:pPr>
    <w:rPr>
      <w:rFonts w:eastAsia="Times New Roman"/>
      <w:b/>
      <w:color w:val="000000" w:themeColor="text1"/>
      <w:sz w:val="18"/>
    </w:rPr>
  </w:style>
  <w:style w:type="paragraph" w:customStyle="1" w:styleId="runningtitle">
    <w:name w:val="running title"/>
    <w:basedOn w:val="Normal"/>
    <w:autoRedefine/>
    <w:uiPriority w:val="18"/>
    <w:qFormat/>
    <w:rsid w:val="001D528E"/>
    <w:pPr>
      <w:tabs>
        <w:tab w:val="left" w:pos="5032"/>
      </w:tabs>
      <w:spacing w:after="0" w:line="240" w:lineRule="auto"/>
      <w:ind w:left="-357" w:right="-357"/>
    </w:pPr>
    <w:rPr>
      <w:rFonts w:asciiTheme="majorHAnsi" w:eastAsia="Times New Roman" w:hAnsiTheme="majorHAnsi" w:cs="Aptos Display (Headings)"/>
      <w:caps/>
      <w:noProof/>
      <w:color w:val="404040" w:themeColor="text1" w:themeTint="BF"/>
      <w:spacing w:val="32"/>
      <w:kern w:val="16"/>
      <w:sz w:val="15"/>
      <w:szCs w:val="44"/>
      <w14:reflection w14:blurRad="0" w14:stA="100000" w14:stPos="0" w14:endA="0" w14:endPos="0" w14:dist="0" w14:dir="0" w14:fadeDir="0" w14:sx="0" w14:sy="0" w14:kx="0" w14:ky="0" w14:algn="b"/>
    </w:rPr>
  </w:style>
  <w:style w:type="table" w:customStyle="1" w:styleId="AMLA">
    <w:name w:val="AMLA"/>
    <w:basedOn w:val="TableNormal"/>
    <w:uiPriority w:val="99"/>
    <w:rsid w:val="000C0F65"/>
    <w:pPr>
      <w:spacing w:before="120"/>
    </w:pPr>
    <w:rPr>
      <w:rFonts w:asciiTheme="minorHAnsi" w:hAnsiTheme="minorHAnsi"/>
      <w:color w:val="262626" w:themeColor="text1" w:themeTint="D9"/>
      <w:sz w:val="18"/>
    </w:rPr>
    <w:tblPr>
      <w:tblStyleRowBandSize w:val="1"/>
      <w:tblBorders>
        <w:bottom w:val="single" w:sz="2" w:space="0" w:color="7F7F7F" w:themeColor="text1" w:themeTint="80"/>
        <w:insideH w:val="single" w:sz="4" w:space="0" w:color="7F7F7F" w:themeColor="text1" w:themeTint="80"/>
      </w:tblBorders>
      <w:tblCellMar>
        <w:top w:w="57" w:type="dxa"/>
        <w:left w:w="57" w:type="dxa"/>
        <w:bottom w:w="57" w:type="dxa"/>
        <w:right w:w="57" w:type="dxa"/>
      </w:tblCellMar>
    </w:tblPr>
    <w:tcPr>
      <w:shd w:val="clear" w:color="auto" w:fill="auto"/>
    </w:tcPr>
    <w:tblStylePr w:type="firstRow">
      <w:rPr>
        <w:rFonts w:asciiTheme="minorHAnsi" w:hAnsiTheme="minorHAnsi"/>
        <w:caps w:val="0"/>
        <w:smallCaps w:val="0"/>
        <w:color w:val="FFFFFF" w:themeColor="background1"/>
        <w:sz w:val="16"/>
      </w:rPr>
      <w:tblPr/>
      <w:tcPr>
        <w:tcBorders>
          <w:bottom w:val="single" w:sz="2" w:space="0" w:color="7F7F7F" w:themeColor="text1" w:themeTint="80"/>
        </w:tcBorders>
        <w:shd w:val="clear" w:color="auto" w:fill="B8D8D0"/>
      </w:tcPr>
    </w:tblStylePr>
    <w:tblStylePr w:type="lastRow">
      <w:tblPr/>
      <w:tcPr>
        <w:tcBorders>
          <w:bottom w:val="single" w:sz="4" w:space="0" w:color="039D89" w:themeColor="accent2"/>
          <w:insideH w:val="nil"/>
        </w:tcBorders>
        <w:shd w:val="clear" w:color="auto" w:fill="F2F2F2" w:themeFill="background1" w:themeFillShade="F2"/>
      </w:tcPr>
    </w:tblStylePr>
    <w:tblStylePr w:type="band1Horz">
      <w:rPr>
        <w:rFonts w:asciiTheme="minorHAnsi" w:hAnsiTheme="minorHAnsi"/>
        <w:sz w:val="18"/>
      </w:rPr>
    </w:tblStylePr>
    <w:tblStylePr w:type="band2Horz">
      <w:rPr>
        <w:rFonts w:asciiTheme="minorHAnsi" w:hAnsiTheme="minorHAnsi"/>
        <w:sz w:val="18"/>
      </w:rPr>
    </w:tblStylePr>
  </w:style>
  <w:style w:type="character" w:customStyle="1" w:styleId="TableHeadingChar">
    <w:name w:val="Table Heading Char"/>
    <w:basedOn w:val="DefaultParagraphFont"/>
    <w:link w:val="TableHeading"/>
    <w:uiPriority w:val="1"/>
    <w:rsid w:val="000C0F65"/>
    <w:rPr>
      <w:rFonts w:ascii="Aptos Light" w:eastAsia="Times New Roman" w:hAnsi="Aptos Light"/>
      <w:b/>
      <w:color w:val="000000" w:themeColor="text1"/>
      <w:kern w:val="20"/>
      <w:sz w:val="18"/>
      <w:lang w:val="en-US" w:eastAsia="ja-JP"/>
    </w:rPr>
  </w:style>
  <w:style w:type="paragraph" w:customStyle="1" w:styleId="Placeanddate">
    <w:name w:val="Place and date"/>
    <w:basedOn w:val="Normal"/>
    <w:qFormat/>
    <w:rsid w:val="00D60ECA"/>
    <w:pPr>
      <w:jc w:val="right"/>
    </w:pPr>
    <w:rPr>
      <w:color w:val="000000" w:themeColor="text1"/>
      <w:sz w:val="18"/>
      <w:szCs w:val="18"/>
      <w:lang w:val="en-GB"/>
    </w:rPr>
  </w:style>
  <w:style w:type="table" w:styleId="TableGridLight">
    <w:name w:val="Grid Table Light"/>
    <w:basedOn w:val="TableNormal"/>
    <w:uiPriority w:val="40"/>
    <w:rsid w:val="001131A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1131A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131A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131A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131A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1131AC"/>
    <w:tblPr>
      <w:tblStyleRowBandSize w:val="1"/>
      <w:tblStyleColBandSize w:val="1"/>
      <w:tblBorders>
        <w:top w:val="single" w:sz="4" w:space="0" w:color="84ACEF" w:themeColor="accent1" w:themeTint="66"/>
        <w:left w:val="single" w:sz="4" w:space="0" w:color="84ACEF" w:themeColor="accent1" w:themeTint="66"/>
        <w:bottom w:val="single" w:sz="4" w:space="0" w:color="84ACEF" w:themeColor="accent1" w:themeTint="66"/>
        <w:right w:val="single" w:sz="4" w:space="0" w:color="84ACEF" w:themeColor="accent1" w:themeTint="66"/>
        <w:insideH w:val="single" w:sz="4" w:space="0" w:color="84ACEF" w:themeColor="accent1" w:themeTint="66"/>
        <w:insideV w:val="single" w:sz="4" w:space="0" w:color="84ACEF" w:themeColor="accent1" w:themeTint="66"/>
      </w:tblBorders>
    </w:tblPr>
    <w:tblStylePr w:type="firstRow">
      <w:rPr>
        <w:b/>
        <w:bCs/>
      </w:rPr>
      <w:tblPr/>
      <w:tcPr>
        <w:tcBorders>
          <w:bottom w:val="single" w:sz="12" w:space="0" w:color="4782E7" w:themeColor="accent1" w:themeTint="99"/>
        </w:tcBorders>
      </w:tcPr>
    </w:tblStylePr>
    <w:tblStylePr w:type="lastRow">
      <w:rPr>
        <w:b/>
        <w:bCs/>
      </w:rPr>
      <w:tblPr/>
      <w:tcPr>
        <w:tcBorders>
          <w:top w:val="double" w:sz="2" w:space="0" w:color="4782E7"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131AC"/>
    <w:tblPr>
      <w:tblStyleRowBandSize w:val="1"/>
      <w:tblStyleColBandSize w:val="1"/>
      <w:tblBorders>
        <w:top w:val="single" w:sz="4" w:space="0" w:color="FFEEB4" w:themeColor="accent3" w:themeTint="66"/>
        <w:left w:val="single" w:sz="4" w:space="0" w:color="FFEEB4" w:themeColor="accent3" w:themeTint="66"/>
        <w:bottom w:val="single" w:sz="4" w:space="0" w:color="FFEEB4" w:themeColor="accent3" w:themeTint="66"/>
        <w:right w:val="single" w:sz="4" w:space="0" w:color="FFEEB4" w:themeColor="accent3" w:themeTint="66"/>
        <w:insideH w:val="single" w:sz="4" w:space="0" w:color="FFEEB4" w:themeColor="accent3" w:themeTint="66"/>
        <w:insideV w:val="single" w:sz="4" w:space="0" w:color="FFEEB4" w:themeColor="accent3" w:themeTint="66"/>
      </w:tblBorders>
    </w:tblPr>
    <w:tblStylePr w:type="firstRow">
      <w:rPr>
        <w:b/>
        <w:bCs/>
      </w:rPr>
      <w:tblPr/>
      <w:tcPr>
        <w:tcBorders>
          <w:bottom w:val="single" w:sz="12" w:space="0" w:color="FFE68E" w:themeColor="accent3" w:themeTint="99"/>
        </w:tcBorders>
      </w:tcPr>
    </w:tblStylePr>
    <w:tblStylePr w:type="lastRow">
      <w:rPr>
        <w:b/>
        <w:bCs/>
      </w:rPr>
      <w:tblPr/>
      <w:tcPr>
        <w:tcBorders>
          <w:top w:val="double" w:sz="2" w:space="0" w:color="FFE68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131AC"/>
    <w:tblPr>
      <w:tblStyleRowBandSize w:val="1"/>
      <w:tblStyleColBandSize w:val="1"/>
      <w:tblBorders>
        <w:top w:val="single" w:sz="4" w:space="0" w:color="B3D9EB" w:themeColor="accent4" w:themeTint="66"/>
        <w:left w:val="single" w:sz="4" w:space="0" w:color="B3D9EB" w:themeColor="accent4" w:themeTint="66"/>
        <w:bottom w:val="single" w:sz="4" w:space="0" w:color="B3D9EB" w:themeColor="accent4" w:themeTint="66"/>
        <w:right w:val="single" w:sz="4" w:space="0" w:color="B3D9EB" w:themeColor="accent4" w:themeTint="66"/>
        <w:insideH w:val="single" w:sz="4" w:space="0" w:color="B3D9EB" w:themeColor="accent4" w:themeTint="66"/>
        <w:insideV w:val="single" w:sz="4" w:space="0" w:color="B3D9EB" w:themeColor="accent4" w:themeTint="66"/>
      </w:tblBorders>
    </w:tblPr>
    <w:tblStylePr w:type="firstRow">
      <w:rPr>
        <w:b/>
        <w:bCs/>
      </w:rPr>
      <w:tblPr/>
      <w:tcPr>
        <w:tcBorders>
          <w:bottom w:val="single" w:sz="12" w:space="0" w:color="8EC7E2" w:themeColor="accent4" w:themeTint="99"/>
        </w:tcBorders>
      </w:tcPr>
    </w:tblStylePr>
    <w:tblStylePr w:type="lastRow">
      <w:rPr>
        <w:b/>
        <w:bCs/>
      </w:rPr>
      <w:tblPr/>
      <w:tcPr>
        <w:tcBorders>
          <w:top w:val="double" w:sz="2" w:space="0" w:color="8EC7E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131AC"/>
    <w:tblPr>
      <w:tblStyleRowBandSize w:val="1"/>
      <w:tblStyleColBandSize w:val="1"/>
      <w:tblBorders>
        <w:top w:val="single" w:sz="4" w:space="0" w:color="F38CB8" w:themeColor="accent5" w:themeTint="66"/>
        <w:left w:val="single" w:sz="4" w:space="0" w:color="F38CB8" w:themeColor="accent5" w:themeTint="66"/>
        <w:bottom w:val="single" w:sz="4" w:space="0" w:color="F38CB8" w:themeColor="accent5" w:themeTint="66"/>
        <w:right w:val="single" w:sz="4" w:space="0" w:color="F38CB8" w:themeColor="accent5" w:themeTint="66"/>
        <w:insideH w:val="single" w:sz="4" w:space="0" w:color="F38CB8" w:themeColor="accent5" w:themeTint="66"/>
        <w:insideV w:val="single" w:sz="4" w:space="0" w:color="F38CB8" w:themeColor="accent5" w:themeTint="66"/>
      </w:tblBorders>
    </w:tblPr>
    <w:tblStylePr w:type="firstRow">
      <w:rPr>
        <w:b/>
        <w:bCs/>
      </w:rPr>
      <w:tblPr/>
      <w:tcPr>
        <w:tcBorders>
          <w:bottom w:val="single" w:sz="12" w:space="0" w:color="ED5395" w:themeColor="accent5" w:themeTint="99"/>
        </w:tcBorders>
      </w:tcPr>
    </w:tblStylePr>
    <w:tblStylePr w:type="lastRow">
      <w:rPr>
        <w:b/>
        <w:bCs/>
      </w:rPr>
      <w:tblPr/>
      <w:tcPr>
        <w:tcBorders>
          <w:top w:val="double" w:sz="2" w:space="0" w:color="ED5395" w:themeColor="accent5" w:themeTint="99"/>
        </w:tcBorders>
      </w:tcPr>
    </w:tblStylePr>
    <w:tblStylePr w:type="firstCol">
      <w:rPr>
        <w:b/>
        <w:bCs/>
      </w:rPr>
    </w:tblStylePr>
    <w:tblStylePr w:type="lastCol">
      <w:rPr>
        <w:b/>
        <w:bCs/>
      </w:rPr>
    </w:tblStylePr>
  </w:style>
  <w:style w:type="table" w:styleId="GridTable3-Accent2">
    <w:name w:val="Grid Table 3 Accent 2"/>
    <w:basedOn w:val="TableNormal"/>
    <w:uiPriority w:val="48"/>
    <w:rsid w:val="001131AC"/>
    <w:tblPr>
      <w:tblStyleRowBandSize w:val="1"/>
      <w:tblStyleColBandSize w:val="1"/>
      <w:tblBorders>
        <w:top w:val="single" w:sz="4" w:space="0" w:color="30FBE0" w:themeColor="accent2" w:themeTint="99"/>
        <w:left w:val="single" w:sz="4" w:space="0" w:color="30FBE0" w:themeColor="accent2" w:themeTint="99"/>
        <w:bottom w:val="single" w:sz="4" w:space="0" w:color="30FBE0" w:themeColor="accent2" w:themeTint="99"/>
        <w:right w:val="single" w:sz="4" w:space="0" w:color="30FBE0" w:themeColor="accent2" w:themeTint="99"/>
        <w:insideH w:val="single" w:sz="4" w:space="0" w:color="30FBE0" w:themeColor="accent2" w:themeTint="99"/>
        <w:insideV w:val="single" w:sz="4" w:space="0" w:color="30FBE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DF4" w:themeFill="accent2" w:themeFillTint="33"/>
      </w:tcPr>
    </w:tblStylePr>
    <w:tblStylePr w:type="band1Horz">
      <w:tblPr/>
      <w:tcPr>
        <w:shd w:val="clear" w:color="auto" w:fill="BAFDF4" w:themeFill="accent2" w:themeFillTint="33"/>
      </w:tcPr>
    </w:tblStylePr>
    <w:tblStylePr w:type="neCell">
      <w:tblPr/>
      <w:tcPr>
        <w:tcBorders>
          <w:bottom w:val="single" w:sz="4" w:space="0" w:color="30FBE0" w:themeColor="accent2" w:themeTint="99"/>
        </w:tcBorders>
      </w:tcPr>
    </w:tblStylePr>
    <w:tblStylePr w:type="nwCell">
      <w:tblPr/>
      <w:tcPr>
        <w:tcBorders>
          <w:bottom w:val="single" w:sz="4" w:space="0" w:color="30FBE0" w:themeColor="accent2" w:themeTint="99"/>
        </w:tcBorders>
      </w:tcPr>
    </w:tblStylePr>
    <w:tblStylePr w:type="seCell">
      <w:tblPr/>
      <w:tcPr>
        <w:tcBorders>
          <w:top w:val="single" w:sz="4" w:space="0" w:color="30FBE0" w:themeColor="accent2" w:themeTint="99"/>
        </w:tcBorders>
      </w:tcPr>
    </w:tblStylePr>
    <w:tblStylePr w:type="swCell">
      <w:tblPr/>
      <w:tcPr>
        <w:tcBorders>
          <w:top w:val="single" w:sz="4" w:space="0" w:color="30FBE0" w:themeColor="accent2" w:themeTint="99"/>
        </w:tcBorders>
      </w:tcPr>
    </w:tblStylePr>
  </w:style>
  <w:style w:type="table" w:styleId="GridTable3-Accent3">
    <w:name w:val="Grid Table 3 Accent 3"/>
    <w:basedOn w:val="TableNormal"/>
    <w:uiPriority w:val="48"/>
    <w:rsid w:val="001131AC"/>
    <w:tblPr>
      <w:tblStyleRowBandSize w:val="1"/>
      <w:tblStyleColBandSize w:val="1"/>
      <w:tblBorders>
        <w:top w:val="single" w:sz="4" w:space="0" w:color="FFE68E" w:themeColor="accent3" w:themeTint="99"/>
        <w:left w:val="single" w:sz="4" w:space="0" w:color="FFE68E" w:themeColor="accent3" w:themeTint="99"/>
        <w:bottom w:val="single" w:sz="4" w:space="0" w:color="FFE68E" w:themeColor="accent3" w:themeTint="99"/>
        <w:right w:val="single" w:sz="4" w:space="0" w:color="FFE68E" w:themeColor="accent3" w:themeTint="99"/>
        <w:insideH w:val="single" w:sz="4" w:space="0" w:color="FFE68E" w:themeColor="accent3" w:themeTint="99"/>
        <w:insideV w:val="single" w:sz="4" w:space="0" w:color="FFE68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6D9" w:themeFill="accent3" w:themeFillTint="33"/>
      </w:tcPr>
    </w:tblStylePr>
    <w:tblStylePr w:type="band1Horz">
      <w:tblPr/>
      <w:tcPr>
        <w:shd w:val="clear" w:color="auto" w:fill="FFF6D9" w:themeFill="accent3" w:themeFillTint="33"/>
      </w:tcPr>
    </w:tblStylePr>
    <w:tblStylePr w:type="neCell">
      <w:tblPr/>
      <w:tcPr>
        <w:tcBorders>
          <w:bottom w:val="single" w:sz="4" w:space="0" w:color="FFE68E" w:themeColor="accent3" w:themeTint="99"/>
        </w:tcBorders>
      </w:tcPr>
    </w:tblStylePr>
    <w:tblStylePr w:type="nwCell">
      <w:tblPr/>
      <w:tcPr>
        <w:tcBorders>
          <w:bottom w:val="single" w:sz="4" w:space="0" w:color="FFE68E" w:themeColor="accent3" w:themeTint="99"/>
        </w:tcBorders>
      </w:tcPr>
    </w:tblStylePr>
    <w:tblStylePr w:type="seCell">
      <w:tblPr/>
      <w:tcPr>
        <w:tcBorders>
          <w:top w:val="single" w:sz="4" w:space="0" w:color="FFE68E" w:themeColor="accent3" w:themeTint="99"/>
        </w:tcBorders>
      </w:tcPr>
    </w:tblStylePr>
    <w:tblStylePr w:type="swCell">
      <w:tblPr/>
      <w:tcPr>
        <w:tcBorders>
          <w:top w:val="single" w:sz="4" w:space="0" w:color="FFE68E" w:themeColor="accent3" w:themeTint="99"/>
        </w:tcBorders>
      </w:tcPr>
    </w:tblStylePr>
  </w:style>
  <w:style w:type="table" w:styleId="GridTable3-Accent4">
    <w:name w:val="Grid Table 3 Accent 4"/>
    <w:basedOn w:val="TableNormal"/>
    <w:uiPriority w:val="48"/>
    <w:rsid w:val="001131AC"/>
    <w:tblPr>
      <w:tblStyleRowBandSize w:val="1"/>
      <w:tblStyleColBandSize w:val="1"/>
      <w:tblBorders>
        <w:top w:val="single" w:sz="4" w:space="0" w:color="8EC7E2" w:themeColor="accent4" w:themeTint="99"/>
        <w:left w:val="single" w:sz="4" w:space="0" w:color="8EC7E2" w:themeColor="accent4" w:themeTint="99"/>
        <w:bottom w:val="single" w:sz="4" w:space="0" w:color="8EC7E2" w:themeColor="accent4" w:themeTint="99"/>
        <w:right w:val="single" w:sz="4" w:space="0" w:color="8EC7E2" w:themeColor="accent4" w:themeTint="99"/>
        <w:insideH w:val="single" w:sz="4" w:space="0" w:color="8EC7E2" w:themeColor="accent4" w:themeTint="99"/>
        <w:insideV w:val="single" w:sz="4" w:space="0" w:color="8EC7E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CF5" w:themeFill="accent4" w:themeFillTint="33"/>
      </w:tcPr>
    </w:tblStylePr>
    <w:tblStylePr w:type="band1Horz">
      <w:tblPr/>
      <w:tcPr>
        <w:shd w:val="clear" w:color="auto" w:fill="D9ECF5" w:themeFill="accent4" w:themeFillTint="33"/>
      </w:tcPr>
    </w:tblStylePr>
    <w:tblStylePr w:type="neCell">
      <w:tblPr/>
      <w:tcPr>
        <w:tcBorders>
          <w:bottom w:val="single" w:sz="4" w:space="0" w:color="8EC7E2" w:themeColor="accent4" w:themeTint="99"/>
        </w:tcBorders>
      </w:tcPr>
    </w:tblStylePr>
    <w:tblStylePr w:type="nwCell">
      <w:tblPr/>
      <w:tcPr>
        <w:tcBorders>
          <w:bottom w:val="single" w:sz="4" w:space="0" w:color="8EC7E2" w:themeColor="accent4" w:themeTint="99"/>
        </w:tcBorders>
      </w:tcPr>
    </w:tblStylePr>
    <w:tblStylePr w:type="seCell">
      <w:tblPr/>
      <w:tcPr>
        <w:tcBorders>
          <w:top w:val="single" w:sz="4" w:space="0" w:color="8EC7E2" w:themeColor="accent4" w:themeTint="99"/>
        </w:tcBorders>
      </w:tcPr>
    </w:tblStylePr>
    <w:tblStylePr w:type="swCell">
      <w:tblPr/>
      <w:tcPr>
        <w:tcBorders>
          <w:top w:val="single" w:sz="4" w:space="0" w:color="8EC7E2" w:themeColor="accent4" w:themeTint="99"/>
        </w:tcBorders>
      </w:tcPr>
    </w:tblStylePr>
  </w:style>
  <w:style w:type="table" w:styleId="GridTable5Dark-Accent2">
    <w:name w:val="Grid Table 5 Dark Accent 2"/>
    <w:basedOn w:val="TableNormal"/>
    <w:uiPriority w:val="50"/>
    <w:rsid w:val="001131A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FDF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39D8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39D8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39D8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39D89" w:themeFill="accent2"/>
      </w:tcPr>
    </w:tblStylePr>
    <w:tblStylePr w:type="band1Vert">
      <w:tblPr/>
      <w:tcPr>
        <w:shd w:val="clear" w:color="auto" w:fill="75FCEA" w:themeFill="accent2" w:themeFillTint="66"/>
      </w:tcPr>
    </w:tblStylePr>
    <w:tblStylePr w:type="band1Horz">
      <w:tblPr/>
      <w:tcPr>
        <w:shd w:val="clear" w:color="auto" w:fill="75FCEA" w:themeFill="accent2" w:themeFillTint="66"/>
      </w:tcPr>
    </w:tblStylePr>
  </w:style>
  <w:style w:type="table" w:styleId="GridTable5Dark-Accent4">
    <w:name w:val="Grid Table 5 Dark Accent 4"/>
    <w:basedOn w:val="TableNormal"/>
    <w:uiPriority w:val="50"/>
    <w:rsid w:val="001131A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CF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3A2C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3A2C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3A2C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3A2CF" w:themeFill="accent4"/>
      </w:tcPr>
    </w:tblStylePr>
    <w:tblStylePr w:type="band1Vert">
      <w:tblPr/>
      <w:tcPr>
        <w:shd w:val="clear" w:color="auto" w:fill="B3D9EB" w:themeFill="accent4" w:themeFillTint="66"/>
      </w:tcPr>
    </w:tblStylePr>
    <w:tblStylePr w:type="band1Horz">
      <w:tblPr/>
      <w:tcPr>
        <w:shd w:val="clear" w:color="auto" w:fill="B3D9EB" w:themeFill="accent4" w:themeFillTint="66"/>
      </w:tcPr>
    </w:tblStylePr>
  </w:style>
  <w:style w:type="numbering" w:customStyle="1" w:styleId="CurrentList1">
    <w:name w:val="Current List1"/>
    <w:uiPriority w:val="99"/>
    <w:rsid w:val="004D6AD7"/>
    <w:pPr>
      <w:numPr>
        <w:numId w:val="7"/>
      </w:numPr>
    </w:pPr>
  </w:style>
  <w:style w:type="paragraph" w:customStyle="1" w:styleId="tablerighttable">
    <w:name w:val="table right (table)"/>
    <w:basedOn w:val="Normal"/>
    <w:uiPriority w:val="99"/>
    <w:rsid w:val="004409B7"/>
    <w:pPr>
      <w:suppressAutoHyphens/>
      <w:autoSpaceDE w:val="0"/>
      <w:autoSpaceDN w:val="0"/>
      <w:adjustRightInd w:val="0"/>
      <w:spacing w:before="227" w:after="0"/>
      <w:ind w:right="113"/>
      <w:jc w:val="right"/>
      <w:textAlignment w:val="center"/>
    </w:pPr>
    <w:rPr>
      <w:rFonts w:asciiTheme="minorHAnsi" w:hAnsiTheme="minorHAnsi" w:cs="EC Square Sans Cond Pro"/>
      <w:color w:val="000000"/>
      <w:kern w:val="0"/>
      <w:sz w:val="16"/>
      <w:szCs w:val="16"/>
      <w:lang w:val="en-GB" w:eastAsia="en-GB"/>
    </w:rPr>
  </w:style>
  <w:style w:type="paragraph" w:customStyle="1" w:styleId="tablelefttable">
    <w:name w:val="table left (table)"/>
    <w:basedOn w:val="Normal"/>
    <w:uiPriority w:val="99"/>
    <w:rsid w:val="00233E73"/>
    <w:pPr>
      <w:suppressAutoHyphens/>
      <w:autoSpaceDE w:val="0"/>
      <w:autoSpaceDN w:val="0"/>
      <w:adjustRightInd w:val="0"/>
      <w:spacing w:before="0" w:after="0"/>
      <w:textAlignment w:val="center"/>
    </w:pPr>
    <w:rPr>
      <w:rFonts w:asciiTheme="minorHAnsi" w:hAnsiTheme="minorHAnsi" w:cs="EC Square Sans Cond Pro"/>
      <w:color w:val="000000"/>
      <w:kern w:val="0"/>
      <w:sz w:val="18"/>
      <w:szCs w:val="16"/>
      <w:lang w:val="en-GB" w:eastAsia="en-GB"/>
    </w:rPr>
  </w:style>
  <w:style w:type="numbering" w:customStyle="1" w:styleId="CurrentList2">
    <w:name w:val="Current List2"/>
    <w:uiPriority w:val="99"/>
    <w:rsid w:val="00A81F25"/>
    <w:pPr>
      <w:numPr>
        <w:numId w:val="8"/>
      </w:numPr>
    </w:pPr>
  </w:style>
  <w:style w:type="numbering" w:customStyle="1" w:styleId="CurrentList8">
    <w:name w:val="Current List8"/>
    <w:uiPriority w:val="99"/>
    <w:rsid w:val="00193C74"/>
    <w:pPr>
      <w:numPr>
        <w:numId w:val="14"/>
      </w:numPr>
    </w:pPr>
  </w:style>
  <w:style w:type="numbering" w:customStyle="1" w:styleId="CurrentList9">
    <w:name w:val="Current List9"/>
    <w:uiPriority w:val="99"/>
    <w:rsid w:val="00193C74"/>
    <w:pPr>
      <w:numPr>
        <w:numId w:val="15"/>
      </w:numPr>
    </w:pPr>
  </w:style>
  <w:style w:type="numbering" w:customStyle="1" w:styleId="CurrentList10">
    <w:name w:val="Current List10"/>
    <w:uiPriority w:val="99"/>
    <w:rsid w:val="00193C74"/>
    <w:pPr>
      <w:numPr>
        <w:numId w:val="16"/>
      </w:numPr>
    </w:pPr>
  </w:style>
  <w:style w:type="numbering" w:customStyle="1" w:styleId="CurrentList11">
    <w:name w:val="Current List11"/>
    <w:uiPriority w:val="99"/>
    <w:rsid w:val="005A1351"/>
    <w:pPr>
      <w:numPr>
        <w:numId w:val="17"/>
      </w:numPr>
    </w:pPr>
  </w:style>
  <w:style w:type="numbering" w:customStyle="1" w:styleId="CurrentList3">
    <w:name w:val="Current List3"/>
    <w:uiPriority w:val="99"/>
    <w:rsid w:val="00B04577"/>
    <w:pPr>
      <w:numPr>
        <w:numId w:val="9"/>
      </w:numPr>
    </w:pPr>
  </w:style>
  <w:style w:type="numbering" w:customStyle="1" w:styleId="CurrentList4">
    <w:name w:val="Current List4"/>
    <w:uiPriority w:val="99"/>
    <w:rsid w:val="00B04577"/>
    <w:pPr>
      <w:numPr>
        <w:numId w:val="10"/>
      </w:numPr>
    </w:pPr>
  </w:style>
  <w:style w:type="numbering" w:customStyle="1" w:styleId="CurrentList5">
    <w:name w:val="Current List5"/>
    <w:uiPriority w:val="99"/>
    <w:rsid w:val="00B04577"/>
    <w:pPr>
      <w:numPr>
        <w:numId w:val="11"/>
      </w:numPr>
    </w:pPr>
  </w:style>
  <w:style w:type="numbering" w:customStyle="1" w:styleId="CurrentList6">
    <w:name w:val="Current List6"/>
    <w:uiPriority w:val="99"/>
    <w:rsid w:val="002232A2"/>
    <w:pPr>
      <w:numPr>
        <w:numId w:val="12"/>
      </w:numPr>
    </w:pPr>
  </w:style>
  <w:style w:type="numbering" w:customStyle="1" w:styleId="CurrentList7">
    <w:name w:val="Current List7"/>
    <w:uiPriority w:val="99"/>
    <w:rsid w:val="00193C74"/>
    <w:pPr>
      <w:numPr>
        <w:numId w:val="13"/>
      </w:numPr>
    </w:pPr>
  </w:style>
  <w:style w:type="numbering" w:customStyle="1" w:styleId="CurrentList22">
    <w:name w:val="Current List22"/>
    <w:uiPriority w:val="99"/>
    <w:rsid w:val="00073BC0"/>
    <w:pPr>
      <w:numPr>
        <w:numId w:val="28"/>
      </w:numPr>
    </w:pPr>
  </w:style>
  <w:style w:type="numbering" w:customStyle="1" w:styleId="CurrentList23">
    <w:name w:val="Current List23"/>
    <w:uiPriority w:val="99"/>
    <w:rsid w:val="00073BC0"/>
    <w:pPr>
      <w:numPr>
        <w:numId w:val="29"/>
      </w:numPr>
    </w:pPr>
  </w:style>
  <w:style w:type="numbering" w:customStyle="1" w:styleId="CurrentList24">
    <w:name w:val="Current List24"/>
    <w:uiPriority w:val="99"/>
    <w:rsid w:val="00073BC0"/>
    <w:pPr>
      <w:numPr>
        <w:numId w:val="30"/>
      </w:numPr>
    </w:pPr>
  </w:style>
  <w:style w:type="numbering" w:customStyle="1" w:styleId="CurrentList25">
    <w:name w:val="Current List25"/>
    <w:uiPriority w:val="99"/>
    <w:rsid w:val="00073BC0"/>
    <w:pPr>
      <w:numPr>
        <w:numId w:val="31"/>
      </w:numPr>
    </w:pPr>
  </w:style>
  <w:style w:type="numbering" w:customStyle="1" w:styleId="CurrentList26">
    <w:name w:val="Current List26"/>
    <w:uiPriority w:val="99"/>
    <w:rsid w:val="00073BC0"/>
    <w:pPr>
      <w:numPr>
        <w:numId w:val="32"/>
      </w:numPr>
    </w:pPr>
  </w:style>
  <w:style w:type="numbering" w:customStyle="1" w:styleId="CurrentList12">
    <w:name w:val="Current List12"/>
    <w:uiPriority w:val="99"/>
    <w:rsid w:val="00397F2B"/>
    <w:pPr>
      <w:numPr>
        <w:numId w:val="18"/>
      </w:numPr>
    </w:pPr>
  </w:style>
  <w:style w:type="numbering" w:customStyle="1" w:styleId="CurrentList13">
    <w:name w:val="Current List13"/>
    <w:uiPriority w:val="99"/>
    <w:rsid w:val="00397F2B"/>
    <w:pPr>
      <w:numPr>
        <w:numId w:val="19"/>
      </w:numPr>
    </w:pPr>
  </w:style>
  <w:style w:type="numbering" w:customStyle="1" w:styleId="CurrentList14">
    <w:name w:val="Current List14"/>
    <w:uiPriority w:val="99"/>
    <w:rsid w:val="00397F2B"/>
    <w:pPr>
      <w:numPr>
        <w:numId w:val="20"/>
      </w:numPr>
    </w:pPr>
  </w:style>
  <w:style w:type="numbering" w:customStyle="1" w:styleId="CurrentList15">
    <w:name w:val="Current List15"/>
    <w:uiPriority w:val="99"/>
    <w:rsid w:val="00397F2B"/>
    <w:pPr>
      <w:numPr>
        <w:numId w:val="21"/>
      </w:numPr>
    </w:pPr>
  </w:style>
  <w:style w:type="numbering" w:customStyle="1" w:styleId="CurrentList16">
    <w:name w:val="Current List16"/>
    <w:uiPriority w:val="99"/>
    <w:rsid w:val="00061AAE"/>
    <w:pPr>
      <w:numPr>
        <w:numId w:val="22"/>
      </w:numPr>
    </w:pPr>
  </w:style>
  <w:style w:type="numbering" w:customStyle="1" w:styleId="CurrentList17">
    <w:name w:val="Current List17"/>
    <w:uiPriority w:val="99"/>
    <w:rsid w:val="00061AAE"/>
    <w:pPr>
      <w:numPr>
        <w:numId w:val="23"/>
      </w:numPr>
    </w:pPr>
  </w:style>
  <w:style w:type="numbering" w:customStyle="1" w:styleId="CurrentList18">
    <w:name w:val="Current List18"/>
    <w:uiPriority w:val="99"/>
    <w:rsid w:val="00061AAE"/>
    <w:pPr>
      <w:numPr>
        <w:numId w:val="24"/>
      </w:numPr>
    </w:pPr>
  </w:style>
  <w:style w:type="numbering" w:customStyle="1" w:styleId="CurrentList19">
    <w:name w:val="Current List19"/>
    <w:uiPriority w:val="99"/>
    <w:rsid w:val="00061AAE"/>
    <w:pPr>
      <w:numPr>
        <w:numId w:val="25"/>
      </w:numPr>
    </w:pPr>
  </w:style>
  <w:style w:type="paragraph" w:styleId="ListNumber2">
    <w:name w:val="List Number 2"/>
    <w:basedOn w:val="ListNumber"/>
    <w:uiPriority w:val="99"/>
    <w:unhideWhenUsed/>
    <w:qFormat/>
    <w:rsid w:val="00E6619E"/>
    <w:pPr>
      <w:numPr>
        <w:ilvl w:val="1"/>
      </w:numPr>
      <w:ind w:left="754" w:hanging="397"/>
    </w:pPr>
  </w:style>
  <w:style w:type="paragraph" w:styleId="ListNumber3">
    <w:name w:val="List Number 3"/>
    <w:basedOn w:val="Normal"/>
    <w:uiPriority w:val="99"/>
    <w:unhideWhenUsed/>
    <w:qFormat/>
    <w:rsid w:val="00E6619E"/>
    <w:pPr>
      <w:numPr>
        <w:ilvl w:val="2"/>
        <w:numId w:val="45"/>
      </w:numPr>
      <w:spacing w:after="40"/>
      <w:ind w:left="1287" w:hanging="567"/>
      <w:contextualSpacing/>
    </w:pPr>
  </w:style>
  <w:style w:type="numbering" w:customStyle="1" w:styleId="CurrentList20">
    <w:name w:val="Current List20"/>
    <w:uiPriority w:val="99"/>
    <w:rsid w:val="000519FA"/>
    <w:pPr>
      <w:numPr>
        <w:numId w:val="26"/>
      </w:numPr>
    </w:pPr>
  </w:style>
  <w:style w:type="numbering" w:customStyle="1" w:styleId="CurrentList21">
    <w:name w:val="Current List21"/>
    <w:uiPriority w:val="99"/>
    <w:rsid w:val="00073BC0"/>
    <w:pPr>
      <w:numPr>
        <w:numId w:val="27"/>
      </w:numPr>
    </w:pPr>
  </w:style>
  <w:style w:type="numbering" w:customStyle="1" w:styleId="CurrentList27">
    <w:name w:val="Current List27"/>
    <w:uiPriority w:val="99"/>
    <w:rsid w:val="00073BC0"/>
    <w:pPr>
      <w:numPr>
        <w:numId w:val="33"/>
      </w:numPr>
    </w:pPr>
  </w:style>
  <w:style w:type="numbering" w:customStyle="1" w:styleId="CurrentList28">
    <w:name w:val="Current List28"/>
    <w:uiPriority w:val="99"/>
    <w:rsid w:val="005F4F47"/>
    <w:pPr>
      <w:numPr>
        <w:numId w:val="34"/>
      </w:numPr>
    </w:pPr>
  </w:style>
  <w:style w:type="numbering" w:customStyle="1" w:styleId="CurrentList29">
    <w:name w:val="Current List29"/>
    <w:uiPriority w:val="99"/>
    <w:rsid w:val="003C66CD"/>
    <w:pPr>
      <w:numPr>
        <w:numId w:val="35"/>
      </w:numPr>
    </w:pPr>
  </w:style>
  <w:style w:type="numbering" w:customStyle="1" w:styleId="CurrentList31">
    <w:name w:val="Current List31"/>
    <w:uiPriority w:val="99"/>
    <w:rsid w:val="001F3EE0"/>
    <w:pPr>
      <w:numPr>
        <w:numId w:val="37"/>
      </w:numPr>
    </w:pPr>
  </w:style>
  <w:style w:type="numbering" w:customStyle="1" w:styleId="CurrentList32">
    <w:name w:val="Current List32"/>
    <w:uiPriority w:val="99"/>
    <w:rsid w:val="001F3EE0"/>
    <w:pPr>
      <w:numPr>
        <w:numId w:val="38"/>
      </w:numPr>
    </w:pPr>
  </w:style>
  <w:style w:type="numbering" w:customStyle="1" w:styleId="CurrentList33">
    <w:name w:val="Current List33"/>
    <w:uiPriority w:val="99"/>
    <w:rsid w:val="001F3EE0"/>
    <w:pPr>
      <w:numPr>
        <w:numId w:val="39"/>
      </w:numPr>
    </w:pPr>
  </w:style>
  <w:style w:type="numbering" w:customStyle="1" w:styleId="CurrentList34">
    <w:name w:val="Current List34"/>
    <w:uiPriority w:val="99"/>
    <w:rsid w:val="001F3EE0"/>
    <w:pPr>
      <w:numPr>
        <w:numId w:val="40"/>
      </w:numPr>
    </w:pPr>
  </w:style>
  <w:style w:type="numbering" w:customStyle="1" w:styleId="CurrentList35">
    <w:name w:val="Current List35"/>
    <w:uiPriority w:val="99"/>
    <w:rsid w:val="001F3EE0"/>
    <w:pPr>
      <w:numPr>
        <w:numId w:val="41"/>
      </w:numPr>
    </w:pPr>
  </w:style>
  <w:style w:type="numbering" w:customStyle="1" w:styleId="CurrentList36">
    <w:name w:val="Current List36"/>
    <w:uiPriority w:val="99"/>
    <w:rsid w:val="001A4CCC"/>
    <w:pPr>
      <w:numPr>
        <w:numId w:val="42"/>
      </w:numPr>
    </w:pPr>
  </w:style>
  <w:style w:type="numbering" w:customStyle="1" w:styleId="CurrentList37">
    <w:name w:val="Current List37"/>
    <w:uiPriority w:val="99"/>
    <w:rsid w:val="001A4CCC"/>
    <w:pPr>
      <w:numPr>
        <w:numId w:val="43"/>
      </w:numPr>
    </w:pPr>
  </w:style>
  <w:style w:type="numbering" w:customStyle="1" w:styleId="CurrentList38">
    <w:name w:val="Current List38"/>
    <w:uiPriority w:val="99"/>
    <w:rsid w:val="001A4CCC"/>
    <w:pPr>
      <w:numPr>
        <w:numId w:val="44"/>
      </w:numPr>
    </w:pPr>
  </w:style>
  <w:style w:type="numbering" w:customStyle="1" w:styleId="CurrentList39">
    <w:name w:val="Current List39"/>
    <w:uiPriority w:val="99"/>
    <w:rsid w:val="009F60A3"/>
    <w:pPr>
      <w:numPr>
        <w:numId w:val="46"/>
      </w:numPr>
    </w:pPr>
  </w:style>
  <w:style w:type="paragraph" w:customStyle="1" w:styleId="AMLAname">
    <w:name w:val="AMLA name"/>
    <w:basedOn w:val="Normal"/>
    <w:qFormat/>
    <w:rsid w:val="00F816D1"/>
    <w:pPr>
      <w:ind w:left="227"/>
    </w:pPr>
    <w:rPr>
      <w:rFonts w:ascii="Aptos" w:hAnsi="Aptos"/>
      <w:b/>
      <w:bCs/>
      <w:caps/>
      <w:color w:val="FFFFFF" w:themeColor="background1"/>
    </w:rPr>
  </w:style>
  <w:style w:type="paragraph" w:customStyle="1" w:styleId="AMLAwebaddress">
    <w:name w:val="AMLA web address"/>
    <w:basedOn w:val="Normal"/>
    <w:qFormat/>
    <w:rsid w:val="00F816D1"/>
    <w:pPr>
      <w:ind w:left="227"/>
    </w:pPr>
    <w:rPr>
      <w:rFonts w:ascii="Aptos" w:hAnsi="Aptos"/>
      <w:color w:val="FFFFFF" w:themeColor="background1"/>
      <w:u w:val="single"/>
    </w:rPr>
  </w:style>
  <w:style w:type="paragraph" w:customStyle="1" w:styleId="AMLAaddress">
    <w:name w:val="AMLA address"/>
    <w:basedOn w:val="NoSpacing"/>
    <w:qFormat/>
    <w:rsid w:val="00F816D1"/>
    <w:pPr>
      <w:ind w:left="227"/>
    </w:pPr>
    <w:rPr>
      <w:color w:val="FFFFFF" w:themeColor="background1"/>
    </w:rPr>
  </w:style>
  <w:style w:type="character" w:styleId="UnresolvedMention">
    <w:name w:val="Unresolved Mention"/>
    <w:basedOn w:val="DefaultParagraphFont"/>
    <w:uiPriority w:val="99"/>
    <w:semiHidden/>
    <w:unhideWhenUsed/>
    <w:rsid w:val="001D6831"/>
    <w:rPr>
      <w:rFonts w:asciiTheme="minorHAnsi" w:hAnsiTheme="minorHAnsi"/>
      <w:color w:val="605E5C"/>
      <w:shd w:val="clear" w:color="auto" w:fill="E1DFDD"/>
    </w:rPr>
  </w:style>
  <w:style w:type="numbering" w:customStyle="1" w:styleId="CurrentList40">
    <w:name w:val="Current List40"/>
    <w:uiPriority w:val="99"/>
    <w:rsid w:val="00A35DA7"/>
    <w:pPr>
      <w:numPr>
        <w:numId w:val="47"/>
      </w:numPr>
    </w:pPr>
  </w:style>
  <w:style w:type="numbering" w:customStyle="1" w:styleId="CurrentList41">
    <w:name w:val="Current List41"/>
    <w:uiPriority w:val="99"/>
    <w:rsid w:val="00A35DA7"/>
    <w:pPr>
      <w:numPr>
        <w:numId w:val="48"/>
      </w:numPr>
    </w:pPr>
  </w:style>
  <w:style w:type="numbering" w:customStyle="1" w:styleId="CurrentList42">
    <w:name w:val="Current List42"/>
    <w:uiPriority w:val="99"/>
    <w:rsid w:val="00A35DA7"/>
    <w:pPr>
      <w:numPr>
        <w:numId w:val="49"/>
      </w:numPr>
    </w:pPr>
  </w:style>
  <w:style w:type="paragraph" w:customStyle="1" w:styleId="ListNumber1noindent">
    <w:name w:val="List Number 1 no indent"/>
    <w:basedOn w:val="ListNumber"/>
    <w:qFormat/>
    <w:rsid w:val="00291B94"/>
    <w:pPr>
      <w:numPr>
        <w:numId w:val="0"/>
      </w:numPr>
    </w:pPr>
  </w:style>
  <w:style w:type="numbering" w:customStyle="1" w:styleId="CurrentList43">
    <w:name w:val="Current List43"/>
    <w:uiPriority w:val="99"/>
    <w:rsid w:val="009B0D73"/>
    <w:pPr>
      <w:numPr>
        <w:numId w:val="50"/>
      </w:numPr>
    </w:pPr>
  </w:style>
  <w:style w:type="paragraph" w:customStyle="1" w:styleId="Listnumber2noindent">
    <w:name w:val="List number 2 no indent"/>
    <w:basedOn w:val="ListNumber1noindent"/>
    <w:qFormat/>
    <w:rsid w:val="00291B94"/>
    <w:pPr>
      <w:numPr>
        <w:ilvl w:val="1"/>
      </w:numPr>
      <w:ind w:left="454" w:hanging="454"/>
    </w:pPr>
  </w:style>
  <w:style w:type="paragraph" w:customStyle="1" w:styleId="Listnumber3noindent">
    <w:name w:val="List number 3 no indent"/>
    <w:basedOn w:val="Listnumber2noindent"/>
    <w:qFormat/>
    <w:rsid w:val="00E6619E"/>
    <w:pPr>
      <w:numPr>
        <w:ilvl w:val="2"/>
      </w:numPr>
      <w:ind w:left="680" w:hanging="680"/>
    </w:pPr>
  </w:style>
  <w:style w:type="numbering" w:customStyle="1" w:styleId="CurrentList44">
    <w:name w:val="Current List44"/>
    <w:uiPriority w:val="99"/>
    <w:rsid w:val="00291B94"/>
    <w:pPr>
      <w:numPr>
        <w:numId w:val="51"/>
      </w:numPr>
    </w:pPr>
  </w:style>
  <w:style w:type="numbering" w:customStyle="1" w:styleId="CurrentList45">
    <w:name w:val="Current List45"/>
    <w:uiPriority w:val="99"/>
    <w:rsid w:val="00291B94"/>
    <w:pPr>
      <w:numPr>
        <w:numId w:val="53"/>
      </w:numPr>
    </w:pPr>
  </w:style>
  <w:style w:type="numbering" w:customStyle="1" w:styleId="CurrentList46">
    <w:name w:val="Current List46"/>
    <w:uiPriority w:val="99"/>
    <w:rsid w:val="00291B94"/>
    <w:pPr>
      <w:numPr>
        <w:numId w:val="54"/>
      </w:numPr>
    </w:pPr>
  </w:style>
  <w:style w:type="numbering" w:customStyle="1" w:styleId="CurrentList51">
    <w:name w:val="Current List51"/>
    <w:uiPriority w:val="99"/>
    <w:rsid w:val="007D5CF3"/>
    <w:pPr>
      <w:numPr>
        <w:numId w:val="61"/>
      </w:numPr>
    </w:pPr>
  </w:style>
  <w:style w:type="paragraph" w:customStyle="1" w:styleId="Figuretitlenumbered">
    <w:name w:val="Figure title numbered"/>
    <w:basedOn w:val="Normal"/>
    <w:qFormat/>
    <w:rsid w:val="00A61CF3"/>
    <w:pPr>
      <w:keepNext/>
      <w:numPr>
        <w:numId w:val="60"/>
      </w:numPr>
      <w:spacing w:before="240"/>
      <w:ind w:left="1021" w:hanging="1021"/>
    </w:pPr>
    <w:rPr>
      <w:rFonts w:asciiTheme="minorHAnsi" w:eastAsia="Times New Roman" w:hAnsiTheme="minorHAnsi"/>
      <w:color w:val="027566" w:themeColor="accent2" w:themeShade="BF"/>
    </w:rPr>
  </w:style>
  <w:style w:type="numbering" w:customStyle="1" w:styleId="CurrentList47">
    <w:name w:val="Current List47"/>
    <w:uiPriority w:val="99"/>
    <w:rsid w:val="00E6619E"/>
    <w:pPr>
      <w:numPr>
        <w:numId w:val="56"/>
      </w:numPr>
    </w:pPr>
  </w:style>
  <w:style w:type="numbering" w:customStyle="1" w:styleId="CurrentList48">
    <w:name w:val="Current List48"/>
    <w:uiPriority w:val="99"/>
    <w:rsid w:val="00E6619E"/>
    <w:pPr>
      <w:numPr>
        <w:numId w:val="57"/>
      </w:numPr>
    </w:pPr>
  </w:style>
  <w:style w:type="numbering" w:customStyle="1" w:styleId="CurrentList49">
    <w:name w:val="Current List49"/>
    <w:uiPriority w:val="99"/>
    <w:rsid w:val="00E6619E"/>
    <w:pPr>
      <w:numPr>
        <w:numId w:val="58"/>
      </w:numPr>
    </w:pPr>
  </w:style>
  <w:style w:type="numbering" w:customStyle="1" w:styleId="CurrentList50">
    <w:name w:val="Current List50"/>
    <w:uiPriority w:val="99"/>
    <w:rsid w:val="00E6619E"/>
    <w:pPr>
      <w:numPr>
        <w:numId w:val="59"/>
      </w:numPr>
    </w:pPr>
  </w:style>
  <w:style w:type="numbering" w:customStyle="1" w:styleId="CurrentList52">
    <w:name w:val="Current List52"/>
    <w:uiPriority w:val="99"/>
    <w:rsid w:val="00151C8B"/>
    <w:pPr>
      <w:numPr>
        <w:numId w:val="62"/>
      </w:numPr>
    </w:pPr>
  </w:style>
  <w:style w:type="numbering" w:customStyle="1" w:styleId="CurrentList53">
    <w:name w:val="Current List53"/>
    <w:uiPriority w:val="99"/>
    <w:rsid w:val="00151C8B"/>
    <w:pPr>
      <w:numPr>
        <w:numId w:val="63"/>
      </w:numPr>
    </w:pPr>
  </w:style>
  <w:style w:type="numbering" w:customStyle="1" w:styleId="CurrentList54">
    <w:name w:val="Current List54"/>
    <w:uiPriority w:val="99"/>
    <w:rsid w:val="00B6004B"/>
    <w:pPr>
      <w:numPr>
        <w:numId w:val="64"/>
      </w:numPr>
    </w:pPr>
  </w:style>
  <w:style w:type="numbering" w:customStyle="1" w:styleId="CurrentList55">
    <w:name w:val="Current List55"/>
    <w:uiPriority w:val="99"/>
    <w:rsid w:val="00B6004B"/>
    <w:pPr>
      <w:numPr>
        <w:numId w:val="65"/>
      </w:numPr>
    </w:pPr>
  </w:style>
  <w:style w:type="numbering" w:customStyle="1" w:styleId="CurrentList56">
    <w:name w:val="Current List56"/>
    <w:uiPriority w:val="99"/>
    <w:rsid w:val="00B6004B"/>
    <w:pPr>
      <w:numPr>
        <w:numId w:val="66"/>
      </w:numPr>
    </w:pPr>
  </w:style>
  <w:style w:type="numbering" w:customStyle="1" w:styleId="CurrentList57">
    <w:name w:val="Current List57"/>
    <w:uiPriority w:val="99"/>
    <w:rsid w:val="00B6004B"/>
    <w:pPr>
      <w:numPr>
        <w:numId w:val="67"/>
      </w:numPr>
    </w:pPr>
  </w:style>
  <w:style w:type="numbering" w:customStyle="1" w:styleId="CurrentList58">
    <w:name w:val="Current List58"/>
    <w:uiPriority w:val="99"/>
    <w:rsid w:val="00B6004B"/>
    <w:pPr>
      <w:numPr>
        <w:numId w:val="68"/>
      </w:numPr>
    </w:pPr>
  </w:style>
  <w:style w:type="character" w:customStyle="1" w:styleId="italic">
    <w:name w:val="italic"/>
    <w:basedOn w:val="DefaultParagraphFont"/>
    <w:uiPriority w:val="1"/>
    <w:qFormat/>
    <w:rsid w:val="00C30F08"/>
    <w:rPr>
      <w:rFonts w:asciiTheme="minorHAnsi" w:hAnsiTheme="minorHAnsi"/>
      <w:i/>
    </w:rPr>
  </w:style>
  <w:style w:type="paragraph" w:customStyle="1" w:styleId="Heading1nonumber">
    <w:name w:val="Heading 1 no number"/>
    <w:basedOn w:val="Heading1"/>
    <w:qFormat/>
    <w:rsid w:val="00EC609E"/>
    <w:pPr>
      <w:numPr>
        <w:numId w:val="0"/>
      </w:numPr>
    </w:pPr>
  </w:style>
  <w:style w:type="numbering" w:customStyle="1" w:styleId="CurrentList59">
    <w:name w:val="Current List59"/>
    <w:uiPriority w:val="99"/>
    <w:rsid w:val="00EC609E"/>
    <w:pPr>
      <w:numPr>
        <w:numId w:val="70"/>
      </w:numPr>
    </w:pPr>
  </w:style>
  <w:style w:type="paragraph" w:customStyle="1" w:styleId="Heading2nonumber">
    <w:name w:val="Heading 2 no number"/>
    <w:basedOn w:val="Heading2"/>
    <w:qFormat/>
    <w:rsid w:val="00EC609E"/>
    <w:pPr>
      <w:numPr>
        <w:ilvl w:val="0"/>
        <w:numId w:val="0"/>
      </w:numPr>
    </w:pPr>
  </w:style>
  <w:style w:type="numbering" w:customStyle="1" w:styleId="CurrentList60">
    <w:name w:val="Current List60"/>
    <w:uiPriority w:val="99"/>
    <w:rsid w:val="00EC609E"/>
    <w:pPr>
      <w:numPr>
        <w:numId w:val="71"/>
      </w:numPr>
    </w:pPr>
  </w:style>
  <w:style w:type="paragraph" w:customStyle="1" w:styleId="Heading3nonumber">
    <w:name w:val="Heading 3 no number"/>
    <w:basedOn w:val="Heading3"/>
    <w:qFormat/>
    <w:rsid w:val="00EC609E"/>
    <w:pPr>
      <w:numPr>
        <w:ilvl w:val="0"/>
        <w:numId w:val="0"/>
      </w:numPr>
    </w:pPr>
  </w:style>
  <w:style w:type="numbering" w:customStyle="1" w:styleId="CurrentList61">
    <w:name w:val="Current List61"/>
    <w:uiPriority w:val="99"/>
    <w:rsid w:val="00EC609E"/>
    <w:pPr>
      <w:numPr>
        <w:numId w:val="72"/>
      </w:numPr>
    </w:pPr>
  </w:style>
  <w:style w:type="paragraph" w:customStyle="1" w:styleId="Heading4nonumber">
    <w:name w:val="Heading 4 no number"/>
    <w:basedOn w:val="Heading4"/>
    <w:qFormat/>
    <w:rsid w:val="00EC609E"/>
    <w:pPr>
      <w:numPr>
        <w:ilvl w:val="0"/>
        <w:numId w:val="0"/>
      </w:numPr>
    </w:pPr>
    <w:rPr>
      <w:noProof/>
    </w:rPr>
  </w:style>
  <w:style w:type="numbering" w:customStyle="1" w:styleId="CurrentList62">
    <w:name w:val="Current List62"/>
    <w:uiPriority w:val="99"/>
    <w:rsid w:val="00EC609E"/>
    <w:pPr>
      <w:numPr>
        <w:numId w:val="73"/>
      </w:numPr>
    </w:pPr>
  </w:style>
  <w:style w:type="paragraph" w:customStyle="1" w:styleId="Heading5nonumber">
    <w:name w:val="Heading 5 no number"/>
    <w:basedOn w:val="Heading5"/>
    <w:qFormat/>
    <w:rsid w:val="00EC609E"/>
    <w:pPr>
      <w:numPr>
        <w:ilvl w:val="0"/>
        <w:numId w:val="0"/>
      </w:numPr>
    </w:pPr>
    <w:rPr>
      <w:rFonts w:eastAsia="Cambria"/>
    </w:rPr>
  </w:style>
  <w:style w:type="numbering" w:customStyle="1" w:styleId="CurrentList63">
    <w:name w:val="Current List63"/>
    <w:uiPriority w:val="99"/>
    <w:rsid w:val="00EC609E"/>
    <w:pPr>
      <w:numPr>
        <w:numId w:val="74"/>
      </w:numPr>
    </w:pPr>
  </w:style>
  <w:style w:type="numbering" w:customStyle="1" w:styleId="LFO7">
    <w:name w:val="LFO7"/>
    <w:basedOn w:val="NoList"/>
    <w:rsid w:val="00B71AE3"/>
    <w:pPr>
      <w:numPr>
        <w:numId w:val="75"/>
      </w:numPr>
    </w:pPr>
  </w:style>
  <w:style w:type="paragraph" w:customStyle="1" w:styleId="body">
    <w:name w:val="body"/>
    <w:link w:val="bodyChar"/>
    <w:autoRedefine/>
    <w:qFormat/>
    <w:rsid w:val="002029F4"/>
    <w:pPr>
      <w:spacing w:before="240" w:after="120" w:line="276" w:lineRule="auto"/>
      <w:jc w:val="both"/>
    </w:pPr>
    <w:rPr>
      <w:rFonts w:asciiTheme="minorHAnsi" w:eastAsiaTheme="minorEastAsia" w:hAnsiTheme="minorHAnsi" w:cstheme="minorBidi"/>
      <w:sz w:val="22"/>
      <w:szCs w:val="24"/>
      <w:lang w:val="en-US" w:eastAsia="en-US"/>
    </w:rPr>
  </w:style>
  <w:style w:type="paragraph" w:customStyle="1" w:styleId="Contenttitle">
    <w:name w:val="Content title"/>
    <w:basedOn w:val="Normal"/>
    <w:autoRedefine/>
    <w:qFormat/>
    <w:rsid w:val="008B25CB"/>
    <w:pPr>
      <w:pBdr>
        <w:bottom w:val="single" w:sz="48" w:space="1" w:color="132D4E" w:themeColor="text2"/>
      </w:pBdr>
      <w:spacing w:before="360" w:after="600" w:line="560" w:lineRule="exact"/>
    </w:pPr>
    <w:rPr>
      <w:rFonts w:asciiTheme="majorHAnsi" w:eastAsiaTheme="majorEastAsia" w:hAnsiTheme="majorHAnsi" w:cstheme="majorBidi"/>
      <w:color w:val="FFFFFF" w:themeColor="background1"/>
      <w:spacing w:val="5"/>
      <w:kern w:val="28"/>
      <w:sz w:val="52"/>
      <w:szCs w:val="52"/>
      <w:lang w:eastAsia="en-US"/>
    </w:rPr>
  </w:style>
  <w:style w:type="character" w:customStyle="1" w:styleId="bodyChar">
    <w:name w:val="body Char"/>
    <w:basedOn w:val="DefaultParagraphFont"/>
    <w:link w:val="body"/>
    <w:rsid w:val="0096384A"/>
    <w:rPr>
      <w:rFonts w:asciiTheme="minorHAnsi" w:eastAsiaTheme="minorEastAsia" w:hAnsiTheme="minorHAnsi" w:cstheme="minorBidi"/>
      <w:sz w:val="22"/>
      <w:szCs w:val="24"/>
      <w:lang w:val="en-US" w:eastAsia="en-US"/>
    </w:rPr>
  </w:style>
  <w:style w:type="paragraph" w:styleId="Revision">
    <w:name w:val="Revision"/>
    <w:hidden/>
    <w:uiPriority w:val="99"/>
    <w:semiHidden/>
    <w:rsid w:val="00A03C5E"/>
    <w:rPr>
      <w:rFonts w:ascii="Aptos Light" w:hAnsi="Aptos Light"/>
      <w:color w:val="262626" w:themeColor="text1" w:themeTint="D9"/>
      <w:kern w:val="20"/>
      <w:sz w:val="22"/>
      <w:lang w:val="en-US" w:eastAsia="ja-JP"/>
    </w:rPr>
  </w:style>
  <w:style w:type="character" w:styleId="Mention">
    <w:name w:val="Mention"/>
    <w:basedOn w:val="DefaultParagraphFont"/>
    <w:uiPriority w:val="99"/>
    <w:unhideWhenUsed/>
    <w:rsid w:val="004D0860"/>
    <w:rPr>
      <w:color w:val="2B579A"/>
      <w:shd w:val="clear" w:color="auto" w:fill="E1DFDD"/>
    </w:rPr>
  </w:style>
  <w:style w:type="paragraph" w:customStyle="1" w:styleId="Instructionsberschrift2">
    <w:name w:val="Instructions Überschrift 2"/>
    <w:basedOn w:val="Heading2"/>
    <w:rsid w:val="008D6718"/>
    <w:pPr>
      <w:keepNext/>
      <w:numPr>
        <w:ilvl w:val="0"/>
        <w:numId w:val="76"/>
      </w:numPr>
      <w:tabs>
        <w:tab w:val="num" w:pos="360"/>
      </w:tabs>
      <w:spacing w:before="240" w:line="240" w:lineRule="auto"/>
      <w:ind w:left="0" w:firstLine="0"/>
      <w:jc w:val="both"/>
    </w:pPr>
    <w:rPr>
      <w:rFonts w:ascii="Times New Roman" w:eastAsia="Arial" w:hAnsi="Times New Roman" w:cs="Arial"/>
      <w:b w:val="0"/>
      <w:color w:val="auto"/>
      <w:kern w:val="0"/>
      <w:sz w:val="20"/>
      <w:szCs w:val="24"/>
      <w:lang w:val="en-GB" w:eastAsia="x-none"/>
    </w:rPr>
  </w:style>
  <w:style w:type="paragraph" w:customStyle="1" w:styleId="InstructionsText2">
    <w:name w:val="Instructions Text 2"/>
    <w:basedOn w:val="Normal"/>
    <w:qFormat/>
    <w:rsid w:val="008D6718"/>
    <w:pPr>
      <w:spacing w:before="0" w:after="240" w:line="240" w:lineRule="auto"/>
      <w:jc w:val="both"/>
    </w:pPr>
    <w:rPr>
      <w:rFonts w:ascii="Times New Roman" w:eastAsia="Times New Roman" w:hAnsi="Times New Roman"/>
      <w:color w:val="auto"/>
      <w:kern w:val="0"/>
      <w:sz w:val="24"/>
      <w:szCs w:val="24"/>
      <w:lang w:val="en-GB" w:eastAsia="de-DE"/>
    </w:rPr>
  </w:style>
  <w:style w:type="character" w:customStyle="1" w:styleId="InstructionsTextChar">
    <w:name w:val="Instructions Text Char"/>
    <w:link w:val="InstructionsText"/>
    <w:locked/>
    <w:rsid w:val="00F32516"/>
    <w:rPr>
      <w:rFonts w:asciiTheme="minorHAnsi" w:eastAsia="Times New Roman" w:hAnsiTheme="minorHAnsi" w:cs="Calibri"/>
      <w:bCs/>
      <w:color w:val="000000"/>
      <w:lang w:eastAsia="de-DE" w:bidi="ne-NP"/>
    </w:rPr>
  </w:style>
  <w:style w:type="paragraph" w:customStyle="1" w:styleId="InstructionsText">
    <w:name w:val="Instructions Text"/>
    <w:basedOn w:val="Normal"/>
    <w:link w:val="InstructionsTextChar"/>
    <w:autoRedefine/>
    <w:rsid w:val="00F32516"/>
    <w:pPr>
      <w:spacing w:before="0" w:after="0" w:line="240" w:lineRule="auto"/>
      <w:jc w:val="both"/>
    </w:pPr>
    <w:rPr>
      <w:rFonts w:asciiTheme="minorHAnsi" w:eastAsia="Times New Roman" w:hAnsiTheme="minorHAnsi" w:cs="Calibri"/>
      <w:bCs/>
      <w:color w:val="000000"/>
      <w:kern w:val="0"/>
      <w:sz w:val="20"/>
      <w:lang w:val="en-GB" w:eastAsia="de-DE" w:bidi="ne-NP"/>
    </w:rPr>
  </w:style>
  <w:style w:type="character" w:customStyle="1" w:styleId="InstructionsTabelleberschrift">
    <w:name w:val="Instructions Tabelle Überschrift"/>
    <w:qFormat/>
    <w:rsid w:val="00534BBD"/>
    <w:rPr>
      <w:rFonts w:ascii="Verdana" w:hAnsi="Verdana" w:cs="Times New Roman" w:hint="default"/>
      <w:b/>
      <w:bCs/>
      <w:sz w:val="20"/>
      <w:u w:val="single"/>
    </w:rPr>
  </w:style>
  <w:style w:type="character" w:customStyle="1" w:styleId="InstructionsTabelleText">
    <w:name w:val="Instructions Tabelle Text"/>
    <w:rsid w:val="00534BBD"/>
    <w:rPr>
      <w:rFonts w:ascii="Verdana" w:hAnsi="Verdana" w:cs="Times New Roman" w:hint="default"/>
      <w:sz w:val="20"/>
    </w:rPr>
  </w:style>
  <w:style w:type="character" w:customStyle="1" w:styleId="FormatvorlageInstructionsTabelleText">
    <w:name w:val="Formatvorlage Instructions Tabelle Text"/>
    <w:uiPriority w:val="99"/>
    <w:qFormat/>
    <w:rsid w:val="00534BBD"/>
    <w:rPr>
      <w:rFonts w:ascii="Verdana" w:hAnsi="Verdana" w:cs="Times New Roman" w:hint="default"/>
      <w:bCs/>
      <w:strike w:val="0"/>
      <w:dstrike w:val="0"/>
      <w:sz w:val="20"/>
      <w:u w:val="none"/>
      <w:effect w:val="none"/>
    </w:rPr>
  </w:style>
  <w:style w:type="character" w:customStyle="1" w:styleId="normaltextrun">
    <w:name w:val="normaltextrun"/>
    <w:basedOn w:val="DefaultParagraphFont"/>
    <w:rsid w:val="00051A46"/>
  </w:style>
  <w:style w:type="character" w:customStyle="1" w:styleId="eop">
    <w:name w:val="eop"/>
    <w:basedOn w:val="DefaultParagraphFont"/>
    <w:rsid w:val="00051A46"/>
  </w:style>
  <w:style w:type="character" w:customStyle="1" w:styleId="cf01">
    <w:name w:val="cf01"/>
    <w:basedOn w:val="DefaultParagraphFont"/>
    <w:rsid w:val="00392DA1"/>
    <w:rPr>
      <w:rFonts w:ascii="Segoe UI" w:hAnsi="Segoe UI" w:cs="Segoe UI" w:hint="default"/>
      <w:color w:val="262626"/>
      <w:sz w:val="18"/>
      <w:szCs w:val="18"/>
    </w:rPr>
  </w:style>
  <w:style w:type="numbering" w:customStyle="1" w:styleId="NoList1">
    <w:name w:val="No List1"/>
    <w:next w:val="NoList"/>
    <w:uiPriority w:val="99"/>
    <w:semiHidden/>
    <w:unhideWhenUsed/>
    <w:rsid w:val="00744219"/>
  </w:style>
  <w:style w:type="paragraph" w:customStyle="1" w:styleId="msonormal0">
    <w:name w:val="msonormal"/>
    <w:basedOn w:val="Normal"/>
    <w:rsid w:val="00744219"/>
    <w:pPr>
      <w:spacing w:before="100" w:beforeAutospacing="1" w:after="100" w:afterAutospacing="1" w:line="240" w:lineRule="auto"/>
    </w:pPr>
    <w:rPr>
      <w:rFonts w:ascii="Times New Roman" w:eastAsia="Times New Roman" w:hAnsi="Times New Roman"/>
      <w:color w:val="auto"/>
      <w:kern w:val="0"/>
      <w:sz w:val="24"/>
      <w:szCs w:val="24"/>
      <w:lang w:val="en-IE" w:eastAsia="en-IE"/>
    </w:rPr>
  </w:style>
  <w:style w:type="paragraph" w:customStyle="1" w:styleId="xl19">
    <w:name w:val="xl19"/>
    <w:basedOn w:val="Normal"/>
    <w:rsid w:val="00744219"/>
    <w:pPr>
      <w:pBdr>
        <w:top w:val="single" w:sz="4" w:space="0" w:color="auto"/>
        <w:left w:val="single" w:sz="4" w:space="0" w:color="auto"/>
        <w:bottom w:val="single" w:sz="4" w:space="0" w:color="auto"/>
        <w:right w:val="single" w:sz="4" w:space="0" w:color="auto"/>
      </w:pBdr>
      <w:shd w:val="clear" w:color="000000" w:fill="000099"/>
      <w:spacing w:before="100" w:beforeAutospacing="1" w:after="100" w:afterAutospacing="1" w:line="240" w:lineRule="auto"/>
      <w:jc w:val="center"/>
      <w:textAlignment w:val="center"/>
    </w:pPr>
    <w:rPr>
      <w:rFonts w:ascii="Times New Roman" w:eastAsia="Times New Roman" w:hAnsi="Times New Roman"/>
      <w:b/>
      <w:bCs/>
      <w:color w:val="FFFFFF"/>
      <w:kern w:val="0"/>
      <w:sz w:val="20"/>
      <w:lang w:val="en-IE" w:eastAsia="en-IE"/>
    </w:rPr>
  </w:style>
  <w:style w:type="paragraph" w:customStyle="1" w:styleId="xl26">
    <w:name w:val="xl26"/>
    <w:basedOn w:val="Normal"/>
    <w:rsid w:val="007442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27">
    <w:name w:val="xl27"/>
    <w:basedOn w:val="Normal"/>
    <w:rsid w:val="0074421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28">
    <w:name w:val="xl28"/>
    <w:basedOn w:val="Normal"/>
    <w:rsid w:val="0074421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29">
    <w:name w:val="xl29"/>
    <w:basedOn w:val="Normal"/>
    <w:rsid w:val="0074421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30">
    <w:name w:val="xl30"/>
    <w:basedOn w:val="Normal"/>
    <w:rsid w:val="0074421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31">
    <w:name w:val="xl31"/>
    <w:basedOn w:val="Normal"/>
    <w:rsid w:val="0074421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35">
    <w:name w:val="xl35"/>
    <w:basedOn w:val="Normal"/>
    <w:rsid w:val="00744219"/>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36">
    <w:name w:val="xl36"/>
    <w:basedOn w:val="Normal"/>
    <w:rsid w:val="00744219"/>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37">
    <w:name w:val="xl37"/>
    <w:basedOn w:val="Normal"/>
    <w:rsid w:val="00744219"/>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38">
    <w:name w:val="xl38"/>
    <w:basedOn w:val="Normal"/>
    <w:rsid w:val="00744219"/>
    <w:pPr>
      <w:pBdr>
        <w:top w:val="single" w:sz="4" w:space="0" w:color="auto"/>
        <w:bottom w:val="single" w:sz="4" w:space="0" w:color="000000"/>
        <w:right w:val="single" w:sz="4" w:space="0" w:color="auto"/>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39">
    <w:name w:val="xl39"/>
    <w:basedOn w:val="Normal"/>
    <w:rsid w:val="0074421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40">
    <w:name w:val="xl40"/>
    <w:basedOn w:val="Normal"/>
    <w:rsid w:val="00744219"/>
    <w:pPr>
      <w:pBdr>
        <w:top w:val="single" w:sz="8" w:space="0" w:color="auto"/>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41">
    <w:name w:val="xl41"/>
    <w:basedOn w:val="Normal"/>
    <w:rsid w:val="00744219"/>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42">
    <w:name w:val="xl42"/>
    <w:basedOn w:val="Normal"/>
    <w:rsid w:val="00744219"/>
    <w:pPr>
      <w:pBdr>
        <w:top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43">
    <w:name w:val="xl43"/>
    <w:basedOn w:val="Normal"/>
    <w:rsid w:val="00744219"/>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44">
    <w:name w:val="xl44"/>
    <w:basedOn w:val="Normal"/>
    <w:rsid w:val="00744219"/>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45">
    <w:name w:val="xl45"/>
    <w:basedOn w:val="Normal"/>
    <w:rsid w:val="0074421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46">
    <w:name w:val="xl46"/>
    <w:basedOn w:val="Normal"/>
    <w:rsid w:val="00744219"/>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47">
    <w:name w:val="xl47"/>
    <w:basedOn w:val="Normal"/>
    <w:rsid w:val="0074421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48">
    <w:name w:val="xl48"/>
    <w:basedOn w:val="Normal"/>
    <w:rsid w:val="00744219"/>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49">
    <w:name w:val="xl49"/>
    <w:basedOn w:val="Normal"/>
    <w:rsid w:val="00744219"/>
    <w:pPr>
      <w:pBdr>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50">
    <w:name w:val="xl50"/>
    <w:basedOn w:val="Normal"/>
    <w:rsid w:val="0074421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000000"/>
      <w:kern w:val="0"/>
      <w:sz w:val="20"/>
      <w:lang w:val="en-IE" w:eastAsia="en-IE"/>
    </w:rPr>
  </w:style>
  <w:style w:type="paragraph" w:customStyle="1" w:styleId="xl51">
    <w:name w:val="xl51"/>
    <w:basedOn w:val="Normal"/>
    <w:rsid w:val="00744219"/>
    <w:pPr>
      <w:pBdr>
        <w:top w:val="single" w:sz="8" w:space="0" w:color="auto"/>
        <w:left w:val="single" w:sz="4" w:space="0" w:color="auto"/>
        <w:bottom w:val="single" w:sz="8" w:space="0" w:color="auto"/>
        <w:right w:val="single" w:sz="4" w:space="0" w:color="auto"/>
      </w:pBdr>
      <w:shd w:val="clear" w:color="000000" w:fill="3D7AF5"/>
      <w:spacing w:before="100" w:beforeAutospacing="1" w:after="100" w:afterAutospacing="1" w:line="240" w:lineRule="auto"/>
      <w:jc w:val="center"/>
      <w:textAlignment w:val="center"/>
    </w:pPr>
    <w:rPr>
      <w:rFonts w:ascii="Aptos Display" w:eastAsia="Times New Roman" w:hAnsi="Aptos Display"/>
      <w:b/>
      <w:bCs/>
      <w:color w:val="FFFFFF"/>
      <w:kern w:val="0"/>
      <w:sz w:val="20"/>
      <w:lang w:val="en-IE" w:eastAsia="en-IE"/>
    </w:rPr>
  </w:style>
  <w:style w:type="paragraph" w:customStyle="1" w:styleId="xl52">
    <w:name w:val="xl52"/>
    <w:basedOn w:val="Normal"/>
    <w:rsid w:val="00744219"/>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53">
    <w:name w:val="xl53"/>
    <w:basedOn w:val="Normal"/>
    <w:rsid w:val="0074421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54">
    <w:name w:val="xl54"/>
    <w:basedOn w:val="Normal"/>
    <w:rsid w:val="00744219"/>
    <w:pPr>
      <w:pBdr>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55">
    <w:name w:val="xl55"/>
    <w:basedOn w:val="Normal"/>
    <w:rsid w:val="0074421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56">
    <w:name w:val="xl56"/>
    <w:basedOn w:val="Normal"/>
    <w:rsid w:val="00744219"/>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57">
    <w:name w:val="xl57"/>
    <w:basedOn w:val="Normal"/>
    <w:rsid w:val="0074421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58">
    <w:name w:val="xl58"/>
    <w:basedOn w:val="Normal"/>
    <w:rsid w:val="00744219"/>
    <w:pPr>
      <w:pBdr>
        <w:top w:val="single" w:sz="4" w:space="0" w:color="auto"/>
        <w:left w:val="single" w:sz="4" w:space="0" w:color="auto"/>
        <w:bottom w:val="single" w:sz="4" w:space="0" w:color="auto"/>
        <w:right w:val="single" w:sz="4" w:space="0" w:color="auto"/>
      </w:pBdr>
      <w:shd w:val="clear" w:color="000000" w:fill="3D7AF5"/>
      <w:spacing w:before="100" w:beforeAutospacing="1" w:after="100" w:afterAutospacing="1" w:line="240" w:lineRule="auto"/>
      <w:jc w:val="center"/>
      <w:textAlignment w:val="center"/>
    </w:pPr>
    <w:rPr>
      <w:rFonts w:ascii="Aptos Display" w:eastAsia="Times New Roman" w:hAnsi="Aptos Display"/>
      <w:b/>
      <w:bCs/>
      <w:color w:val="FFFFFF"/>
      <w:kern w:val="0"/>
      <w:sz w:val="20"/>
      <w:lang w:val="en-IE" w:eastAsia="en-IE"/>
    </w:rPr>
  </w:style>
  <w:style w:type="paragraph" w:customStyle="1" w:styleId="xl59">
    <w:name w:val="xl59"/>
    <w:basedOn w:val="Normal"/>
    <w:rsid w:val="00744219"/>
    <w:pPr>
      <w:pBdr>
        <w:top w:val="single" w:sz="8" w:space="0" w:color="auto"/>
        <w:left w:val="single" w:sz="4" w:space="0" w:color="auto"/>
        <w:right w:val="single" w:sz="4" w:space="0" w:color="auto"/>
      </w:pBdr>
      <w:shd w:val="clear" w:color="000000" w:fill="3D7AF5"/>
      <w:spacing w:before="100" w:beforeAutospacing="1" w:after="100" w:afterAutospacing="1" w:line="240" w:lineRule="auto"/>
      <w:jc w:val="center"/>
      <w:textAlignment w:val="center"/>
    </w:pPr>
    <w:rPr>
      <w:rFonts w:ascii="Aptos Display" w:eastAsia="Times New Roman" w:hAnsi="Aptos Display"/>
      <w:b/>
      <w:bCs/>
      <w:color w:val="FFFFFF"/>
      <w:kern w:val="0"/>
      <w:sz w:val="20"/>
      <w:lang w:val="en-IE" w:eastAsia="en-IE"/>
    </w:rPr>
  </w:style>
  <w:style w:type="paragraph" w:customStyle="1" w:styleId="xl60">
    <w:name w:val="xl60"/>
    <w:basedOn w:val="Normal"/>
    <w:rsid w:val="00744219"/>
    <w:pPr>
      <w:pBdr>
        <w:top w:val="single" w:sz="4" w:space="0" w:color="auto"/>
        <w:left w:val="single" w:sz="4" w:space="0" w:color="auto"/>
        <w:right w:val="single" w:sz="4" w:space="0" w:color="auto"/>
      </w:pBdr>
      <w:shd w:val="clear" w:color="000000" w:fill="3D7AF5"/>
      <w:spacing w:before="100" w:beforeAutospacing="1" w:after="100" w:afterAutospacing="1" w:line="240" w:lineRule="auto"/>
      <w:jc w:val="center"/>
      <w:textAlignment w:val="center"/>
    </w:pPr>
    <w:rPr>
      <w:rFonts w:ascii="Times New Roman" w:eastAsia="Times New Roman" w:hAnsi="Times New Roman"/>
      <w:b/>
      <w:bCs/>
      <w:color w:val="FFFFFF"/>
      <w:kern w:val="0"/>
      <w:sz w:val="20"/>
      <w:lang w:val="en-IE" w:eastAsia="en-IE"/>
    </w:rPr>
  </w:style>
  <w:style w:type="paragraph" w:customStyle="1" w:styleId="xl61">
    <w:name w:val="xl61"/>
    <w:basedOn w:val="Normal"/>
    <w:rsid w:val="00744219"/>
    <w:pPr>
      <w:pBdr>
        <w:top w:val="single" w:sz="4" w:space="0" w:color="auto"/>
        <w:left w:val="single" w:sz="4" w:space="0" w:color="auto"/>
        <w:bottom w:val="single" w:sz="8" w:space="0" w:color="auto"/>
        <w:right w:val="single" w:sz="4" w:space="0" w:color="auto"/>
      </w:pBdr>
      <w:shd w:val="clear" w:color="000000" w:fill="3D7AF5"/>
      <w:spacing w:before="100" w:beforeAutospacing="1" w:after="100" w:afterAutospacing="1" w:line="240" w:lineRule="auto"/>
      <w:jc w:val="center"/>
      <w:textAlignment w:val="center"/>
    </w:pPr>
    <w:rPr>
      <w:rFonts w:ascii="Aptos Display" w:eastAsia="Times New Roman" w:hAnsi="Aptos Display"/>
      <w:b/>
      <w:bCs/>
      <w:color w:val="FFFFFF"/>
      <w:kern w:val="0"/>
      <w:sz w:val="20"/>
      <w:lang w:val="en-IE" w:eastAsia="en-IE"/>
    </w:rPr>
  </w:style>
  <w:style w:type="paragraph" w:customStyle="1" w:styleId="xl62">
    <w:name w:val="xl62"/>
    <w:basedOn w:val="Normal"/>
    <w:rsid w:val="00744219"/>
    <w:pPr>
      <w:pBdr>
        <w:top w:val="single" w:sz="8" w:space="0" w:color="auto"/>
        <w:left w:val="single" w:sz="4" w:space="0" w:color="auto"/>
        <w:bottom w:val="single" w:sz="4" w:space="0" w:color="auto"/>
        <w:right w:val="single" w:sz="4" w:space="0" w:color="auto"/>
      </w:pBdr>
      <w:shd w:val="clear" w:color="000000" w:fill="3D7AF5"/>
      <w:spacing w:before="100" w:beforeAutospacing="1" w:after="100" w:afterAutospacing="1" w:line="240" w:lineRule="auto"/>
      <w:jc w:val="center"/>
      <w:textAlignment w:val="center"/>
    </w:pPr>
    <w:rPr>
      <w:rFonts w:ascii="Aptos Display" w:eastAsia="Times New Roman" w:hAnsi="Aptos Display"/>
      <w:b/>
      <w:bCs/>
      <w:color w:val="FFFFFF"/>
      <w:kern w:val="0"/>
      <w:sz w:val="20"/>
      <w:lang w:val="en-IE" w:eastAsia="en-IE"/>
    </w:rPr>
  </w:style>
  <w:style w:type="paragraph" w:customStyle="1" w:styleId="xl63">
    <w:name w:val="xl63"/>
    <w:basedOn w:val="Normal"/>
    <w:rsid w:val="00744219"/>
    <w:pPr>
      <w:pBdr>
        <w:left w:val="single" w:sz="4" w:space="0" w:color="auto"/>
        <w:bottom w:val="single" w:sz="8" w:space="0" w:color="auto"/>
        <w:right w:val="single" w:sz="4" w:space="0" w:color="auto"/>
      </w:pBdr>
      <w:shd w:val="clear" w:color="000000" w:fill="3D7AF5"/>
      <w:spacing w:before="100" w:beforeAutospacing="1" w:after="100" w:afterAutospacing="1" w:line="240" w:lineRule="auto"/>
      <w:jc w:val="center"/>
      <w:textAlignment w:val="center"/>
    </w:pPr>
    <w:rPr>
      <w:rFonts w:ascii="Aptos Display" w:eastAsia="Times New Roman" w:hAnsi="Aptos Display"/>
      <w:b/>
      <w:bCs/>
      <w:color w:val="FFFFFF"/>
      <w:kern w:val="0"/>
      <w:sz w:val="20"/>
      <w:lang w:val="en-IE" w:eastAsia="en-IE"/>
    </w:rPr>
  </w:style>
  <w:style w:type="paragraph" w:customStyle="1" w:styleId="xl64">
    <w:name w:val="xl64"/>
    <w:basedOn w:val="Normal"/>
    <w:rsid w:val="00744219"/>
    <w:pPr>
      <w:pBdr>
        <w:top w:val="single" w:sz="8" w:space="0" w:color="auto"/>
        <w:bottom w:val="single" w:sz="4" w:space="0" w:color="000000"/>
        <w:right w:val="single" w:sz="4" w:space="0" w:color="000000"/>
      </w:pBdr>
      <w:shd w:val="clear" w:color="000000" w:fill="3D7AF5"/>
      <w:spacing w:before="100" w:beforeAutospacing="1" w:after="100" w:afterAutospacing="1" w:line="240" w:lineRule="auto"/>
      <w:jc w:val="center"/>
      <w:textAlignment w:val="center"/>
    </w:pPr>
    <w:rPr>
      <w:rFonts w:ascii="Times New Roman" w:eastAsia="Times New Roman" w:hAnsi="Times New Roman"/>
      <w:b/>
      <w:bCs/>
      <w:color w:val="FFFFFF"/>
      <w:kern w:val="0"/>
      <w:sz w:val="20"/>
      <w:lang w:val="en-IE" w:eastAsia="en-IE"/>
    </w:rPr>
  </w:style>
  <w:style w:type="paragraph" w:customStyle="1" w:styleId="xl65">
    <w:name w:val="xl65"/>
    <w:basedOn w:val="Normal"/>
    <w:rsid w:val="00744219"/>
    <w:pPr>
      <w:pBdr>
        <w:top w:val="single" w:sz="8" w:space="0" w:color="auto"/>
      </w:pBdr>
      <w:shd w:val="clear" w:color="000000" w:fill="3D7AF5"/>
      <w:spacing w:before="100" w:beforeAutospacing="1" w:after="100" w:afterAutospacing="1" w:line="240" w:lineRule="auto"/>
      <w:jc w:val="center"/>
      <w:textAlignment w:val="center"/>
    </w:pPr>
    <w:rPr>
      <w:rFonts w:ascii="Aptos Display" w:eastAsia="Times New Roman" w:hAnsi="Aptos Display"/>
      <w:b/>
      <w:bCs/>
      <w:color w:val="FFFFFF"/>
      <w:kern w:val="0"/>
      <w:sz w:val="20"/>
      <w:lang w:val="en-IE" w:eastAsia="en-IE"/>
    </w:rPr>
  </w:style>
  <w:style w:type="paragraph" w:customStyle="1" w:styleId="xl66">
    <w:name w:val="xl66"/>
    <w:basedOn w:val="Normal"/>
    <w:rsid w:val="00744219"/>
    <w:pPr>
      <w:pBdr>
        <w:left w:val="single" w:sz="4" w:space="0" w:color="auto"/>
        <w:bottom w:val="single" w:sz="4" w:space="0" w:color="auto"/>
        <w:right w:val="single" w:sz="4" w:space="0" w:color="auto"/>
      </w:pBdr>
      <w:shd w:val="clear" w:color="000000" w:fill="3D7AF5"/>
      <w:spacing w:before="100" w:beforeAutospacing="1" w:after="100" w:afterAutospacing="1" w:line="240" w:lineRule="auto"/>
      <w:jc w:val="center"/>
      <w:textAlignment w:val="center"/>
    </w:pPr>
    <w:rPr>
      <w:rFonts w:ascii="Aptos Display" w:eastAsia="Times New Roman" w:hAnsi="Aptos Display"/>
      <w:b/>
      <w:bCs/>
      <w:color w:val="FFFFFF"/>
      <w:kern w:val="0"/>
      <w:sz w:val="20"/>
      <w:lang w:val="en-IE" w:eastAsia="en-IE"/>
    </w:rPr>
  </w:style>
  <w:style w:type="paragraph" w:customStyle="1" w:styleId="xl67">
    <w:name w:val="xl67"/>
    <w:basedOn w:val="Normal"/>
    <w:rsid w:val="00744219"/>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68">
    <w:name w:val="xl68"/>
    <w:basedOn w:val="Normal"/>
    <w:rsid w:val="00744219"/>
    <w:pPr>
      <w:pBdr>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69">
    <w:name w:val="xl69"/>
    <w:basedOn w:val="Normal"/>
    <w:rsid w:val="00744219"/>
    <w:pPr>
      <w:pBdr>
        <w:top w:val="single" w:sz="4" w:space="0" w:color="auto"/>
        <w:left w:val="single" w:sz="4" w:space="0" w:color="auto"/>
        <w:bottom w:val="single" w:sz="8" w:space="0" w:color="000000"/>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70">
    <w:name w:val="xl70"/>
    <w:basedOn w:val="Normal"/>
    <w:rsid w:val="00744219"/>
    <w:pPr>
      <w:pBdr>
        <w:left w:val="single" w:sz="4" w:space="0" w:color="auto"/>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71">
    <w:name w:val="xl71"/>
    <w:basedOn w:val="Normal"/>
    <w:rsid w:val="00744219"/>
    <w:pPr>
      <w:pBdr>
        <w:top w:val="single" w:sz="4" w:space="0" w:color="000000"/>
        <w:left w:val="single" w:sz="4" w:space="0" w:color="auto"/>
        <w:bottom w:val="single" w:sz="4" w:space="0" w:color="000000"/>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72">
    <w:name w:val="xl72"/>
    <w:basedOn w:val="Normal"/>
    <w:rsid w:val="00744219"/>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73">
    <w:name w:val="xl73"/>
    <w:basedOn w:val="Normal"/>
    <w:rsid w:val="00744219"/>
    <w:pPr>
      <w:pBdr>
        <w:top w:val="single" w:sz="4" w:space="0" w:color="000000"/>
        <w:left w:val="single" w:sz="4" w:space="0" w:color="000000"/>
        <w:bottom w:val="single" w:sz="8" w:space="0" w:color="auto"/>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74">
    <w:name w:val="xl74"/>
    <w:basedOn w:val="Normal"/>
    <w:rsid w:val="00744219"/>
    <w:pPr>
      <w:pBdr>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75">
    <w:name w:val="xl75"/>
    <w:basedOn w:val="Normal"/>
    <w:rsid w:val="00744219"/>
    <w:pPr>
      <w:pBdr>
        <w:top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76">
    <w:name w:val="xl76"/>
    <w:basedOn w:val="Normal"/>
    <w:rsid w:val="007442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77">
    <w:name w:val="xl77"/>
    <w:basedOn w:val="Normal"/>
    <w:rsid w:val="00744219"/>
    <w:pPr>
      <w:pBdr>
        <w:top w:val="single" w:sz="8" w:space="0" w:color="auto"/>
        <w:right w:val="single" w:sz="4" w:space="0" w:color="000000"/>
      </w:pBdr>
      <w:shd w:val="clear" w:color="000000" w:fill="3D7AF5"/>
      <w:spacing w:before="100" w:beforeAutospacing="1" w:after="100" w:afterAutospacing="1" w:line="240" w:lineRule="auto"/>
      <w:jc w:val="center"/>
      <w:textAlignment w:val="center"/>
    </w:pPr>
    <w:rPr>
      <w:rFonts w:ascii="Times New Roman" w:eastAsia="Times New Roman" w:hAnsi="Times New Roman"/>
      <w:b/>
      <w:bCs/>
      <w:color w:val="FFFFFF"/>
      <w:kern w:val="0"/>
      <w:sz w:val="20"/>
      <w:lang w:val="en-IE" w:eastAsia="en-IE"/>
    </w:rPr>
  </w:style>
  <w:style w:type="paragraph" w:customStyle="1" w:styleId="xl78">
    <w:name w:val="xl78"/>
    <w:basedOn w:val="Normal"/>
    <w:rsid w:val="00744219"/>
    <w:pPr>
      <w:pBdr>
        <w:bottom w:val="single" w:sz="4" w:space="0" w:color="000000"/>
        <w:right w:val="single" w:sz="4" w:space="0" w:color="000000"/>
      </w:pBdr>
      <w:shd w:val="clear" w:color="000000" w:fill="3D7AF5"/>
      <w:spacing w:before="100" w:beforeAutospacing="1" w:after="100" w:afterAutospacing="1" w:line="240" w:lineRule="auto"/>
      <w:jc w:val="center"/>
      <w:textAlignment w:val="center"/>
    </w:pPr>
    <w:rPr>
      <w:rFonts w:ascii="Times New Roman" w:eastAsia="Times New Roman" w:hAnsi="Times New Roman"/>
      <w:b/>
      <w:bCs/>
      <w:color w:val="FFFFFF"/>
      <w:kern w:val="0"/>
      <w:sz w:val="20"/>
      <w:lang w:val="en-IE" w:eastAsia="en-IE"/>
    </w:rPr>
  </w:style>
  <w:style w:type="paragraph" w:customStyle="1" w:styleId="xl79">
    <w:name w:val="xl79"/>
    <w:basedOn w:val="Normal"/>
    <w:rsid w:val="00744219"/>
    <w:pPr>
      <w:pBdr>
        <w:top w:val="single" w:sz="4" w:space="0" w:color="auto"/>
        <w:left w:val="single" w:sz="4" w:space="0" w:color="auto"/>
        <w:bottom w:val="single" w:sz="4" w:space="0" w:color="auto"/>
        <w:right w:val="single" w:sz="4" w:space="0" w:color="auto"/>
      </w:pBdr>
      <w:shd w:val="clear" w:color="000000" w:fill="3D7AF5"/>
      <w:spacing w:before="100" w:beforeAutospacing="1" w:after="100" w:afterAutospacing="1" w:line="240" w:lineRule="auto"/>
      <w:jc w:val="center"/>
      <w:textAlignment w:val="center"/>
    </w:pPr>
    <w:rPr>
      <w:rFonts w:ascii="Times New Roman" w:eastAsia="Times New Roman" w:hAnsi="Times New Roman"/>
      <w:b/>
      <w:bCs/>
      <w:color w:val="FFFFFF"/>
      <w:kern w:val="0"/>
      <w:sz w:val="20"/>
      <w:lang w:val="en-IE" w:eastAsia="en-IE"/>
    </w:rPr>
  </w:style>
  <w:style w:type="paragraph" w:customStyle="1" w:styleId="xl80">
    <w:name w:val="xl80"/>
    <w:basedOn w:val="Normal"/>
    <w:rsid w:val="00744219"/>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Aptos" w:eastAsia="Times New Roman" w:hAnsi="Aptos"/>
      <w:b/>
      <w:bCs/>
      <w:color w:val="auto"/>
      <w:kern w:val="0"/>
      <w:sz w:val="20"/>
      <w:lang w:val="en-IE" w:eastAsia="en-IE"/>
    </w:rPr>
  </w:style>
  <w:style w:type="paragraph" w:customStyle="1" w:styleId="xl81">
    <w:name w:val="xl81"/>
    <w:basedOn w:val="Normal"/>
    <w:rsid w:val="007442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000000"/>
      <w:kern w:val="0"/>
      <w:sz w:val="20"/>
      <w:lang w:val="en-IE" w:eastAsia="en-IE"/>
    </w:rPr>
  </w:style>
  <w:style w:type="paragraph" w:customStyle="1" w:styleId="xl102">
    <w:name w:val="xl102"/>
    <w:basedOn w:val="Normal"/>
    <w:rsid w:val="00744219"/>
    <w:pPr>
      <w:pBdr>
        <w:left w:val="single" w:sz="4" w:space="0" w:color="auto"/>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103">
    <w:name w:val="xl103"/>
    <w:basedOn w:val="Normal"/>
    <w:rsid w:val="00744219"/>
    <w:pPr>
      <w:pBdr>
        <w:top w:val="single" w:sz="4" w:space="0" w:color="000000"/>
        <w:left w:val="single" w:sz="4" w:space="0" w:color="000000"/>
        <w:bottom w:val="single" w:sz="8" w:space="0" w:color="auto"/>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104">
    <w:name w:val="xl104"/>
    <w:basedOn w:val="Normal"/>
    <w:rsid w:val="007442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ptos" w:eastAsia="Times New Roman" w:hAnsi="Aptos"/>
      <w:b/>
      <w:bCs/>
      <w:color w:val="auto"/>
      <w:kern w:val="0"/>
      <w:sz w:val="20"/>
      <w:u w:val="single"/>
      <w:lang w:val="en-IE" w:eastAsia="en-IE"/>
    </w:rPr>
  </w:style>
  <w:style w:type="paragraph" w:customStyle="1" w:styleId="xl105">
    <w:name w:val="xl105"/>
    <w:basedOn w:val="Normal"/>
    <w:rsid w:val="00744219"/>
    <w:pPr>
      <w:pBdr>
        <w:top w:val="single" w:sz="8" w:space="0" w:color="auto"/>
        <w:left w:val="single" w:sz="4" w:space="0" w:color="auto"/>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106">
    <w:name w:val="xl106"/>
    <w:basedOn w:val="Normal"/>
    <w:rsid w:val="00744219"/>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107">
    <w:name w:val="xl107"/>
    <w:basedOn w:val="Normal"/>
    <w:rsid w:val="00744219"/>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108">
    <w:name w:val="xl108"/>
    <w:basedOn w:val="Normal"/>
    <w:rsid w:val="00744219"/>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109">
    <w:name w:val="xl109"/>
    <w:basedOn w:val="Normal"/>
    <w:rsid w:val="00744219"/>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110">
    <w:name w:val="xl110"/>
    <w:basedOn w:val="Normal"/>
    <w:rsid w:val="0074421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111">
    <w:name w:val="xl111"/>
    <w:basedOn w:val="Normal"/>
    <w:rsid w:val="00744219"/>
    <w:pPr>
      <w:pBdr>
        <w:top w:val="single" w:sz="8" w:space="0" w:color="auto"/>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112">
    <w:name w:val="xl112"/>
    <w:basedOn w:val="Normal"/>
    <w:rsid w:val="00744219"/>
    <w:pPr>
      <w:pBdr>
        <w:top w:val="single" w:sz="8" w:space="0" w:color="auto"/>
        <w:right w:val="single" w:sz="4" w:space="0" w:color="auto"/>
      </w:pBdr>
      <w:shd w:val="clear" w:color="000000" w:fill="3D7AF5"/>
      <w:spacing w:before="100" w:beforeAutospacing="1" w:after="100" w:afterAutospacing="1" w:line="240" w:lineRule="auto"/>
      <w:jc w:val="center"/>
      <w:textAlignment w:val="center"/>
    </w:pPr>
    <w:rPr>
      <w:rFonts w:ascii="Aptos Display" w:eastAsia="Times New Roman" w:hAnsi="Aptos Display"/>
      <w:b/>
      <w:bCs/>
      <w:color w:val="FFFFFF"/>
      <w:kern w:val="0"/>
      <w:sz w:val="20"/>
      <w:lang w:val="en-IE" w:eastAsia="en-IE"/>
    </w:rPr>
  </w:style>
  <w:style w:type="paragraph" w:customStyle="1" w:styleId="xl113">
    <w:name w:val="xl113"/>
    <w:basedOn w:val="Normal"/>
    <w:rsid w:val="00744219"/>
    <w:pPr>
      <w:pBdr>
        <w:right w:val="single" w:sz="4" w:space="0" w:color="auto"/>
      </w:pBdr>
      <w:shd w:val="clear" w:color="000000" w:fill="3D7AF5"/>
      <w:spacing w:before="100" w:beforeAutospacing="1" w:after="100" w:afterAutospacing="1" w:line="240" w:lineRule="auto"/>
      <w:jc w:val="center"/>
      <w:textAlignment w:val="center"/>
    </w:pPr>
    <w:rPr>
      <w:rFonts w:ascii="Aptos Display" w:eastAsia="Times New Roman" w:hAnsi="Aptos Display"/>
      <w:b/>
      <w:bCs/>
      <w:color w:val="FFFFFF"/>
      <w:kern w:val="0"/>
      <w:sz w:val="20"/>
      <w:lang w:val="en-IE" w:eastAsia="en-IE"/>
    </w:rPr>
  </w:style>
  <w:style w:type="paragraph" w:customStyle="1" w:styleId="xl114">
    <w:name w:val="xl114"/>
    <w:basedOn w:val="Normal"/>
    <w:rsid w:val="00744219"/>
    <w:pPr>
      <w:pBdr>
        <w:bottom w:val="single" w:sz="8" w:space="0" w:color="auto"/>
        <w:right w:val="single" w:sz="4" w:space="0" w:color="auto"/>
      </w:pBdr>
      <w:shd w:val="clear" w:color="000000" w:fill="3D7AF5"/>
      <w:spacing w:before="100" w:beforeAutospacing="1" w:after="100" w:afterAutospacing="1" w:line="240" w:lineRule="auto"/>
      <w:jc w:val="center"/>
      <w:textAlignment w:val="center"/>
    </w:pPr>
    <w:rPr>
      <w:rFonts w:ascii="Aptos Display" w:eastAsia="Times New Roman" w:hAnsi="Aptos Display"/>
      <w:b/>
      <w:bCs/>
      <w:color w:val="FFFFFF"/>
      <w:kern w:val="0"/>
      <w:sz w:val="20"/>
      <w:lang w:val="en-IE" w:eastAsia="en-IE"/>
    </w:rPr>
  </w:style>
  <w:style w:type="paragraph" w:customStyle="1" w:styleId="xl115">
    <w:name w:val="xl115"/>
    <w:basedOn w:val="Normal"/>
    <w:rsid w:val="0074421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116">
    <w:name w:val="xl116"/>
    <w:basedOn w:val="Normal"/>
    <w:rsid w:val="00744219"/>
    <w:pPr>
      <w:pBdr>
        <w:bottom w:val="single" w:sz="4" w:space="0" w:color="000000"/>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117">
    <w:name w:val="xl117"/>
    <w:basedOn w:val="Normal"/>
    <w:rsid w:val="00744219"/>
    <w:pPr>
      <w:pBdr>
        <w:top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175">
    <w:name w:val="xl175"/>
    <w:basedOn w:val="Normal"/>
    <w:rsid w:val="0074421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176">
    <w:name w:val="xl176"/>
    <w:basedOn w:val="Normal"/>
    <w:rsid w:val="00744219"/>
    <w:pPr>
      <w:pBdr>
        <w:left w:val="single" w:sz="4" w:space="0" w:color="auto"/>
        <w:bottom w:val="single" w:sz="4" w:space="0" w:color="000000"/>
        <w:right w:val="single" w:sz="4" w:space="0" w:color="auto"/>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177">
    <w:name w:val="xl177"/>
    <w:basedOn w:val="Normal"/>
    <w:rsid w:val="00744219"/>
    <w:pPr>
      <w:pBdr>
        <w:top w:val="single" w:sz="4" w:space="0" w:color="000000"/>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179">
    <w:name w:val="xl179"/>
    <w:basedOn w:val="Normal"/>
    <w:rsid w:val="00744219"/>
    <w:pPr>
      <w:pBdr>
        <w:top w:val="single" w:sz="4" w:space="0" w:color="auto"/>
        <w:left w:val="single" w:sz="4" w:space="0" w:color="auto"/>
        <w:right w:val="single" w:sz="4" w:space="0" w:color="auto"/>
      </w:pBdr>
      <w:shd w:val="clear" w:color="000000" w:fill="3D7AF5"/>
      <w:spacing w:before="100" w:beforeAutospacing="1" w:after="100" w:afterAutospacing="1" w:line="240" w:lineRule="auto"/>
      <w:jc w:val="center"/>
      <w:textAlignment w:val="center"/>
    </w:pPr>
    <w:rPr>
      <w:rFonts w:ascii="Aptos Display" w:eastAsia="Times New Roman" w:hAnsi="Aptos Display"/>
      <w:b/>
      <w:bCs/>
      <w:color w:val="FFFFFF"/>
      <w:kern w:val="0"/>
      <w:sz w:val="20"/>
      <w:lang w:val="en-IE" w:eastAsia="en-IE"/>
    </w:rPr>
  </w:style>
  <w:style w:type="paragraph" w:customStyle="1" w:styleId="xl182">
    <w:name w:val="xl182"/>
    <w:basedOn w:val="Normal"/>
    <w:rsid w:val="00744219"/>
    <w:pPr>
      <w:pBdr>
        <w:top w:val="single" w:sz="4" w:space="0" w:color="auto"/>
        <w:right w:val="single" w:sz="4" w:space="0" w:color="auto"/>
      </w:pBdr>
      <w:shd w:val="clear" w:color="000000" w:fill="0728CB"/>
      <w:spacing w:before="100" w:beforeAutospacing="1" w:after="100" w:afterAutospacing="1" w:line="240" w:lineRule="auto"/>
      <w:jc w:val="center"/>
      <w:textAlignment w:val="center"/>
    </w:pPr>
    <w:rPr>
      <w:rFonts w:ascii="Times New Roman" w:eastAsia="Times New Roman" w:hAnsi="Times New Roman"/>
      <w:b/>
      <w:bCs/>
      <w:color w:val="FFFFFF"/>
      <w:kern w:val="0"/>
      <w:sz w:val="20"/>
      <w:lang w:val="en-IE" w:eastAsia="en-IE"/>
    </w:rPr>
  </w:style>
  <w:style w:type="paragraph" w:customStyle="1" w:styleId="xl184">
    <w:name w:val="xl184"/>
    <w:basedOn w:val="Normal"/>
    <w:rsid w:val="00744219"/>
    <w:pPr>
      <w:pBdr>
        <w:left w:val="single" w:sz="4" w:space="0" w:color="auto"/>
        <w:right w:val="single" w:sz="4" w:space="0" w:color="auto"/>
      </w:pBdr>
      <w:shd w:val="clear" w:color="000000" w:fill="3D7AF5"/>
      <w:spacing w:before="100" w:beforeAutospacing="1" w:after="100" w:afterAutospacing="1" w:line="240" w:lineRule="auto"/>
      <w:jc w:val="center"/>
      <w:textAlignment w:val="center"/>
    </w:pPr>
    <w:rPr>
      <w:rFonts w:ascii="Aptos Display" w:eastAsia="Times New Roman" w:hAnsi="Aptos Display"/>
      <w:b/>
      <w:bCs/>
      <w:color w:val="FFFFFF"/>
      <w:kern w:val="0"/>
      <w:sz w:val="20"/>
      <w:lang w:val="en-IE" w:eastAsia="en-IE"/>
    </w:rPr>
  </w:style>
  <w:style w:type="paragraph" w:customStyle="1" w:styleId="xl185">
    <w:name w:val="xl185"/>
    <w:basedOn w:val="Normal"/>
    <w:rsid w:val="00744219"/>
    <w:pPr>
      <w:pBdr>
        <w:top w:val="single" w:sz="8" w:space="0" w:color="auto"/>
        <w:left w:val="single" w:sz="4" w:space="0" w:color="000000"/>
        <w:bottom w:val="single" w:sz="4" w:space="0" w:color="000000"/>
        <w:right w:val="single" w:sz="4" w:space="0" w:color="000000"/>
      </w:pBdr>
      <w:shd w:val="clear" w:color="000000" w:fill="3D7AF5"/>
      <w:spacing w:before="100" w:beforeAutospacing="1" w:after="100" w:afterAutospacing="1" w:line="240" w:lineRule="auto"/>
      <w:jc w:val="center"/>
      <w:textAlignment w:val="center"/>
    </w:pPr>
    <w:rPr>
      <w:rFonts w:ascii="Aptos Display" w:eastAsia="Times New Roman" w:hAnsi="Aptos Display"/>
      <w:b/>
      <w:bCs/>
      <w:color w:val="FFFFFF"/>
      <w:kern w:val="0"/>
      <w:sz w:val="20"/>
      <w:lang w:val="en-IE" w:eastAsia="en-IE"/>
    </w:rPr>
  </w:style>
  <w:style w:type="paragraph" w:customStyle="1" w:styleId="xl186">
    <w:name w:val="xl186"/>
    <w:basedOn w:val="Normal"/>
    <w:rsid w:val="00744219"/>
    <w:pPr>
      <w:pBdr>
        <w:top w:val="single" w:sz="4" w:space="0" w:color="000000"/>
        <w:left w:val="single" w:sz="4" w:space="0" w:color="000000"/>
        <w:bottom w:val="single" w:sz="4" w:space="0" w:color="000000"/>
        <w:right w:val="single" w:sz="4" w:space="0" w:color="000000"/>
      </w:pBdr>
      <w:shd w:val="clear" w:color="000000" w:fill="3D7AF5"/>
      <w:spacing w:before="100" w:beforeAutospacing="1" w:after="100" w:afterAutospacing="1" w:line="240" w:lineRule="auto"/>
      <w:jc w:val="center"/>
      <w:textAlignment w:val="center"/>
    </w:pPr>
    <w:rPr>
      <w:rFonts w:ascii="Aptos Display" w:eastAsia="Times New Roman" w:hAnsi="Aptos Display"/>
      <w:b/>
      <w:bCs/>
      <w:color w:val="FFFFFF"/>
      <w:kern w:val="0"/>
      <w:sz w:val="20"/>
      <w:lang w:val="en-IE" w:eastAsia="en-IE"/>
    </w:rPr>
  </w:style>
  <w:style w:type="paragraph" w:customStyle="1" w:styleId="xl187">
    <w:name w:val="xl187"/>
    <w:basedOn w:val="Normal"/>
    <w:rsid w:val="00744219"/>
    <w:pPr>
      <w:pBdr>
        <w:top w:val="single" w:sz="4" w:space="0" w:color="000000"/>
        <w:left w:val="single" w:sz="4" w:space="0" w:color="000000"/>
        <w:bottom w:val="single" w:sz="8" w:space="0" w:color="auto"/>
        <w:right w:val="single" w:sz="4" w:space="0" w:color="000000"/>
      </w:pBdr>
      <w:shd w:val="clear" w:color="000000" w:fill="3D7AF5"/>
      <w:spacing w:before="100" w:beforeAutospacing="1" w:after="100" w:afterAutospacing="1" w:line="240" w:lineRule="auto"/>
      <w:jc w:val="center"/>
      <w:textAlignment w:val="center"/>
    </w:pPr>
    <w:rPr>
      <w:rFonts w:ascii="Aptos Display" w:eastAsia="Times New Roman" w:hAnsi="Aptos Display"/>
      <w:b/>
      <w:bCs/>
      <w:color w:val="FFFFFF"/>
      <w:kern w:val="0"/>
      <w:sz w:val="20"/>
      <w:lang w:val="en-IE" w:eastAsia="en-IE"/>
    </w:rPr>
  </w:style>
  <w:style w:type="paragraph" w:customStyle="1" w:styleId="xl188">
    <w:name w:val="xl188"/>
    <w:basedOn w:val="Normal"/>
    <w:rsid w:val="00744219"/>
    <w:pPr>
      <w:pBdr>
        <w:top w:val="single" w:sz="8" w:space="0" w:color="auto"/>
        <w:left w:val="single" w:sz="4" w:space="0" w:color="000000"/>
        <w:bottom w:val="single" w:sz="4" w:space="0" w:color="000000"/>
        <w:right w:val="single" w:sz="4" w:space="0" w:color="000000"/>
      </w:pBdr>
      <w:shd w:val="clear" w:color="000000" w:fill="3D7AF5"/>
      <w:spacing w:before="100" w:beforeAutospacing="1" w:after="100" w:afterAutospacing="1" w:line="240" w:lineRule="auto"/>
      <w:jc w:val="center"/>
      <w:textAlignment w:val="center"/>
    </w:pPr>
    <w:rPr>
      <w:rFonts w:ascii="Times New Roman" w:eastAsia="Times New Roman" w:hAnsi="Times New Roman"/>
      <w:b/>
      <w:bCs/>
      <w:color w:val="FFFFFF"/>
      <w:kern w:val="0"/>
      <w:sz w:val="20"/>
      <w:lang w:val="en-IE" w:eastAsia="en-IE"/>
    </w:rPr>
  </w:style>
  <w:style w:type="paragraph" w:customStyle="1" w:styleId="xl189">
    <w:name w:val="xl189"/>
    <w:basedOn w:val="Normal"/>
    <w:rsid w:val="00744219"/>
    <w:pPr>
      <w:pBdr>
        <w:top w:val="single" w:sz="4" w:space="0" w:color="000000"/>
        <w:left w:val="single" w:sz="4" w:space="0" w:color="000000"/>
        <w:bottom w:val="single" w:sz="4" w:space="0" w:color="000000"/>
        <w:right w:val="single" w:sz="4" w:space="0" w:color="000000"/>
      </w:pBdr>
      <w:shd w:val="clear" w:color="000000" w:fill="3D7AF5"/>
      <w:spacing w:before="100" w:beforeAutospacing="1" w:after="100" w:afterAutospacing="1" w:line="240" w:lineRule="auto"/>
      <w:jc w:val="center"/>
      <w:textAlignment w:val="center"/>
    </w:pPr>
    <w:rPr>
      <w:rFonts w:ascii="Times New Roman" w:eastAsia="Times New Roman" w:hAnsi="Times New Roman"/>
      <w:b/>
      <w:bCs/>
      <w:color w:val="FFFFFF"/>
      <w:kern w:val="0"/>
      <w:sz w:val="20"/>
      <w:lang w:val="en-IE" w:eastAsia="en-IE"/>
    </w:rPr>
  </w:style>
  <w:style w:type="paragraph" w:customStyle="1" w:styleId="xl190">
    <w:name w:val="xl190"/>
    <w:basedOn w:val="Normal"/>
    <w:rsid w:val="00744219"/>
    <w:pPr>
      <w:pBdr>
        <w:top w:val="single" w:sz="4" w:space="0" w:color="000000"/>
        <w:left w:val="single" w:sz="4" w:space="0" w:color="000000"/>
        <w:bottom w:val="single" w:sz="8" w:space="0" w:color="auto"/>
        <w:right w:val="single" w:sz="4" w:space="0" w:color="000000"/>
      </w:pBdr>
      <w:shd w:val="clear" w:color="000000" w:fill="3D7AF5"/>
      <w:spacing w:before="100" w:beforeAutospacing="1" w:after="100" w:afterAutospacing="1" w:line="240" w:lineRule="auto"/>
      <w:jc w:val="center"/>
      <w:textAlignment w:val="center"/>
    </w:pPr>
    <w:rPr>
      <w:rFonts w:ascii="Times New Roman" w:eastAsia="Times New Roman" w:hAnsi="Times New Roman"/>
      <w:b/>
      <w:bCs/>
      <w:color w:val="FFFFFF"/>
      <w:kern w:val="0"/>
      <w:sz w:val="20"/>
      <w:lang w:val="en-IE" w:eastAsia="en-IE"/>
    </w:rPr>
  </w:style>
  <w:style w:type="paragraph" w:customStyle="1" w:styleId="xl191">
    <w:name w:val="xl191"/>
    <w:basedOn w:val="Normal"/>
    <w:rsid w:val="00744219"/>
    <w:pPr>
      <w:pBdr>
        <w:top w:val="single" w:sz="8" w:space="0" w:color="auto"/>
        <w:left w:val="single" w:sz="4" w:space="0" w:color="auto"/>
        <w:right w:val="single" w:sz="4" w:space="0" w:color="auto"/>
      </w:pBdr>
      <w:shd w:val="clear" w:color="000000" w:fill="3D7AF5"/>
      <w:spacing w:before="100" w:beforeAutospacing="1" w:after="100" w:afterAutospacing="1" w:line="240" w:lineRule="auto"/>
      <w:jc w:val="center"/>
      <w:textAlignment w:val="center"/>
    </w:pPr>
    <w:rPr>
      <w:rFonts w:ascii="Times New Roman" w:eastAsia="Times New Roman" w:hAnsi="Times New Roman"/>
      <w:b/>
      <w:bCs/>
      <w:color w:val="FFFFFF"/>
      <w:kern w:val="0"/>
      <w:sz w:val="20"/>
      <w:lang w:val="en-IE" w:eastAsia="en-IE"/>
    </w:rPr>
  </w:style>
  <w:style w:type="paragraph" w:customStyle="1" w:styleId="xl192">
    <w:name w:val="xl192"/>
    <w:basedOn w:val="Normal"/>
    <w:rsid w:val="00744219"/>
    <w:pPr>
      <w:pBdr>
        <w:top w:val="single" w:sz="8" w:space="0" w:color="auto"/>
        <w:left w:val="single" w:sz="4" w:space="0" w:color="auto"/>
        <w:bottom w:val="single" w:sz="8" w:space="0" w:color="auto"/>
        <w:right w:val="single" w:sz="4" w:space="0" w:color="auto"/>
      </w:pBdr>
      <w:shd w:val="clear" w:color="000000" w:fill="3D7AF5"/>
      <w:spacing w:before="100" w:beforeAutospacing="1" w:after="100" w:afterAutospacing="1" w:line="240" w:lineRule="auto"/>
      <w:jc w:val="center"/>
      <w:textAlignment w:val="center"/>
    </w:pPr>
    <w:rPr>
      <w:rFonts w:ascii="Times New Roman" w:eastAsia="Times New Roman" w:hAnsi="Times New Roman"/>
      <w:b/>
      <w:bCs/>
      <w:color w:val="FFFFFF"/>
      <w:kern w:val="0"/>
      <w:sz w:val="20"/>
      <w:lang w:val="en-IE" w:eastAsia="en-IE"/>
    </w:rPr>
  </w:style>
  <w:style w:type="paragraph" w:customStyle="1" w:styleId="xl193">
    <w:name w:val="xl193"/>
    <w:basedOn w:val="Normal"/>
    <w:rsid w:val="00744219"/>
    <w:pPr>
      <w:pBdr>
        <w:top w:val="single" w:sz="8" w:space="0" w:color="auto"/>
        <w:right w:val="single" w:sz="4" w:space="0" w:color="auto"/>
      </w:pBdr>
      <w:shd w:val="clear" w:color="000000" w:fill="0728CB"/>
      <w:spacing w:before="100" w:beforeAutospacing="1" w:after="100" w:afterAutospacing="1" w:line="240" w:lineRule="auto"/>
      <w:jc w:val="center"/>
      <w:textAlignment w:val="center"/>
    </w:pPr>
    <w:rPr>
      <w:rFonts w:ascii="Aptos Display" w:eastAsia="Times New Roman" w:hAnsi="Aptos Display"/>
      <w:b/>
      <w:bCs/>
      <w:color w:val="FFFFFF"/>
      <w:kern w:val="0"/>
      <w:sz w:val="20"/>
      <w:lang w:val="en-IE" w:eastAsia="en-IE"/>
    </w:rPr>
  </w:style>
  <w:style w:type="paragraph" w:customStyle="1" w:styleId="xl194">
    <w:name w:val="xl194"/>
    <w:basedOn w:val="Normal"/>
    <w:rsid w:val="00744219"/>
    <w:pPr>
      <w:pBdr>
        <w:top w:val="single" w:sz="8" w:space="0" w:color="auto"/>
      </w:pBdr>
      <w:shd w:val="clear" w:color="000000" w:fill="0728CB"/>
      <w:spacing w:before="100" w:beforeAutospacing="1" w:after="100" w:afterAutospacing="1" w:line="240" w:lineRule="auto"/>
      <w:jc w:val="center"/>
      <w:textAlignment w:val="center"/>
    </w:pPr>
    <w:rPr>
      <w:rFonts w:ascii="Aptos Display" w:eastAsia="Times New Roman" w:hAnsi="Aptos Display"/>
      <w:b/>
      <w:bCs/>
      <w:color w:val="FFFFFF"/>
      <w:kern w:val="0"/>
      <w:sz w:val="20"/>
      <w:lang w:val="en-IE" w:eastAsia="en-IE"/>
    </w:rPr>
  </w:style>
  <w:style w:type="paragraph" w:customStyle="1" w:styleId="xl195">
    <w:name w:val="xl195"/>
    <w:basedOn w:val="Normal"/>
    <w:rsid w:val="00744219"/>
    <w:pPr>
      <w:pBdr>
        <w:right w:val="single" w:sz="4" w:space="0" w:color="auto"/>
      </w:pBdr>
      <w:shd w:val="clear" w:color="000000" w:fill="0728CB"/>
      <w:spacing w:before="100" w:beforeAutospacing="1" w:after="100" w:afterAutospacing="1" w:line="240" w:lineRule="auto"/>
      <w:jc w:val="center"/>
      <w:textAlignment w:val="center"/>
    </w:pPr>
    <w:rPr>
      <w:rFonts w:ascii="Aptos Display" w:eastAsia="Times New Roman" w:hAnsi="Aptos Display"/>
      <w:b/>
      <w:bCs/>
      <w:color w:val="FFFFFF"/>
      <w:kern w:val="0"/>
      <w:sz w:val="20"/>
      <w:lang w:val="en-IE" w:eastAsia="en-IE"/>
    </w:rPr>
  </w:style>
  <w:style w:type="paragraph" w:customStyle="1" w:styleId="xl196">
    <w:name w:val="xl196"/>
    <w:basedOn w:val="Normal"/>
    <w:rsid w:val="00744219"/>
    <w:pPr>
      <w:shd w:val="clear" w:color="000000" w:fill="0728CB"/>
      <w:spacing w:before="100" w:beforeAutospacing="1" w:after="100" w:afterAutospacing="1" w:line="240" w:lineRule="auto"/>
      <w:jc w:val="center"/>
      <w:textAlignment w:val="center"/>
    </w:pPr>
    <w:rPr>
      <w:rFonts w:ascii="Aptos Display" w:eastAsia="Times New Roman" w:hAnsi="Aptos Display"/>
      <w:b/>
      <w:bCs/>
      <w:color w:val="FFFFFF"/>
      <w:kern w:val="0"/>
      <w:sz w:val="20"/>
      <w:lang w:val="en-IE" w:eastAsia="en-IE"/>
    </w:rPr>
  </w:style>
  <w:style w:type="paragraph" w:customStyle="1" w:styleId="xl197">
    <w:name w:val="xl197"/>
    <w:basedOn w:val="Normal"/>
    <w:rsid w:val="00744219"/>
    <w:pPr>
      <w:pBdr>
        <w:bottom w:val="single" w:sz="8" w:space="0" w:color="auto"/>
        <w:right w:val="single" w:sz="4" w:space="0" w:color="auto"/>
      </w:pBdr>
      <w:shd w:val="clear" w:color="000000" w:fill="0728CB"/>
      <w:spacing w:before="100" w:beforeAutospacing="1" w:after="100" w:afterAutospacing="1" w:line="240" w:lineRule="auto"/>
      <w:jc w:val="center"/>
      <w:textAlignment w:val="center"/>
    </w:pPr>
    <w:rPr>
      <w:rFonts w:ascii="Aptos Display" w:eastAsia="Times New Roman" w:hAnsi="Aptos Display"/>
      <w:b/>
      <w:bCs/>
      <w:color w:val="FFFFFF"/>
      <w:kern w:val="0"/>
      <w:sz w:val="20"/>
      <w:lang w:val="en-IE" w:eastAsia="en-IE"/>
    </w:rPr>
  </w:style>
  <w:style w:type="paragraph" w:customStyle="1" w:styleId="xl201">
    <w:name w:val="xl201"/>
    <w:basedOn w:val="Normal"/>
    <w:rsid w:val="00744219"/>
    <w:pPr>
      <w:pBdr>
        <w:bottom w:val="single" w:sz="8" w:space="0" w:color="auto"/>
      </w:pBdr>
      <w:shd w:val="clear" w:color="000000" w:fill="0728CB"/>
      <w:spacing w:before="100" w:beforeAutospacing="1" w:after="100" w:afterAutospacing="1" w:line="240" w:lineRule="auto"/>
      <w:jc w:val="center"/>
      <w:textAlignment w:val="center"/>
    </w:pPr>
    <w:rPr>
      <w:rFonts w:ascii="Aptos Display" w:eastAsia="Times New Roman" w:hAnsi="Aptos Display"/>
      <w:b/>
      <w:bCs/>
      <w:color w:val="FFFFFF"/>
      <w:kern w:val="0"/>
      <w:sz w:val="20"/>
      <w:lang w:val="en-IE" w:eastAsia="en-IE"/>
    </w:rPr>
  </w:style>
  <w:style w:type="paragraph" w:customStyle="1" w:styleId="xl202">
    <w:name w:val="xl202"/>
    <w:basedOn w:val="Normal"/>
    <w:rsid w:val="00744219"/>
    <w:pPr>
      <w:pBdr>
        <w:top w:val="single" w:sz="8" w:space="0" w:color="auto"/>
        <w:left w:val="single" w:sz="4" w:space="0" w:color="auto"/>
      </w:pBdr>
      <w:shd w:val="clear" w:color="000000" w:fill="3D7AF5"/>
      <w:spacing w:before="100" w:beforeAutospacing="1" w:after="100" w:afterAutospacing="1" w:line="240" w:lineRule="auto"/>
      <w:jc w:val="center"/>
      <w:textAlignment w:val="center"/>
    </w:pPr>
    <w:rPr>
      <w:rFonts w:ascii="Aptos Display" w:eastAsia="Times New Roman" w:hAnsi="Aptos Display"/>
      <w:b/>
      <w:bCs/>
      <w:color w:val="FFFFFF"/>
      <w:kern w:val="0"/>
      <w:sz w:val="20"/>
      <w:lang w:val="en-IE" w:eastAsia="en-IE"/>
    </w:rPr>
  </w:style>
  <w:style w:type="paragraph" w:customStyle="1" w:styleId="xl203">
    <w:name w:val="xl203"/>
    <w:basedOn w:val="Normal"/>
    <w:rsid w:val="00744219"/>
    <w:pPr>
      <w:pBdr>
        <w:left w:val="single" w:sz="4" w:space="0" w:color="auto"/>
      </w:pBdr>
      <w:shd w:val="clear" w:color="000000" w:fill="3D7AF5"/>
      <w:spacing w:before="100" w:beforeAutospacing="1" w:after="100" w:afterAutospacing="1" w:line="240" w:lineRule="auto"/>
      <w:jc w:val="center"/>
      <w:textAlignment w:val="center"/>
    </w:pPr>
    <w:rPr>
      <w:rFonts w:ascii="Aptos Display" w:eastAsia="Times New Roman" w:hAnsi="Aptos Display"/>
      <w:b/>
      <w:bCs/>
      <w:color w:val="FFFFFF"/>
      <w:kern w:val="0"/>
      <w:sz w:val="20"/>
      <w:lang w:val="en-IE" w:eastAsia="en-IE"/>
    </w:rPr>
  </w:style>
  <w:style w:type="paragraph" w:customStyle="1" w:styleId="xl204">
    <w:name w:val="xl204"/>
    <w:basedOn w:val="Normal"/>
    <w:rsid w:val="00744219"/>
    <w:pPr>
      <w:pBdr>
        <w:left w:val="single" w:sz="4" w:space="0" w:color="auto"/>
        <w:bottom w:val="single" w:sz="8" w:space="0" w:color="auto"/>
      </w:pBdr>
      <w:shd w:val="clear" w:color="000000" w:fill="3D7AF5"/>
      <w:spacing w:before="100" w:beforeAutospacing="1" w:after="100" w:afterAutospacing="1" w:line="240" w:lineRule="auto"/>
      <w:jc w:val="center"/>
      <w:textAlignment w:val="center"/>
    </w:pPr>
    <w:rPr>
      <w:rFonts w:ascii="Aptos Display" w:eastAsia="Times New Roman" w:hAnsi="Aptos Display"/>
      <w:b/>
      <w:bCs/>
      <w:color w:val="FFFFFF"/>
      <w:kern w:val="0"/>
      <w:sz w:val="20"/>
      <w:lang w:val="en-IE" w:eastAsia="en-IE"/>
    </w:rPr>
  </w:style>
  <w:style w:type="paragraph" w:customStyle="1" w:styleId="xl16">
    <w:name w:val="xl16"/>
    <w:basedOn w:val="Normal"/>
    <w:rsid w:val="009C7344"/>
    <w:pPr>
      <w:spacing w:before="100" w:beforeAutospacing="1" w:after="100" w:afterAutospacing="1" w:line="240" w:lineRule="auto"/>
    </w:pPr>
    <w:rPr>
      <w:rFonts w:ascii="Times New Roman" w:eastAsia="Times New Roman" w:hAnsi="Times New Roman"/>
      <w:color w:val="auto"/>
      <w:kern w:val="0"/>
      <w:sz w:val="20"/>
      <w:lang w:val="en-IE" w:eastAsia="en-IE"/>
    </w:rPr>
  </w:style>
  <w:style w:type="paragraph" w:customStyle="1" w:styleId="xl17">
    <w:name w:val="xl17"/>
    <w:basedOn w:val="Normal"/>
    <w:rsid w:val="009C7344"/>
    <w:pPr>
      <w:shd w:val="clear" w:color="000000" w:fill="FFC000"/>
      <w:spacing w:before="100" w:beforeAutospacing="1" w:after="100" w:afterAutospacing="1" w:line="240" w:lineRule="auto"/>
    </w:pPr>
    <w:rPr>
      <w:rFonts w:ascii="Times New Roman" w:eastAsia="Times New Roman" w:hAnsi="Times New Roman"/>
      <w:color w:val="auto"/>
      <w:kern w:val="0"/>
      <w:sz w:val="20"/>
      <w:lang w:val="en-IE" w:eastAsia="en-IE"/>
    </w:rPr>
  </w:style>
  <w:style w:type="paragraph" w:customStyle="1" w:styleId="xl18">
    <w:name w:val="xl18"/>
    <w:basedOn w:val="Normal"/>
    <w:rsid w:val="009C734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auto"/>
      <w:kern w:val="0"/>
      <w:sz w:val="20"/>
      <w:lang w:val="en-IE" w:eastAsia="en-IE"/>
    </w:rPr>
  </w:style>
  <w:style w:type="paragraph" w:customStyle="1" w:styleId="xl20">
    <w:name w:val="xl20"/>
    <w:basedOn w:val="Normal"/>
    <w:rsid w:val="009C7344"/>
    <w:pPr>
      <w:spacing w:before="100" w:beforeAutospacing="1" w:after="100" w:afterAutospacing="1" w:line="240" w:lineRule="auto"/>
    </w:pPr>
    <w:rPr>
      <w:rFonts w:ascii="Times New Roman" w:eastAsia="Times New Roman" w:hAnsi="Times New Roman"/>
      <w:color w:val="FFFFFF"/>
      <w:kern w:val="0"/>
      <w:sz w:val="20"/>
      <w:lang w:val="en-IE" w:eastAsia="en-IE"/>
    </w:rPr>
  </w:style>
  <w:style w:type="paragraph" w:customStyle="1" w:styleId="xl21">
    <w:name w:val="xl21"/>
    <w:basedOn w:val="Normal"/>
    <w:rsid w:val="009C7344"/>
    <w:pPr>
      <w:spacing w:before="100" w:beforeAutospacing="1" w:after="100" w:afterAutospacing="1" w:line="240" w:lineRule="auto"/>
      <w:textAlignment w:val="center"/>
    </w:pPr>
    <w:rPr>
      <w:rFonts w:ascii="Times New Roman" w:eastAsia="Times New Roman" w:hAnsi="Times New Roman"/>
      <w:color w:val="auto"/>
      <w:kern w:val="0"/>
      <w:sz w:val="20"/>
      <w:lang w:val="en-IE" w:eastAsia="en-IE"/>
    </w:rPr>
  </w:style>
  <w:style w:type="paragraph" w:customStyle="1" w:styleId="xl22">
    <w:name w:val="xl22"/>
    <w:basedOn w:val="Normal"/>
    <w:rsid w:val="009C7344"/>
    <w:pPr>
      <w:pBdr>
        <w:bottom w:val="single" w:sz="4" w:space="0" w:color="000000"/>
      </w:pBdr>
      <w:spacing w:before="100" w:beforeAutospacing="1" w:after="100" w:afterAutospacing="1" w:line="240" w:lineRule="auto"/>
    </w:pPr>
    <w:rPr>
      <w:rFonts w:ascii="Times New Roman" w:eastAsia="Times New Roman" w:hAnsi="Times New Roman"/>
      <w:color w:val="auto"/>
      <w:kern w:val="0"/>
      <w:sz w:val="20"/>
      <w:lang w:val="en-IE" w:eastAsia="en-IE"/>
    </w:rPr>
  </w:style>
  <w:style w:type="paragraph" w:customStyle="1" w:styleId="xl23">
    <w:name w:val="xl23"/>
    <w:basedOn w:val="Normal"/>
    <w:rsid w:val="009C7344"/>
    <w:pPr>
      <w:pBdr>
        <w:bottom w:val="single" w:sz="8" w:space="0" w:color="000000"/>
      </w:pBdr>
      <w:spacing w:before="100" w:beforeAutospacing="1" w:after="100" w:afterAutospacing="1" w:line="240" w:lineRule="auto"/>
    </w:pPr>
    <w:rPr>
      <w:rFonts w:ascii="Times New Roman" w:eastAsia="Times New Roman" w:hAnsi="Times New Roman"/>
      <w:color w:val="auto"/>
      <w:kern w:val="0"/>
      <w:sz w:val="20"/>
      <w:lang w:val="en-IE" w:eastAsia="en-IE"/>
    </w:rPr>
  </w:style>
  <w:style w:type="paragraph" w:customStyle="1" w:styleId="xl24">
    <w:name w:val="xl24"/>
    <w:basedOn w:val="Normal"/>
    <w:rsid w:val="009C7344"/>
    <w:pPr>
      <w:pBdr>
        <w:top w:val="single" w:sz="4" w:space="0" w:color="auto"/>
        <w:left w:val="single" w:sz="4" w:space="0" w:color="auto"/>
        <w:bottom w:val="single" w:sz="8" w:space="0" w:color="000000"/>
        <w:right w:val="single" w:sz="4" w:space="0" w:color="auto"/>
      </w:pBdr>
      <w:spacing w:before="100" w:beforeAutospacing="1" w:after="100" w:afterAutospacing="1" w:line="240" w:lineRule="auto"/>
    </w:pPr>
    <w:rPr>
      <w:rFonts w:ascii="Times New Roman" w:eastAsia="Times New Roman" w:hAnsi="Times New Roman"/>
      <w:color w:val="auto"/>
      <w:kern w:val="0"/>
      <w:sz w:val="20"/>
      <w:lang w:val="en-IE" w:eastAsia="en-IE"/>
    </w:rPr>
  </w:style>
  <w:style w:type="paragraph" w:customStyle="1" w:styleId="xl25">
    <w:name w:val="xl25"/>
    <w:basedOn w:val="Normal"/>
    <w:rsid w:val="009C7344"/>
    <w:pPr>
      <w:shd w:val="clear" w:color="000000" w:fill="FFFFFF"/>
      <w:spacing w:before="100" w:beforeAutospacing="1" w:after="100" w:afterAutospacing="1" w:line="240" w:lineRule="auto"/>
    </w:pPr>
    <w:rPr>
      <w:rFonts w:ascii="Times New Roman" w:eastAsia="Times New Roman" w:hAnsi="Times New Roman"/>
      <w:color w:val="FFFFFF"/>
      <w:kern w:val="0"/>
      <w:sz w:val="20"/>
      <w:lang w:val="en-IE" w:eastAsia="en-IE"/>
    </w:rPr>
  </w:style>
  <w:style w:type="paragraph" w:customStyle="1" w:styleId="xl32">
    <w:name w:val="xl32"/>
    <w:basedOn w:val="Normal"/>
    <w:rsid w:val="009C7344"/>
    <w:pPr>
      <w:shd w:val="clear" w:color="000000" w:fill="4EA72E"/>
      <w:spacing w:before="100" w:beforeAutospacing="1" w:after="100" w:afterAutospacing="1" w:line="240" w:lineRule="auto"/>
    </w:pPr>
    <w:rPr>
      <w:rFonts w:ascii="Times New Roman" w:eastAsia="Times New Roman" w:hAnsi="Times New Roman"/>
      <w:color w:val="auto"/>
      <w:kern w:val="0"/>
      <w:sz w:val="20"/>
      <w:lang w:val="en-IE" w:eastAsia="en-IE"/>
    </w:rPr>
  </w:style>
  <w:style w:type="paragraph" w:customStyle="1" w:styleId="xl33">
    <w:name w:val="xl33"/>
    <w:basedOn w:val="Normal"/>
    <w:rsid w:val="009C7344"/>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olor w:val="auto"/>
      <w:kern w:val="0"/>
      <w:sz w:val="20"/>
      <w:lang w:val="en-IE" w:eastAsia="en-IE"/>
    </w:rPr>
  </w:style>
  <w:style w:type="paragraph" w:customStyle="1" w:styleId="xl34">
    <w:name w:val="xl34"/>
    <w:basedOn w:val="Normal"/>
    <w:rsid w:val="009C7344"/>
    <w:pPr>
      <w:pBdr>
        <w:top w:val="single" w:sz="4" w:space="0" w:color="auto"/>
        <w:bottom w:val="single" w:sz="8" w:space="0" w:color="000000"/>
        <w:right w:val="single" w:sz="4" w:space="0" w:color="auto"/>
      </w:pBdr>
      <w:spacing w:before="100" w:beforeAutospacing="1" w:after="100" w:afterAutospacing="1" w:line="240" w:lineRule="auto"/>
    </w:pPr>
    <w:rPr>
      <w:rFonts w:ascii="Times New Roman" w:eastAsia="Times New Roman" w:hAnsi="Times New Roman"/>
      <w:color w:val="auto"/>
      <w:kern w:val="0"/>
      <w:sz w:val="20"/>
      <w:lang w:val="en-IE" w:eastAsia="en-IE"/>
    </w:rPr>
  </w:style>
  <w:style w:type="paragraph" w:customStyle="1" w:styleId="xl82">
    <w:name w:val="xl82"/>
    <w:basedOn w:val="Normal"/>
    <w:rsid w:val="007D2F03"/>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olor w:val="auto"/>
      <w:kern w:val="0"/>
      <w:sz w:val="20"/>
      <w:lang w:val="en-IE" w:eastAsia="en-IE"/>
    </w:rPr>
  </w:style>
  <w:style w:type="paragraph" w:customStyle="1" w:styleId="xl83">
    <w:name w:val="xl83"/>
    <w:basedOn w:val="Normal"/>
    <w:rsid w:val="007D2F03"/>
    <w:pPr>
      <w:pBdr>
        <w:top w:val="single" w:sz="4" w:space="0" w:color="auto"/>
        <w:bottom w:val="single" w:sz="8" w:space="0" w:color="000000"/>
        <w:right w:val="single" w:sz="4" w:space="0" w:color="auto"/>
      </w:pBdr>
      <w:spacing w:before="100" w:beforeAutospacing="1" w:after="100" w:afterAutospacing="1" w:line="240" w:lineRule="auto"/>
    </w:pPr>
    <w:rPr>
      <w:rFonts w:ascii="Times New Roman" w:eastAsia="Times New Roman" w:hAnsi="Times New Roman"/>
      <w:color w:val="auto"/>
      <w:kern w:val="0"/>
      <w:sz w:val="20"/>
      <w:lang w:val="en-IE" w:eastAsia="en-IE"/>
    </w:rPr>
  </w:style>
  <w:style w:type="paragraph" w:customStyle="1" w:styleId="xl84">
    <w:name w:val="xl84"/>
    <w:basedOn w:val="Normal"/>
    <w:rsid w:val="007D2F03"/>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85">
    <w:name w:val="xl85"/>
    <w:basedOn w:val="Normal"/>
    <w:rsid w:val="007D2F03"/>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86">
    <w:name w:val="xl86"/>
    <w:basedOn w:val="Normal"/>
    <w:rsid w:val="007D2F03"/>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87">
    <w:name w:val="xl87"/>
    <w:basedOn w:val="Normal"/>
    <w:rsid w:val="007D2F03"/>
    <w:pPr>
      <w:pBdr>
        <w:top w:val="single" w:sz="4" w:space="0" w:color="auto"/>
        <w:bottom w:val="single" w:sz="4" w:space="0" w:color="000000"/>
        <w:right w:val="single" w:sz="4" w:space="0" w:color="auto"/>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88">
    <w:name w:val="xl88"/>
    <w:basedOn w:val="Normal"/>
    <w:rsid w:val="007D2F0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89">
    <w:name w:val="xl89"/>
    <w:basedOn w:val="Normal"/>
    <w:rsid w:val="007D2F03"/>
    <w:pPr>
      <w:pBdr>
        <w:top w:val="single" w:sz="8" w:space="0" w:color="auto"/>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90">
    <w:name w:val="xl90"/>
    <w:basedOn w:val="Normal"/>
    <w:rsid w:val="007D2F03"/>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91">
    <w:name w:val="xl91"/>
    <w:basedOn w:val="Normal"/>
    <w:rsid w:val="007D2F03"/>
    <w:pPr>
      <w:pBdr>
        <w:top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92">
    <w:name w:val="xl92"/>
    <w:basedOn w:val="Normal"/>
    <w:rsid w:val="007D2F03"/>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93">
    <w:name w:val="xl93"/>
    <w:basedOn w:val="Normal"/>
    <w:rsid w:val="007D2F03"/>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94">
    <w:name w:val="xl94"/>
    <w:basedOn w:val="Normal"/>
    <w:rsid w:val="007D2F03"/>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95">
    <w:name w:val="xl95"/>
    <w:basedOn w:val="Normal"/>
    <w:rsid w:val="007D2F03"/>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96">
    <w:name w:val="xl96"/>
    <w:basedOn w:val="Normal"/>
    <w:rsid w:val="007D2F03"/>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97">
    <w:name w:val="xl97"/>
    <w:basedOn w:val="Normal"/>
    <w:rsid w:val="007D2F03"/>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98">
    <w:name w:val="xl98"/>
    <w:basedOn w:val="Normal"/>
    <w:rsid w:val="007D2F03"/>
    <w:pPr>
      <w:pBdr>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99">
    <w:name w:val="xl99"/>
    <w:basedOn w:val="Normal"/>
    <w:rsid w:val="007D2F03"/>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000000"/>
      <w:kern w:val="0"/>
      <w:sz w:val="20"/>
      <w:lang w:val="en-IE" w:eastAsia="en-IE"/>
    </w:rPr>
  </w:style>
  <w:style w:type="paragraph" w:customStyle="1" w:styleId="xl100">
    <w:name w:val="xl100"/>
    <w:basedOn w:val="Normal"/>
    <w:rsid w:val="007D2F03"/>
    <w:pPr>
      <w:pBdr>
        <w:top w:val="single" w:sz="8" w:space="0" w:color="auto"/>
        <w:left w:val="single" w:sz="4" w:space="0" w:color="auto"/>
        <w:bottom w:val="single" w:sz="8" w:space="0" w:color="auto"/>
        <w:right w:val="single" w:sz="4" w:space="0" w:color="auto"/>
      </w:pBdr>
      <w:shd w:val="clear" w:color="000000" w:fill="3D7AF5"/>
      <w:spacing w:before="100" w:beforeAutospacing="1" w:after="100" w:afterAutospacing="1" w:line="240" w:lineRule="auto"/>
      <w:jc w:val="center"/>
      <w:textAlignment w:val="center"/>
    </w:pPr>
    <w:rPr>
      <w:rFonts w:ascii="Aptos Display" w:eastAsia="Times New Roman" w:hAnsi="Aptos Display"/>
      <w:b/>
      <w:bCs/>
      <w:color w:val="FFFFFF"/>
      <w:kern w:val="0"/>
      <w:sz w:val="20"/>
      <w:lang w:val="en-IE" w:eastAsia="en-IE"/>
    </w:rPr>
  </w:style>
  <w:style w:type="paragraph" w:customStyle="1" w:styleId="xl101">
    <w:name w:val="xl101"/>
    <w:basedOn w:val="Normal"/>
    <w:rsid w:val="007D2F03"/>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118">
    <w:name w:val="xl118"/>
    <w:basedOn w:val="Normal"/>
    <w:rsid w:val="007D2F03"/>
    <w:pPr>
      <w:pBdr>
        <w:top w:val="single" w:sz="4" w:space="0" w:color="auto"/>
        <w:left w:val="single" w:sz="4" w:space="0" w:color="auto"/>
        <w:bottom w:val="single" w:sz="8" w:space="0" w:color="000000"/>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119">
    <w:name w:val="xl119"/>
    <w:basedOn w:val="Normal"/>
    <w:rsid w:val="007D2F03"/>
    <w:pPr>
      <w:pBdr>
        <w:left w:val="single" w:sz="4" w:space="0" w:color="auto"/>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120">
    <w:name w:val="xl120"/>
    <w:basedOn w:val="Normal"/>
    <w:rsid w:val="007D2F03"/>
    <w:pPr>
      <w:pBdr>
        <w:top w:val="single" w:sz="4" w:space="0" w:color="000000"/>
        <w:left w:val="single" w:sz="4" w:space="0" w:color="auto"/>
        <w:bottom w:val="single" w:sz="4" w:space="0" w:color="000000"/>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121">
    <w:name w:val="xl121"/>
    <w:basedOn w:val="Normal"/>
    <w:rsid w:val="007D2F03"/>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122">
    <w:name w:val="xl122"/>
    <w:basedOn w:val="Normal"/>
    <w:rsid w:val="007D2F03"/>
    <w:pPr>
      <w:pBdr>
        <w:top w:val="single" w:sz="4" w:space="0" w:color="000000"/>
        <w:left w:val="single" w:sz="4" w:space="0" w:color="000000"/>
        <w:bottom w:val="single" w:sz="8" w:space="0" w:color="auto"/>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123">
    <w:name w:val="xl123"/>
    <w:basedOn w:val="Normal"/>
    <w:rsid w:val="007D2F03"/>
    <w:pPr>
      <w:pBdr>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124">
    <w:name w:val="xl124"/>
    <w:basedOn w:val="Normal"/>
    <w:rsid w:val="007D2F03"/>
    <w:pPr>
      <w:pBdr>
        <w:top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125">
    <w:name w:val="xl125"/>
    <w:basedOn w:val="Normal"/>
    <w:rsid w:val="007D2F0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126">
    <w:name w:val="xl126"/>
    <w:basedOn w:val="Normal"/>
    <w:rsid w:val="007D2F03"/>
    <w:pPr>
      <w:pBdr>
        <w:top w:val="single" w:sz="8" w:space="0" w:color="auto"/>
        <w:right w:val="single" w:sz="4" w:space="0" w:color="000000"/>
      </w:pBdr>
      <w:shd w:val="clear" w:color="000000" w:fill="3D7AF5"/>
      <w:spacing w:before="100" w:beforeAutospacing="1" w:after="100" w:afterAutospacing="1" w:line="240" w:lineRule="auto"/>
      <w:jc w:val="center"/>
      <w:textAlignment w:val="center"/>
    </w:pPr>
    <w:rPr>
      <w:rFonts w:ascii="Times New Roman" w:eastAsia="Times New Roman" w:hAnsi="Times New Roman"/>
      <w:b/>
      <w:bCs/>
      <w:color w:val="FFFFFF"/>
      <w:kern w:val="0"/>
      <w:sz w:val="20"/>
      <w:lang w:val="en-IE" w:eastAsia="en-IE"/>
    </w:rPr>
  </w:style>
  <w:style w:type="paragraph" w:customStyle="1" w:styleId="xl127">
    <w:name w:val="xl127"/>
    <w:basedOn w:val="Normal"/>
    <w:rsid w:val="007D2F03"/>
    <w:pPr>
      <w:pBdr>
        <w:bottom w:val="single" w:sz="4" w:space="0" w:color="000000"/>
        <w:right w:val="single" w:sz="4" w:space="0" w:color="000000"/>
      </w:pBdr>
      <w:shd w:val="clear" w:color="000000" w:fill="3D7AF5"/>
      <w:spacing w:before="100" w:beforeAutospacing="1" w:after="100" w:afterAutospacing="1" w:line="240" w:lineRule="auto"/>
      <w:jc w:val="center"/>
      <w:textAlignment w:val="center"/>
    </w:pPr>
    <w:rPr>
      <w:rFonts w:ascii="Times New Roman" w:eastAsia="Times New Roman" w:hAnsi="Times New Roman"/>
      <w:b/>
      <w:bCs/>
      <w:color w:val="FFFFFF"/>
      <w:kern w:val="0"/>
      <w:sz w:val="20"/>
      <w:lang w:val="en-IE" w:eastAsia="en-IE"/>
    </w:rPr>
  </w:style>
  <w:style w:type="paragraph" w:customStyle="1" w:styleId="xl128">
    <w:name w:val="xl128"/>
    <w:basedOn w:val="Normal"/>
    <w:rsid w:val="007D2F03"/>
    <w:pPr>
      <w:pBdr>
        <w:top w:val="single" w:sz="4" w:space="0" w:color="auto"/>
        <w:left w:val="single" w:sz="4" w:space="0" w:color="auto"/>
        <w:bottom w:val="single" w:sz="4" w:space="0" w:color="auto"/>
        <w:right w:val="single" w:sz="4" w:space="0" w:color="auto"/>
      </w:pBdr>
      <w:shd w:val="clear" w:color="000000" w:fill="3D7AF5"/>
      <w:spacing w:before="100" w:beforeAutospacing="1" w:after="100" w:afterAutospacing="1" w:line="240" w:lineRule="auto"/>
      <w:jc w:val="center"/>
      <w:textAlignment w:val="center"/>
    </w:pPr>
    <w:rPr>
      <w:rFonts w:ascii="Times New Roman" w:eastAsia="Times New Roman" w:hAnsi="Times New Roman"/>
      <w:b/>
      <w:bCs/>
      <w:color w:val="FFFFFF"/>
      <w:kern w:val="0"/>
      <w:sz w:val="20"/>
      <w:lang w:val="en-IE" w:eastAsia="en-IE"/>
    </w:rPr>
  </w:style>
  <w:style w:type="paragraph" w:customStyle="1" w:styleId="xl129">
    <w:name w:val="xl129"/>
    <w:basedOn w:val="Normal"/>
    <w:rsid w:val="007D2F03"/>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Aptos" w:eastAsia="Times New Roman" w:hAnsi="Aptos"/>
      <w:b/>
      <w:bCs/>
      <w:color w:val="auto"/>
      <w:kern w:val="0"/>
      <w:sz w:val="20"/>
      <w:lang w:val="en-IE" w:eastAsia="en-IE"/>
    </w:rPr>
  </w:style>
  <w:style w:type="paragraph" w:customStyle="1" w:styleId="xl130">
    <w:name w:val="xl130"/>
    <w:basedOn w:val="Normal"/>
    <w:rsid w:val="007D2F0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000000"/>
      <w:kern w:val="0"/>
      <w:sz w:val="20"/>
      <w:lang w:val="en-IE" w:eastAsia="en-IE"/>
    </w:rPr>
  </w:style>
  <w:style w:type="paragraph" w:customStyle="1" w:styleId="xl131">
    <w:name w:val="xl131"/>
    <w:basedOn w:val="Normal"/>
    <w:rsid w:val="007D2F03"/>
    <w:pPr>
      <w:pBdr>
        <w:left w:val="single" w:sz="4" w:space="0" w:color="auto"/>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132">
    <w:name w:val="xl132"/>
    <w:basedOn w:val="Normal"/>
    <w:rsid w:val="007D2F03"/>
    <w:pPr>
      <w:pBdr>
        <w:top w:val="single" w:sz="4" w:space="0" w:color="000000"/>
        <w:left w:val="single" w:sz="4" w:space="0" w:color="000000"/>
        <w:bottom w:val="single" w:sz="8" w:space="0" w:color="auto"/>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133">
    <w:name w:val="xl133"/>
    <w:basedOn w:val="Normal"/>
    <w:rsid w:val="007D2F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ptos" w:eastAsia="Times New Roman" w:hAnsi="Aptos"/>
      <w:b/>
      <w:bCs/>
      <w:color w:val="auto"/>
      <w:kern w:val="0"/>
      <w:sz w:val="20"/>
      <w:u w:val="single"/>
      <w:lang w:val="en-IE" w:eastAsia="en-IE"/>
    </w:rPr>
  </w:style>
  <w:style w:type="paragraph" w:customStyle="1" w:styleId="xl134">
    <w:name w:val="xl134"/>
    <w:basedOn w:val="Normal"/>
    <w:rsid w:val="007D2F03"/>
    <w:pPr>
      <w:pBdr>
        <w:top w:val="single" w:sz="8" w:space="0" w:color="auto"/>
        <w:left w:val="single" w:sz="4" w:space="0" w:color="auto"/>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135">
    <w:name w:val="xl135"/>
    <w:basedOn w:val="Normal"/>
    <w:rsid w:val="007D2F0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136">
    <w:name w:val="xl136"/>
    <w:basedOn w:val="Normal"/>
    <w:rsid w:val="007D2F03"/>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137">
    <w:name w:val="xl137"/>
    <w:basedOn w:val="Normal"/>
    <w:rsid w:val="007D2F03"/>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138">
    <w:name w:val="xl138"/>
    <w:basedOn w:val="Normal"/>
    <w:rsid w:val="007D2F03"/>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139">
    <w:name w:val="xl139"/>
    <w:basedOn w:val="Normal"/>
    <w:rsid w:val="007D2F0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140">
    <w:name w:val="xl140"/>
    <w:basedOn w:val="Normal"/>
    <w:rsid w:val="007D2F03"/>
    <w:pPr>
      <w:pBdr>
        <w:top w:val="single" w:sz="8" w:space="0" w:color="auto"/>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141">
    <w:name w:val="xl141"/>
    <w:basedOn w:val="Normal"/>
    <w:rsid w:val="007D2F03"/>
    <w:pPr>
      <w:pBdr>
        <w:top w:val="single" w:sz="8" w:space="0" w:color="auto"/>
        <w:right w:val="single" w:sz="4" w:space="0" w:color="auto"/>
      </w:pBdr>
      <w:shd w:val="clear" w:color="000000" w:fill="3D7AF5"/>
      <w:spacing w:before="100" w:beforeAutospacing="1" w:after="100" w:afterAutospacing="1" w:line="240" w:lineRule="auto"/>
      <w:jc w:val="center"/>
      <w:textAlignment w:val="center"/>
    </w:pPr>
    <w:rPr>
      <w:rFonts w:ascii="Aptos Display" w:eastAsia="Times New Roman" w:hAnsi="Aptos Display"/>
      <w:b/>
      <w:bCs/>
      <w:color w:val="FFFFFF"/>
      <w:kern w:val="0"/>
      <w:sz w:val="20"/>
      <w:lang w:val="en-IE" w:eastAsia="en-IE"/>
    </w:rPr>
  </w:style>
  <w:style w:type="paragraph" w:customStyle="1" w:styleId="xl142">
    <w:name w:val="xl142"/>
    <w:basedOn w:val="Normal"/>
    <w:rsid w:val="007D2F03"/>
    <w:pPr>
      <w:pBdr>
        <w:right w:val="single" w:sz="4" w:space="0" w:color="auto"/>
      </w:pBdr>
      <w:shd w:val="clear" w:color="000000" w:fill="3D7AF5"/>
      <w:spacing w:before="100" w:beforeAutospacing="1" w:after="100" w:afterAutospacing="1" w:line="240" w:lineRule="auto"/>
      <w:jc w:val="center"/>
      <w:textAlignment w:val="center"/>
    </w:pPr>
    <w:rPr>
      <w:rFonts w:ascii="Aptos Display" w:eastAsia="Times New Roman" w:hAnsi="Aptos Display"/>
      <w:b/>
      <w:bCs/>
      <w:color w:val="FFFFFF"/>
      <w:kern w:val="0"/>
      <w:sz w:val="20"/>
      <w:lang w:val="en-IE" w:eastAsia="en-IE"/>
    </w:rPr>
  </w:style>
  <w:style w:type="paragraph" w:customStyle="1" w:styleId="xl143">
    <w:name w:val="xl143"/>
    <w:basedOn w:val="Normal"/>
    <w:rsid w:val="007D2F03"/>
    <w:pPr>
      <w:pBdr>
        <w:bottom w:val="single" w:sz="8" w:space="0" w:color="auto"/>
        <w:right w:val="single" w:sz="4" w:space="0" w:color="auto"/>
      </w:pBdr>
      <w:shd w:val="clear" w:color="000000" w:fill="3D7AF5"/>
      <w:spacing w:before="100" w:beforeAutospacing="1" w:after="100" w:afterAutospacing="1" w:line="240" w:lineRule="auto"/>
      <w:jc w:val="center"/>
      <w:textAlignment w:val="center"/>
    </w:pPr>
    <w:rPr>
      <w:rFonts w:ascii="Aptos Display" w:eastAsia="Times New Roman" w:hAnsi="Aptos Display"/>
      <w:b/>
      <w:bCs/>
      <w:color w:val="FFFFFF"/>
      <w:kern w:val="0"/>
      <w:sz w:val="20"/>
      <w:lang w:val="en-IE" w:eastAsia="en-IE"/>
    </w:rPr>
  </w:style>
  <w:style w:type="paragraph" w:customStyle="1" w:styleId="xl144">
    <w:name w:val="xl144"/>
    <w:basedOn w:val="Normal"/>
    <w:rsid w:val="007D2F0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145">
    <w:name w:val="xl145"/>
    <w:basedOn w:val="Normal"/>
    <w:rsid w:val="007D2F03"/>
    <w:pPr>
      <w:pBdr>
        <w:bottom w:val="single" w:sz="4" w:space="0" w:color="000000"/>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146">
    <w:name w:val="xl146"/>
    <w:basedOn w:val="Normal"/>
    <w:rsid w:val="007D2F03"/>
    <w:pPr>
      <w:pBdr>
        <w:top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147">
    <w:name w:val="xl147"/>
    <w:basedOn w:val="Normal"/>
    <w:rsid w:val="007D2F03"/>
    <w:pPr>
      <w:pBdr>
        <w:right w:val="single" w:sz="4" w:space="0" w:color="auto"/>
      </w:pBdr>
      <w:shd w:val="clear" w:color="000000" w:fill="0728CB"/>
      <w:spacing w:before="100" w:beforeAutospacing="1" w:after="100" w:afterAutospacing="1" w:line="240" w:lineRule="auto"/>
      <w:jc w:val="center"/>
      <w:textAlignment w:val="center"/>
    </w:pPr>
    <w:rPr>
      <w:rFonts w:ascii="Aptos Display" w:eastAsia="Times New Roman" w:hAnsi="Aptos Display"/>
      <w:b/>
      <w:bCs/>
      <w:color w:val="FFFFFF"/>
      <w:kern w:val="0"/>
      <w:sz w:val="20"/>
      <w:lang w:val="en-IE" w:eastAsia="en-IE"/>
    </w:rPr>
  </w:style>
  <w:style w:type="paragraph" w:customStyle="1" w:styleId="xl148">
    <w:name w:val="xl148"/>
    <w:basedOn w:val="Normal"/>
    <w:rsid w:val="007D2F03"/>
    <w:pPr>
      <w:shd w:val="clear" w:color="000000" w:fill="0728CB"/>
      <w:spacing w:before="100" w:beforeAutospacing="1" w:after="100" w:afterAutospacing="1" w:line="240" w:lineRule="auto"/>
      <w:jc w:val="center"/>
      <w:textAlignment w:val="center"/>
    </w:pPr>
    <w:rPr>
      <w:rFonts w:ascii="Aptos Display" w:eastAsia="Times New Roman" w:hAnsi="Aptos Display"/>
      <w:b/>
      <w:bCs/>
      <w:color w:val="FFFFFF"/>
      <w:kern w:val="0"/>
      <w:sz w:val="20"/>
      <w:lang w:val="en-IE" w:eastAsia="en-IE"/>
    </w:rPr>
  </w:style>
  <w:style w:type="paragraph" w:customStyle="1" w:styleId="xl149">
    <w:name w:val="xl149"/>
    <w:basedOn w:val="Normal"/>
    <w:rsid w:val="007D2F03"/>
    <w:pPr>
      <w:pBdr>
        <w:bottom w:val="single" w:sz="8" w:space="0" w:color="auto"/>
        <w:right w:val="single" w:sz="4" w:space="0" w:color="auto"/>
      </w:pBdr>
      <w:shd w:val="clear" w:color="000000" w:fill="0728CB"/>
      <w:spacing w:before="100" w:beforeAutospacing="1" w:after="100" w:afterAutospacing="1" w:line="240" w:lineRule="auto"/>
      <w:jc w:val="center"/>
      <w:textAlignment w:val="center"/>
    </w:pPr>
    <w:rPr>
      <w:rFonts w:ascii="Aptos Display" w:eastAsia="Times New Roman" w:hAnsi="Aptos Display"/>
      <w:b/>
      <w:bCs/>
      <w:color w:val="FFFFFF"/>
      <w:kern w:val="0"/>
      <w:sz w:val="20"/>
      <w:lang w:val="en-IE" w:eastAsia="en-IE"/>
    </w:rPr>
  </w:style>
  <w:style w:type="paragraph" w:customStyle="1" w:styleId="xl150">
    <w:name w:val="xl150"/>
    <w:basedOn w:val="Normal"/>
    <w:rsid w:val="007D2F03"/>
    <w:pPr>
      <w:pBdr>
        <w:left w:val="single" w:sz="4" w:space="0" w:color="auto"/>
        <w:right w:val="single" w:sz="4" w:space="0" w:color="auto"/>
      </w:pBdr>
      <w:shd w:val="clear" w:color="000000" w:fill="3D7AF5"/>
      <w:spacing w:before="100" w:beforeAutospacing="1" w:after="100" w:afterAutospacing="1" w:line="240" w:lineRule="auto"/>
      <w:jc w:val="center"/>
      <w:textAlignment w:val="center"/>
    </w:pPr>
    <w:rPr>
      <w:rFonts w:ascii="Aptos Display" w:eastAsia="Times New Roman" w:hAnsi="Aptos Display"/>
      <w:b/>
      <w:bCs/>
      <w:color w:val="FFFFFF"/>
      <w:kern w:val="0"/>
      <w:sz w:val="20"/>
      <w:lang w:val="en-IE" w:eastAsia="en-IE"/>
    </w:rPr>
  </w:style>
  <w:style w:type="paragraph" w:customStyle="1" w:styleId="xl151">
    <w:name w:val="xl151"/>
    <w:basedOn w:val="Normal"/>
    <w:rsid w:val="007D2F03"/>
    <w:pPr>
      <w:pBdr>
        <w:top w:val="single" w:sz="4" w:space="0" w:color="auto"/>
        <w:left w:val="single" w:sz="4" w:space="0" w:color="auto"/>
        <w:right w:val="single" w:sz="4" w:space="0" w:color="auto"/>
      </w:pBdr>
      <w:shd w:val="clear" w:color="000000" w:fill="3D7AF5"/>
      <w:spacing w:before="100" w:beforeAutospacing="1" w:after="100" w:afterAutospacing="1" w:line="240" w:lineRule="auto"/>
      <w:jc w:val="center"/>
      <w:textAlignment w:val="center"/>
    </w:pPr>
    <w:rPr>
      <w:rFonts w:ascii="Aptos Display" w:eastAsia="Times New Roman" w:hAnsi="Aptos Display"/>
      <w:b/>
      <w:bCs/>
      <w:color w:val="FFFFFF"/>
      <w:kern w:val="0"/>
      <w:sz w:val="20"/>
      <w:lang w:val="en-IE" w:eastAsia="en-IE"/>
    </w:rPr>
  </w:style>
  <w:style w:type="paragraph" w:customStyle="1" w:styleId="xl152">
    <w:name w:val="xl152"/>
    <w:basedOn w:val="Normal"/>
    <w:rsid w:val="007D2F03"/>
    <w:pPr>
      <w:pBdr>
        <w:top w:val="single" w:sz="8" w:space="0" w:color="auto"/>
      </w:pBdr>
      <w:shd w:val="clear" w:color="000000" w:fill="0728CB"/>
      <w:spacing w:before="100" w:beforeAutospacing="1" w:after="100" w:afterAutospacing="1" w:line="240" w:lineRule="auto"/>
      <w:jc w:val="center"/>
      <w:textAlignment w:val="center"/>
    </w:pPr>
    <w:rPr>
      <w:rFonts w:ascii="Aptos Display" w:eastAsia="Times New Roman" w:hAnsi="Aptos Display"/>
      <w:b/>
      <w:bCs/>
      <w:color w:val="FFFFFF"/>
      <w:kern w:val="0"/>
      <w:sz w:val="20"/>
      <w:lang w:val="en-IE" w:eastAsia="en-IE"/>
    </w:rPr>
  </w:style>
  <w:style w:type="paragraph" w:customStyle="1" w:styleId="xl153">
    <w:name w:val="xl153"/>
    <w:basedOn w:val="Normal"/>
    <w:rsid w:val="007D2F03"/>
    <w:pPr>
      <w:pBdr>
        <w:bottom w:val="single" w:sz="8" w:space="0" w:color="auto"/>
      </w:pBdr>
      <w:shd w:val="clear" w:color="000000" w:fill="0728CB"/>
      <w:spacing w:before="100" w:beforeAutospacing="1" w:after="100" w:afterAutospacing="1" w:line="240" w:lineRule="auto"/>
      <w:jc w:val="center"/>
      <w:textAlignment w:val="center"/>
    </w:pPr>
    <w:rPr>
      <w:rFonts w:ascii="Aptos Display" w:eastAsia="Times New Roman" w:hAnsi="Aptos Display"/>
      <w:b/>
      <w:bCs/>
      <w:color w:val="FFFFFF"/>
      <w:kern w:val="0"/>
      <w:sz w:val="20"/>
      <w:lang w:val="en-IE" w:eastAsia="en-IE"/>
    </w:rPr>
  </w:style>
  <w:style w:type="paragraph" w:customStyle="1" w:styleId="xl154">
    <w:name w:val="xl154"/>
    <w:basedOn w:val="Normal"/>
    <w:rsid w:val="007D2F03"/>
    <w:pPr>
      <w:pBdr>
        <w:top w:val="single" w:sz="8" w:space="0" w:color="auto"/>
        <w:right w:val="single" w:sz="4" w:space="0" w:color="auto"/>
      </w:pBdr>
      <w:shd w:val="clear" w:color="000000" w:fill="0728CB"/>
      <w:spacing w:before="100" w:beforeAutospacing="1" w:after="100" w:afterAutospacing="1" w:line="240" w:lineRule="auto"/>
      <w:jc w:val="center"/>
      <w:textAlignment w:val="center"/>
    </w:pPr>
    <w:rPr>
      <w:rFonts w:ascii="Aptos Display" w:eastAsia="Times New Roman" w:hAnsi="Aptos Display"/>
      <w:b/>
      <w:bCs/>
      <w:color w:val="FFFFFF"/>
      <w:kern w:val="0"/>
      <w:sz w:val="20"/>
      <w:lang w:val="en-IE" w:eastAsia="en-IE"/>
    </w:rPr>
  </w:style>
  <w:style w:type="paragraph" w:customStyle="1" w:styleId="xl155">
    <w:name w:val="xl155"/>
    <w:basedOn w:val="Normal"/>
    <w:rsid w:val="007D2F03"/>
    <w:pPr>
      <w:pBdr>
        <w:top w:val="single" w:sz="8" w:space="0" w:color="auto"/>
        <w:left w:val="single" w:sz="4" w:space="0" w:color="auto"/>
      </w:pBdr>
      <w:shd w:val="clear" w:color="000000" w:fill="3D7AF5"/>
      <w:spacing w:before="100" w:beforeAutospacing="1" w:after="100" w:afterAutospacing="1" w:line="240" w:lineRule="auto"/>
      <w:jc w:val="center"/>
      <w:textAlignment w:val="center"/>
    </w:pPr>
    <w:rPr>
      <w:rFonts w:ascii="Aptos Display" w:eastAsia="Times New Roman" w:hAnsi="Aptos Display"/>
      <w:b/>
      <w:bCs/>
      <w:color w:val="FFFFFF"/>
      <w:kern w:val="0"/>
      <w:sz w:val="20"/>
      <w:lang w:val="en-IE" w:eastAsia="en-IE"/>
    </w:rPr>
  </w:style>
  <w:style w:type="paragraph" w:customStyle="1" w:styleId="xl156">
    <w:name w:val="xl156"/>
    <w:basedOn w:val="Normal"/>
    <w:rsid w:val="007D2F03"/>
    <w:pPr>
      <w:pBdr>
        <w:left w:val="single" w:sz="4" w:space="0" w:color="auto"/>
      </w:pBdr>
      <w:shd w:val="clear" w:color="000000" w:fill="3D7AF5"/>
      <w:spacing w:before="100" w:beforeAutospacing="1" w:after="100" w:afterAutospacing="1" w:line="240" w:lineRule="auto"/>
      <w:jc w:val="center"/>
      <w:textAlignment w:val="center"/>
    </w:pPr>
    <w:rPr>
      <w:rFonts w:ascii="Aptos Display" w:eastAsia="Times New Roman" w:hAnsi="Aptos Display"/>
      <w:b/>
      <w:bCs/>
      <w:color w:val="FFFFFF"/>
      <w:kern w:val="0"/>
      <w:sz w:val="20"/>
      <w:lang w:val="en-IE" w:eastAsia="en-IE"/>
    </w:rPr>
  </w:style>
  <w:style w:type="paragraph" w:customStyle="1" w:styleId="xl157">
    <w:name w:val="xl157"/>
    <w:basedOn w:val="Normal"/>
    <w:rsid w:val="007D2F03"/>
    <w:pPr>
      <w:pBdr>
        <w:left w:val="single" w:sz="4" w:space="0" w:color="auto"/>
        <w:bottom w:val="single" w:sz="8" w:space="0" w:color="auto"/>
      </w:pBdr>
      <w:shd w:val="clear" w:color="000000" w:fill="3D7AF5"/>
      <w:spacing w:before="100" w:beforeAutospacing="1" w:after="100" w:afterAutospacing="1" w:line="240" w:lineRule="auto"/>
      <w:jc w:val="center"/>
      <w:textAlignment w:val="center"/>
    </w:pPr>
    <w:rPr>
      <w:rFonts w:ascii="Aptos Display" w:eastAsia="Times New Roman" w:hAnsi="Aptos Display"/>
      <w:b/>
      <w:bCs/>
      <w:color w:val="FFFFFF"/>
      <w:kern w:val="0"/>
      <w:sz w:val="20"/>
      <w:lang w:val="en-IE" w:eastAsia="en-IE"/>
    </w:rPr>
  </w:style>
  <w:style w:type="paragraph" w:customStyle="1" w:styleId="xl158">
    <w:name w:val="xl158"/>
    <w:basedOn w:val="Normal"/>
    <w:rsid w:val="007D2F03"/>
    <w:pPr>
      <w:pBdr>
        <w:top w:val="single" w:sz="4" w:space="0" w:color="auto"/>
        <w:right w:val="single" w:sz="4" w:space="0" w:color="auto"/>
      </w:pBdr>
      <w:shd w:val="clear" w:color="000000" w:fill="0728CB"/>
      <w:spacing w:before="100" w:beforeAutospacing="1" w:after="100" w:afterAutospacing="1" w:line="240" w:lineRule="auto"/>
      <w:jc w:val="center"/>
      <w:textAlignment w:val="center"/>
    </w:pPr>
    <w:rPr>
      <w:rFonts w:ascii="Times New Roman" w:eastAsia="Times New Roman" w:hAnsi="Times New Roman"/>
      <w:b/>
      <w:bCs/>
      <w:color w:val="FFFFFF"/>
      <w:kern w:val="0"/>
      <w:sz w:val="20"/>
      <w:lang w:val="en-IE" w:eastAsia="en-IE"/>
    </w:rPr>
  </w:style>
  <w:style w:type="paragraph" w:customStyle="1" w:styleId="xl159">
    <w:name w:val="xl159"/>
    <w:basedOn w:val="Normal"/>
    <w:rsid w:val="007D2F03"/>
    <w:pPr>
      <w:pBdr>
        <w:top w:val="single" w:sz="8" w:space="0" w:color="auto"/>
        <w:left w:val="single" w:sz="4" w:space="0" w:color="000000"/>
        <w:bottom w:val="single" w:sz="4" w:space="0" w:color="000000"/>
        <w:right w:val="single" w:sz="4" w:space="0" w:color="000000"/>
      </w:pBdr>
      <w:shd w:val="clear" w:color="000000" w:fill="3D7AF5"/>
      <w:spacing w:before="100" w:beforeAutospacing="1" w:after="100" w:afterAutospacing="1" w:line="240" w:lineRule="auto"/>
      <w:jc w:val="center"/>
      <w:textAlignment w:val="center"/>
    </w:pPr>
    <w:rPr>
      <w:rFonts w:ascii="Aptos Display" w:eastAsia="Times New Roman" w:hAnsi="Aptos Display"/>
      <w:b/>
      <w:bCs/>
      <w:color w:val="FFFFFF"/>
      <w:kern w:val="0"/>
      <w:sz w:val="20"/>
      <w:lang w:val="en-IE" w:eastAsia="en-IE"/>
    </w:rPr>
  </w:style>
  <w:style w:type="paragraph" w:customStyle="1" w:styleId="xl160">
    <w:name w:val="xl160"/>
    <w:basedOn w:val="Normal"/>
    <w:rsid w:val="007D2F03"/>
    <w:pPr>
      <w:pBdr>
        <w:top w:val="single" w:sz="4" w:space="0" w:color="000000"/>
        <w:left w:val="single" w:sz="4" w:space="0" w:color="000000"/>
        <w:bottom w:val="single" w:sz="4" w:space="0" w:color="000000"/>
        <w:right w:val="single" w:sz="4" w:space="0" w:color="000000"/>
      </w:pBdr>
      <w:shd w:val="clear" w:color="000000" w:fill="3D7AF5"/>
      <w:spacing w:before="100" w:beforeAutospacing="1" w:after="100" w:afterAutospacing="1" w:line="240" w:lineRule="auto"/>
      <w:jc w:val="center"/>
      <w:textAlignment w:val="center"/>
    </w:pPr>
    <w:rPr>
      <w:rFonts w:ascii="Aptos Display" w:eastAsia="Times New Roman" w:hAnsi="Aptos Display"/>
      <w:b/>
      <w:bCs/>
      <w:color w:val="FFFFFF"/>
      <w:kern w:val="0"/>
      <w:sz w:val="20"/>
      <w:lang w:val="en-IE" w:eastAsia="en-IE"/>
    </w:rPr>
  </w:style>
  <w:style w:type="paragraph" w:customStyle="1" w:styleId="xl161">
    <w:name w:val="xl161"/>
    <w:basedOn w:val="Normal"/>
    <w:rsid w:val="007D2F03"/>
    <w:pPr>
      <w:pBdr>
        <w:top w:val="single" w:sz="4" w:space="0" w:color="000000"/>
        <w:left w:val="single" w:sz="4" w:space="0" w:color="000000"/>
        <w:bottom w:val="single" w:sz="8" w:space="0" w:color="auto"/>
        <w:right w:val="single" w:sz="4" w:space="0" w:color="000000"/>
      </w:pBdr>
      <w:shd w:val="clear" w:color="000000" w:fill="3D7AF5"/>
      <w:spacing w:before="100" w:beforeAutospacing="1" w:after="100" w:afterAutospacing="1" w:line="240" w:lineRule="auto"/>
      <w:jc w:val="center"/>
      <w:textAlignment w:val="center"/>
    </w:pPr>
    <w:rPr>
      <w:rFonts w:ascii="Aptos Display" w:eastAsia="Times New Roman" w:hAnsi="Aptos Display"/>
      <w:b/>
      <w:bCs/>
      <w:color w:val="FFFFFF"/>
      <w:kern w:val="0"/>
      <w:sz w:val="20"/>
      <w:lang w:val="en-IE" w:eastAsia="en-IE"/>
    </w:rPr>
  </w:style>
  <w:style w:type="paragraph" w:customStyle="1" w:styleId="xl162">
    <w:name w:val="xl162"/>
    <w:basedOn w:val="Normal"/>
    <w:rsid w:val="007D2F03"/>
    <w:pPr>
      <w:pBdr>
        <w:top w:val="single" w:sz="8" w:space="0" w:color="auto"/>
        <w:left w:val="single" w:sz="4" w:space="0" w:color="000000"/>
        <w:bottom w:val="single" w:sz="4" w:space="0" w:color="000000"/>
        <w:right w:val="single" w:sz="4" w:space="0" w:color="000000"/>
      </w:pBdr>
      <w:shd w:val="clear" w:color="000000" w:fill="3D7AF5"/>
      <w:spacing w:before="100" w:beforeAutospacing="1" w:after="100" w:afterAutospacing="1" w:line="240" w:lineRule="auto"/>
      <w:jc w:val="center"/>
      <w:textAlignment w:val="center"/>
    </w:pPr>
    <w:rPr>
      <w:rFonts w:ascii="Times New Roman" w:eastAsia="Times New Roman" w:hAnsi="Times New Roman"/>
      <w:b/>
      <w:bCs/>
      <w:color w:val="FFFFFF"/>
      <w:kern w:val="0"/>
      <w:sz w:val="20"/>
      <w:lang w:val="en-IE" w:eastAsia="en-IE"/>
    </w:rPr>
  </w:style>
  <w:style w:type="paragraph" w:customStyle="1" w:styleId="xl163">
    <w:name w:val="xl163"/>
    <w:basedOn w:val="Normal"/>
    <w:rsid w:val="007D2F03"/>
    <w:pPr>
      <w:pBdr>
        <w:top w:val="single" w:sz="4" w:space="0" w:color="000000"/>
        <w:left w:val="single" w:sz="4" w:space="0" w:color="000000"/>
        <w:bottom w:val="single" w:sz="4" w:space="0" w:color="000000"/>
        <w:right w:val="single" w:sz="4" w:space="0" w:color="000000"/>
      </w:pBdr>
      <w:shd w:val="clear" w:color="000000" w:fill="3D7AF5"/>
      <w:spacing w:before="100" w:beforeAutospacing="1" w:after="100" w:afterAutospacing="1" w:line="240" w:lineRule="auto"/>
      <w:jc w:val="center"/>
      <w:textAlignment w:val="center"/>
    </w:pPr>
    <w:rPr>
      <w:rFonts w:ascii="Times New Roman" w:eastAsia="Times New Roman" w:hAnsi="Times New Roman"/>
      <w:b/>
      <w:bCs/>
      <w:color w:val="FFFFFF"/>
      <w:kern w:val="0"/>
      <w:sz w:val="20"/>
      <w:lang w:val="en-IE" w:eastAsia="en-IE"/>
    </w:rPr>
  </w:style>
  <w:style w:type="paragraph" w:customStyle="1" w:styleId="xl164">
    <w:name w:val="xl164"/>
    <w:basedOn w:val="Normal"/>
    <w:rsid w:val="007D2F03"/>
    <w:pPr>
      <w:pBdr>
        <w:top w:val="single" w:sz="4" w:space="0" w:color="000000"/>
        <w:left w:val="single" w:sz="4" w:space="0" w:color="000000"/>
        <w:bottom w:val="single" w:sz="8" w:space="0" w:color="auto"/>
        <w:right w:val="single" w:sz="4" w:space="0" w:color="000000"/>
      </w:pBdr>
      <w:shd w:val="clear" w:color="000000" w:fill="3D7AF5"/>
      <w:spacing w:before="100" w:beforeAutospacing="1" w:after="100" w:afterAutospacing="1" w:line="240" w:lineRule="auto"/>
      <w:jc w:val="center"/>
      <w:textAlignment w:val="center"/>
    </w:pPr>
    <w:rPr>
      <w:rFonts w:ascii="Times New Roman" w:eastAsia="Times New Roman" w:hAnsi="Times New Roman"/>
      <w:b/>
      <w:bCs/>
      <w:color w:val="FFFFFF"/>
      <w:kern w:val="0"/>
      <w:sz w:val="20"/>
      <w:lang w:val="en-IE" w:eastAsia="en-IE"/>
    </w:rPr>
  </w:style>
  <w:style w:type="paragraph" w:customStyle="1" w:styleId="xl165">
    <w:name w:val="xl165"/>
    <w:basedOn w:val="Normal"/>
    <w:rsid w:val="007D2F03"/>
    <w:pPr>
      <w:pBdr>
        <w:top w:val="single" w:sz="8" w:space="0" w:color="auto"/>
        <w:left w:val="single" w:sz="4" w:space="0" w:color="auto"/>
        <w:right w:val="single" w:sz="4" w:space="0" w:color="auto"/>
      </w:pBdr>
      <w:shd w:val="clear" w:color="000000" w:fill="3D7AF5"/>
      <w:spacing w:before="100" w:beforeAutospacing="1" w:after="100" w:afterAutospacing="1" w:line="240" w:lineRule="auto"/>
      <w:jc w:val="center"/>
      <w:textAlignment w:val="center"/>
    </w:pPr>
    <w:rPr>
      <w:rFonts w:ascii="Times New Roman" w:eastAsia="Times New Roman" w:hAnsi="Times New Roman"/>
      <w:b/>
      <w:bCs/>
      <w:color w:val="FFFFFF"/>
      <w:kern w:val="0"/>
      <w:sz w:val="20"/>
      <w:lang w:val="en-IE" w:eastAsia="en-IE"/>
    </w:rPr>
  </w:style>
  <w:style w:type="paragraph" w:customStyle="1" w:styleId="xl166">
    <w:name w:val="xl166"/>
    <w:basedOn w:val="Normal"/>
    <w:rsid w:val="007D2F03"/>
    <w:pPr>
      <w:pBdr>
        <w:top w:val="single" w:sz="8" w:space="0" w:color="auto"/>
        <w:left w:val="single" w:sz="4" w:space="0" w:color="auto"/>
        <w:bottom w:val="single" w:sz="8" w:space="0" w:color="auto"/>
        <w:right w:val="single" w:sz="4" w:space="0" w:color="auto"/>
      </w:pBdr>
      <w:shd w:val="clear" w:color="000000" w:fill="3D7AF5"/>
      <w:spacing w:before="100" w:beforeAutospacing="1" w:after="100" w:afterAutospacing="1" w:line="240" w:lineRule="auto"/>
      <w:jc w:val="center"/>
      <w:textAlignment w:val="center"/>
    </w:pPr>
    <w:rPr>
      <w:rFonts w:ascii="Times New Roman" w:eastAsia="Times New Roman" w:hAnsi="Times New Roman"/>
      <w:b/>
      <w:bCs/>
      <w:color w:val="FFFFFF"/>
      <w:kern w:val="0"/>
      <w:sz w:val="20"/>
      <w:lang w:val="en-IE" w:eastAsia="en-IE"/>
    </w:rPr>
  </w:style>
  <w:style w:type="paragraph" w:customStyle="1" w:styleId="xl167">
    <w:name w:val="xl167"/>
    <w:basedOn w:val="Normal"/>
    <w:rsid w:val="007D2F0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168">
    <w:name w:val="xl168"/>
    <w:basedOn w:val="Normal"/>
    <w:rsid w:val="007D2F03"/>
    <w:pPr>
      <w:pBdr>
        <w:left w:val="single" w:sz="4" w:space="0" w:color="auto"/>
        <w:bottom w:val="single" w:sz="4" w:space="0" w:color="000000"/>
        <w:right w:val="single" w:sz="4" w:space="0" w:color="auto"/>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 w:type="paragraph" w:customStyle="1" w:styleId="xl169">
    <w:name w:val="xl169"/>
    <w:basedOn w:val="Normal"/>
    <w:rsid w:val="007D2F03"/>
    <w:pPr>
      <w:pBdr>
        <w:top w:val="single" w:sz="4" w:space="0" w:color="000000"/>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auto"/>
      <w:kern w:val="0"/>
      <w:sz w:val="20"/>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6195">
      <w:bodyDiv w:val="1"/>
      <w:marLeft w:val="0"/>
      <w:marRight w:val="0"/>
      <w:marTop w:val="0"/>
      <w:marBottom w:val="0"/>
      <w:divBdr>
        <w:top w:val="none" w:sz="0" w:space="0" w:color="auto"/>
        <w:left w:val="none" w:sz="0" w:space="0" w:color="auto"/>
        <w:bottom w:val="none" w:sz="0" w:space="0" w:color="auto"/>
        <w:right w:val="none" w:sz="0" w:space="0" w:color="auto"/>
      </w:divBdr>
    </w:div>
    <w:div w:id="12729126">
      <w:bodyDiv w:val="1"/>
      <w:marLeft w:val="0"/>
      <w:marRight w:val="0"/>
      <w:marTop w:val="0"/>
      <w:marBottom w:val="0"/>
      <w:divBdr>
        <w:top w:val="none" w:sz="0" w:space="0" w:color="auto"/>
        <w:left w:val="none" w:sz="0" w:space="0" w:color="auto"/>
        <w:bottom w:val="none" w:sz="0" w:space="0" w:color="auto"/>
        <w:right w:val="none" w:sz="0" w:space="0" w:color="auto"/>
      </w:divBdr>
    </w:div>
    <w:div w:id="16659331">
      <w:bodyDiv w:val="1"/>
      <w:marLeft w:val="0"/>
      <w:marRight w:val="0"/>
      <w:marTop w:val="0"/>
      <w:marBottom w:val="0"/>
      <w:divBdr>
        <w:top w:val="none" w:sz="0" w:space="0" w:color="auto"/>
        <w:left w:val="none" w:sz="0" w:space="0" w:color="auto"/>
        <w:bottom w:val="none" w:sz="0" w:space="0" w:color="auto"/>
        <w:right w:val="none" w:sz="0" w:space="0" w:color="auto"/>
      </w:divBdr>
    </w:div>
    <w:div w:id="21443655">
      <w:bodyDiv w:val="1"/>
      <w:marLeft w:val="0"/>
      <w:marRight w:val="0"/>
      <w:marTop w:val="0"/>
      <w:marBottom w:val="0"/>
      <w:divBdr>
        <w:top w:val="none" w:sz="0" w:space="0" w:color="auto"/>
        <w:left w:val="none" w:sz="0" w:space="0" w:color="auto"/>
        <w:bottom w:val="none" w:sz="0" w:space="0" w:color="auto"/>
        <w:right w:val="none" w:sz="0" w:space="0" w:color="auto"/>
      </w:divBdr>
    </w:div>
    <w:div w:id="69354904">
      <w:bodyDiv w:val="1"/>
      <w:marLeft w:val="0"/>
      <w:marRight w:val="0"/>
      <w:marTop w:val="0"/>
      <w:marBottom w:val="0"/>
      <w:divBdr>
        <w:top w:val="none" w:sz="0" w:space="0" w:color="auto"/>
        <w:left w:val="none" w:sz="0" w:space="0" w:color="auto"/>
        <w:bottom w:val="none" w:sz="0" w:space="0" w:color="auto"/>
        <w:right w:val="none" w:sz="0" w:space="0" w:color="auto"/>
      </w:divBdr>
    </w:div>
    <w:div w:id="85615293">
      <w:bodyDiv w:val="1"/>
      <w:marLeft w:val="0"/>
      <w:marRight w:val="0"/>
      <w:marTop w:val="0"/>
      <w:marBottom w:val="0"/>
      <w:divBdr>
        <w:top w:val="none" w:sz="0" w:space="0" w:color="auto"/>
        <w:left w:val="none" w:sz="0" w:space="0" w:color="auto"/>
        <w:bottom w:val="none" w:sz="0" w:space="0" w:color="auto"/>
        <w:right w:val="none" w:sz="0" w:space="0" w:color="auto"/>
      </w:divBdr>
      <w:divsChild>
        <w:div w:id="103423084">
          <w:marLeft w:val="0"/>
          <w:marRight w:val="0"/>
          <w:marTop w:val="0"/>
          <w:marBottom w:val="0"/>
          <w:divBdr>
            <w:top w:val="none" w:sz="0" w:space="0" w:color="auto"/>
            <w:left w:val="none" w:sz="0" w:space="0" w:color="auto"/>
            <w:bottom w:val="none" w:sz="0" w:space="0" w:color="auto"/>
            <w:right w:val="none" w:sz="0" w:space="0" w:color="auto"/>
          </w:divBdr>
        </w:div>
        <w:div w:id="137036002">
          <w:marLeft w:val="0"/>
          <w:marRight w:val="0"/>
          <w:marTop w:val="0"/>
          <w:marBottom w:val="0"/>
          <w:divBdr>
            <w:top w:val="none" w:sz="0" w:space="0" w:color="auto"/>
            <w:left w:val="none" w:sz="0" w:space="0" w:color="auto"/>
            <w:bottom w:val="none" w:sz="0" w:space="0" w:color="auto"/>
            <w:right w:val="none" w:sz="0" w:space="0" w:color="auto"/>
          </w:divBdr>
        </w:div>
        <w:div w:id="141968471">
          <w:marLeft w:val="0"/>
          <w:marRight w:val="0"/>
          <w:marTop w:val="0"/>
          <w:marBottom w:val="0"/>
          <w:divBdr>
            <w:top w:val="none" w:sz="0" w:space="0" w:color="auto"/>
            <w:left w:val="none" w:sz="0" w:space="0" w:color="auto"/>
            <w:bottom w:val="none" w:sz="0" w:space="0" w:color="auto"/>
            <w:right w:val="none" w:sz="0" w:space="0" w:color="auto"/>
          </w:divBdr>
        </w:div>
        <w:div w:id="462970539">
          <w:marLeft w:val="0"/>
          <w:marRight w:val="0"/>
          <w:marTop w:val="0"/>
          <w:marBottom w:val="0"/>
          <w:divBdr>
            <w:top w:val="none" w:sz="0" w:space="0" w:color="auto"/>
            <w:left w:val="none" w:sz="0" w:space="0" w:color="auto"/>
            <w:bottom w:val="none" w:sz="0" w:space="0" w:color="auto"/>
            <w:right w:val="none" w:sz="0" w:space="0" w:color="auto"/>
          </w:divBdr>
        </w:div>
        <w:div w:id="518811358">
          <w:marLeft w:val="0"/>
          <w:marRight w:val="0"/>
          <w:marTop w:val="0"/>
          <w:marBottom w:val="0"/>
          <w:divBdr>
            <w:top w:val="none" w:sz="0" w:space="0" w:color="auto"/>
            <w:left w:val="none" w:sz="0" w:space="0" w:color="auto"/>
            <w:bottom w:val="none" w:sz="0" w:space="0" w:color="auto"/>
            <w:right w:val="none" w:sz="0" w:space="0" w:color="auto"/>
          </w:divBdr>
        </w:div>
        <w:div w:id="597517617">
          <w:marLeft w:val="0"/>
          <w:marRight w:val="0"/>
          <w:marTop w:val="0"/>
          <w:marBottom w:val="0"/>
          <w:divBdr>
            <w:top w:val="none" w:sz="0" w:space="0" w:color="auto"/>
            <w:left w:val="none" w:sz="0" w:space="0" w:color="auto"/>
            <w:bottom w:val="none" w:sz="0" w:space="0" w:color="auto"/>
            <w:right w:val="none" w:sz="0" w:space="0" w:color="auto"/>
          </w:divBdr>
        </w:div>
        <w:div w:id="808481027">
          <w:marLeft w:val="0"/>
          <w:marRight w:val="0"/>
          <w:marTop w:val="0"/>
          <w:marBottom w:val="0"/>
          <w:divBdr>
            <w:top w:val="none" w:sz="0" w:space="0" w:color="auto"/>
            <w:left w:val="none" w:sz="0" w:space="0" w:color="auto"/>
            <w:bottom w:val="none" w:sz="0" w:space="0" w:color="auto"/>
            <w:right w:val="none" w:sz="0" w:space="0" w:color="auto"/>
          </w:divBdr>
        </w:div>
        <w:div w:id="826819959">
          <w:marLeft w:val="0"/>
          <w:marRight w:val="0"/>
          <w:marTop w:val="0"/>
          <w:marBottom w:val="0"/>
          <w:divBdr>
            <w:top w:val="none" w:sz="0" w:space="0" w:color="auto"/>
            <w:left w:val="none" w:sz="0" w:space="0" w:color="auto"/>
            <w:bottom w:val="none" w:sz="0" w:space="0" w:color="auto"/>
            <w:right w:val="none" w:sz="0" w:space="0" w:color="auto"/>
          </w:divBdr>
        </w:div>
        <w:div w:id="850605959">
          <w:marLeft w:val="0"/>
          <w:marRight w:val="0"/>
          <w:marTop w:val="0"/>
          <w:marBottom w:val="0"/>
          <w:divBdr>
            <w:top w:val="none" w:sz="0" w:space="0" w:color="auto"/>
            <w:left w:val="none" w:sz="0" w:space="0" w:color="auto"/>
            <w:bottom w:val="none" w:sz="0" w:space="0" w:color="auto"/>
            <w:right w:val="none" w:sz="0" w:space="0" w:color="auto"/>
          </w:divBdr>
        </w:div>
        <w:div w:id="946545824">
          <w:marLeft w:val="0"/>
          <w:marRight w:val="0"/>
          <w:marTop w:val="0"/>
          <w:marBottom w:val="0"/>
          <w:divBdr>
            <w:top w:val="none" w:sz="0" w:space="0" w:color="auto"/>
            <w:left w:val="none" w:sz="0" w:space="0" w:color="auto"/>
            <w:bottom w:val="none" w:sz="0" w:space="0" w:color="auto"/>
            <w:right w:val="none" w:sz="0" w:space="0" w:color="auto"/>
          </w:divBdr>
        </w:div>
        <w:div w:id="1055810050">
          <w:marLeft w:val="0"/>
          <w:marRight w:val="0"/>
          <w:marTop w:val="0"/>
          <w:marBottom w:val="0"/>
          <w:divBdr>
            <w:top w:val="none" w:sz="0" w:space="0" w:color="auto"/>
            <w:left w:val="none" w:sz="0" w:space="0" w:color="auto"/>
            <w:bottom w:val="none" w:sz="0" w:space="0" w:color="auto"/>
            <w:right w:val="none" w:sz="0" w:space="0" w:color="auto"/>
          </w:divBdr>
        </w:div>
        <w:div w:id="1061250185">
          <w:marLeft w:val="0"/>
          <w:marRight w:val="0"/>
          <w:marTop w:val="0"/>
          <w:marBottom w:val="0"/>
          <w:divBdr>
            <w:top w:val="none" w:sz="0" w:space="0" w:color="auto"/>
            <w:left w:val="none" w:sz="0" w:space="0" w:color="auto"/>
            <w:bottom w:val="none" w:sz="0" w:space="0" w:color="auto"/>
            <w:right w:val="none" w:sz="0" w:space="0" w:color="auto"/>
          </w:divBdr>
        </w:div>
        <w:div w:id="1108426425">
          <w:marLeft w:val="0"/>
          <w:marRight w:val="0"/>
          <w:marTop w:val="0"/>
          <w:marBottom w:val="0"/>
          <w:divBdr>
            <w:top w:val="none" w:sz="0" w:space="0" w:color="auto"/>
            <w:left w:val="none" w:sz="0" w:space="0" w:color="auto"/>
            <w:bottom w:val="none" w:sz="0" w:space="0" w:color="auto"/>
            <w:right w:val="none" w:sz="0" w:space="0" w:color="auto"/>
          </w:divBdr>
        </w:div>
        <w:div w:id="1206912596">
          <w:marLeft w:val="0"/>
          <w:marRight w:val="0"/>
          <w:marTop w:val="0"/>
          <w:marBottom w:val="0"/>
          <w:divBdr>
            <w:top w:val="none" w:sz="0" w:space="0" w:color="auto"/>
            <w:left w:val="none" w:sz="0" w:space="0" w:color="auto"/>
            <w:bottom w:val="none" w:sz="0" w:space="0" w:color="auto"/>
            <w:right w:val="none" w:sz="0" w:space="0" w:color="auto"/>
          </w:divBdr>
        </w:div>
        <w:div w:id="1255898686">
          <w:marLeft w:val="0"/>
          <w:marRight w:val="0"/>
          <w:marTop w:val="0"/>
          <w:marBottom w:val="0"/>
          <w:divBdr>
            <w:top w:val="none" w:sz="0" w:space="0" w:color="auto"/>
            <w:left w:val="none" w:sz="0" w:space="0" w:color="auto"/>
            <w:bottom w:val="none" w:sz="0" w:space="0" w:color="auto"/>
            <w:right w:val="none" w:sz="0" w:space="0" w:color="auto"/>
          </w:divBdr>
        </w:div>
        <w:div w:id="1575043068">
          <w:marLeft w:val="0"/>
          <w:marRight w:val="0"/>
          <w:marTop w:val="0"/>
          <w:marBottom w:val="0"/>
          <w:divBdr>
            <w:top w:val="none" w:sz="0" w:space="0" w:color="auto"/>
            <w:left w:val="none" w:sz="0" w:space="0" w:color="auto"/>
            <w:bottom w:val="none" w:sz="0" w:space="0" w:color="auto"/>
            <w:right w:val="none" w:sz="0" w:space="0" w:color="auto"/>
          </w:divBdr>
        </w:div>
        <w:div w:id="1582987356">
          <w:marLeft w:val="0"/>
          <w:marRight w:val="0"/>
          <w:marTop w:val="0"/>
          <w:marBottom w:val="0"/>
          <w:divBdr>
            <w:top w:val="none" w:sz="0" w:space="0" w:color="auto"/>
            <w:left w:val="none" w:sz="0" w:space="0" w:color="auto"/>
            <w:bottom w:val="none" w:sz="0" w:space="0" w:color="auto"/>
            <w:right w:val="none" w:sz="0" w:space="0" w:color="auto"/>
          </w:divBdr>
        </w:div>
        <w:div w:id="1597900681">
          <w:marLeft w:val="0"/>
          <w:marRight w:val="0"/>
          <w:marTop w:val="0"/>
          <w:marBottom w:val="0"/>
          <w:divBdr>
            <w:top w:val="none" w:sz="0" w:space="0" w:color="auto"/>
            <w:left w:val="none" w:sz="0" w:space="0" w:color="auto"/>
            <w:bottom w:val="none" w:sz="0" w:space="0" w:color="auto"/>
            <w:right w:val="none" w:sz="0" w:space="0" w:color="auto"/>
          </w:divBdr>
        </w:div>
        <w:div w:id="1650671618">
          <w:marLeft w:val="0"/>
          <w:marRight w:val="0"/>
          <w:marTop w:val="0"/>
          <w:marBottom w:val="0"/>
          <w:divBdr>
            <w:top w:val="none" w:sz="0" w:space="0" w:color="auto"/>
            <w:left w:val="none" w:sz="0" w:space="0" w:color="auto"/>
            <w:bottom w:val="none" w:sz="0" w:space="0" w:color="auto"/>
            <w:right w:val="none" w:sz="0" w:space="0" w:color="auto"/>
          </w:divBdr>
        </w:div>
        <w:div w:id="1653635274">
          <w:marLeft w:val="0"/>
          <w:marRight w:val="0"/>
          <w:marTop w:val="0"/>
          <w:marBottom w:val="0"/>
          <w:divBdr>
            <w:top w:val="none" w:sz="0" w:space="0" w:color="auto"/>
            <w:left w:val="none" w:sz="0" w:space="0" w:color="auto"/>
            <w:bottom w:val="none" w:sz="0" w:space="0" w:color="auto"/>
            <w:right w:val="none" w:sz="0" w:space="0" w:color="auto"/>
          </w:divBdr>
        </w:div>
        <w:div w:id="1817721083">
          <w:marLeft w:val="0"/>
          <w:marRight w:val="0"/>
          <w:marTop w:val="0"/>
          <w:marBottom w:val="0"/>
          <w:divBdr>
            <w:top w:val="none" w:sz="0" w:space="0" w:color="auto"/>
            <w:left w:val="none" w:sz="0" w:space="0" w:color="auto"/>
            <w:bottom w:val="none" w:sz="0" w:space="0" w:color="auto"/>
            <w:right w:val="none" w:sz="0" w:space="0" w:color="auto"/>
          </w:divBdr>
        </w:div>
        <w:div w:id="1883321022">
          <w:marLeft w:val="0"/>
          <w:marRight w:val="0"/>
          <w:marTop w:val="0"/>
          <w:marBottom w:val="0"/>
          <w:divBdr>
            <w:top w:val="none" w:sz="0" w:space="0" w:color="auto"/>
            <w:left w:val="none" w:sz="0" w:space="0" w:color="auto"/>
            <w:bottom w:val="none" w:sz="0" w:space="0" w:color="auto"/>
            <w:right w:val="none" w:sz="0" w:space="0" w:color="auto"/>
          </w:divBdr>
        </w:div>
        <w:div w:id="2006929161">
          <w:marLeft w:val="0"/>
          <w:marRight w:val="0"/>
          <w:marTop w:val="0"/>
          <w:marBottom w:val="0"/>
          <w:divBdr>
            <w:top w:val="none" w:sz="0" w:space="0" w:color="auto"/>
            <w:left w:val="none" w:sz="0" w:space="0" w:color="auto"/>
            <w:bottom w:val="none" w:sz="0" w:space="0" w:color="auto"/>
            <w:right w:val="none" w:sz="0" w:space="0" w:color="auto"/>
          </w:divBdr>
        </w:div>
        <w:div w:id="2037802384">
          <w:marLeft w:val="0"/>
          <w:marRight w:val="0"/>
          <w:marTop w:val="0"/>
          <w:marBottom w:val="0"/>
          <w:divBdr>
            <w:top w:val="none" w:sz="0" w:space="0" w:color="auto"/>
            <w:left w:val="none" w:sz="0" w:space="0" w:color="auto"/>
            <w:bottom w:val="none" w:sz="0" w:space="0" w:color="auto"/>
            <w:right w:val="none" w:sz="0" w:space="0" w:color="auto"/>
          </w:divBdr>
        </w:div>
        <w:div w:id="2135052085">
          <w:marLeft w:val="0"/>
          <w:marRight w:val="0"/>
          <w:marTop w:val="0"/>
          <w:marBottom w:val="0"/>
          <w:divBdr>
            <w:top w:val="none" w:sz="0" w:space="0" w:color="auto"/>
            <w:left w:val="none" w:sz="0" w:space="0" w:color="auto"/>
            <w:bottom w:val="none" w:sz="0" w:space="0" w:color="auto"/>
            <w:right w:val="none" w:sz="0" w:space="0" w:color="auto"/>
          </w:divBdr>
        </w:div>
      </w:divsChild>
    </w:div>
    <w:div w:id="131562391">
      <w:bodyDiv w:val="1"/>
      <w:marLeft w:val="0"/>
      <w:marRight w:val="0"/>
      <w:marTop w:val="0"/>
      <w:marBottom w:val="0"/>
      <w:divBdr>
        <w:top w:val="none" w:sz="0" w:space="0" w:color="auto"/>
        <w:left w:val="none" w:sz="0" w:space="0" w:color="auto"/>
        <w:bottom w:val="none" w:sz="0" w:space="0" w:color="auto"/>
        <w:right w:val="none" w:sz="0" w:space="0" w:color="auto"/>
      </w:divBdr>
      <w:divsChild>
        <w:div w:id="583105785">
          <w:marLeft w:val="0"/>
          <w:marRight w:val="0"/>
          <w:marTop w:val="0"/>
          <w:marBottom w:val="0"/>
          <w:divBdr>
            <w:top w:val="none" w:sz="0" w:space="0" w:color="auto"/>
            <w:left w:val="none" w:sz="0" w:space="0" w:color="auto"/>
            <w:bottom w:val="none" w:sz="0" w:space="0" w:color="auto"/>
            <w:right w:val="none" w:sz="0" w:space="0" w:color="auto"/>
          </w:divBdr>
        </w:div>
      </w:divsChild>
    </w:div>
    <w:div w:id="148792224">
      <w:bodyDiv w:val="1"/>
      <w:marLeft w:val="0"/>
      <w:marRight w:val="0"/>
      <w:marTop w:val="0"/>
      <w:marBottom w:val="0"/>
      <w:divBdr>
        <w:top w:val="none" w:sz="0" w:space="0" w:color="auto"/>
        <w:left w:val="none" w:sz="0" w:space="0" w:color="auto"/>
        <w:bottom w:val="none" w:sz="0" w:space="0" w:color="auto"/>
        <w:right w:val="none" w:sz="0" w:space="0" w:color="auto"/>
      </w:divBdr>
      <w:divsChild>
        <w:div w:id="880482663">
          <w:marLeft w:val="0"/>
          <w:marRight w:val="0"/>
          <w:marTop w:val="0"/>
          <w:marBottom w:val="0"/>
          <w:divBdr>
            <w:top w:val="none" w:sz="0" w:space="0" w:color="auto"/>
            <w:left w:val="none" w:sz="0" w:space="0" w:color="auto"/>
            <w:bottom w:val="none" w:sz="0" w:space="0" w:color="auto"/>
            <w:right w:val="none" w:sz="0" w:space="0" w:color="auto"/>
          </w:divBdr>
        </w:div>
      </w:divsChild>
    </w:div>
    <w:div w:id="153299590">
      <w:bodyDiv w:val="1"/>
      <w:marLeft w:val="0"/>
      <w:marRight w:val="0"/>
      <w:marTop w:val="0"/>
      <w:marBottom w:val="0"/>
      <w:divBdr>
        <w:top w:val="none" w:sz="0" w:space="0" w:color="auto"/>
        <w:left w:val="none" w:sz="0" w:space="0" w:color="auto"/>
        <w:bottom w:val="none" w:sz="0" w:space="0" w:color="auto"/>
        <w:right w:val="none" w:sz="0" w:space="0" w:color="auto"/>
      </w:divBdr>
    </w:div>
    <w:div w:id="154957420">
      <w:bodyDiv w:val="1"/>
      <w:marLeft w:val="0"/>
      <w:marRight w:val="0"/>
      <w:marTop w:val="0"/>
      <w:marBottom w:val="0"/>
      <w:divBdr>
        <w:top w:val="none" w:sz="0" w:space="0" w:color="auto"/>
        <w:left w:val="none" w:sz="0" w:space="0" w:color="auto"/>
        <w:bottom w:val="none" w:sz="0" w:space="0" w:color="auto"/>
        <w:right w:val="none" w:sz="0" w:space="0" w:color="auto"/>
      </w:divBdr>
    </w:div>
    <w:div w:id="220797774">
      <w:bodyDiv w:val="1"/>
      <w:marLeft w:val="0"/>
      <w:marRight w:val="0"/>
      <w:marTop w:val="0"/>
      <w:marBottom w:val="0"/>
      <w:divBdr>
        <w:top w:val="none" w:sz="0" w:space="0" w:color="auto"/>
        <w:left w:val="none" w:sz="0" w:space="0" w:color="auto"/>
        <w:bottom w:val="none" w:sz="0" w:space="0" w:color="auto"/>
        <w:right w:val="none" w:sz="0" w:space="0" w:color="auto"/>
      </w:divBdr>
      <w:divsChild>
        <w:div w:id="1359894434">
          <w:marLeft w:val="0"/>
          <w:marRight w:val="0"/>
          <w:marTop w:val="0"/>
          <w:marBottom w:val="0"/>
          <w:divBdr>
            <w:top w:val="none" w:sz="0" w:space="0" w:color="auto"/>
            <w:left w:val="none" w:sz="0" w:space="0" w:color="auto"/>
            <w:bottom w:val="none" w:sz="0" w:space="0" w:color="auto"/>
            <w:right w:val="none" w:sz="0" w:space="0" w:color="auto"/>
          </w:divBdr>
        </w:div>
      </w:divsChild>
    </w:div>
    <w:div w:id="220991795">
      <w:bodyDiv w:val="1"/>
      <w:marLeft w:val="0"/>
      <w:marRight w:val="0"/>
      <w:marTop w:val="0"/>
      <w:marBottom w:val="0"/>
      <w:divBdr>
        <w:top w:val="none" w:sz="0" w:space="0" w:color="auto"/>
        <w:left w:val="none" w:sz="0" w:space="0" w:color="auto"/>
        <w:bottom w:val="none" w:sz="0" w:space="0" w:color="auto"/>
        <w:right w:val="none" w:sz="0" w:space="0" w:color="auto"/>
      </w:divBdr>
      <w:divsChild>
        <w:div w:id="109514548">
          <w:marLeft w:val="0"/>
          <w:marRight w:val="0"/>
          <w:marTop w:val="0"/>
          <w:marBottom w:val="0"/>
          <w:divBdr>
            <w:top w:val="none" w:sz="0" w:space="0" w:color="auto"/>
            <w:left w:val="none" w:sz="0" w:space="0" w:color="auto"/>
            <w:bottom w:val="none" w:sz="0" w:space="0" w:color="auto"/>
            <w:right w:val="none" w:sz="0" w:space="0" w:color="auto"/>
          </w:divBdr>
        </w:div>
        <w:div w:id="1236285080">
          <w:marLeft w:val="0"/>
          <w:marRight w:val="0"/>
          <w:marTop w:val="0"/>
          <w:marBottom w:val="0"/>
          <w:divBdr>
            <w:top w:val="none" w:sz="0" w:space="0" w:color="auto"/>
            <w:left w:val="none" w:sz="0" w:space="0" w:color="auto"/>
            <w:bottom w:val="none" w:sz="0" w:space="0" w:color="auto"/>
            <w:right w:val="none" w:sz="0" w:space="0" w:color="auto"/>
          </w:divBdr>
        </w:div>
      </w:divsChild>
    </w:div>
    <w:div w:id="267666662">
      <w:bodyDiv w:val="1"/>
      <w:marLeft w:val="0"/>
      <w:marRight w:val="0"/>
      <w:marTop w:val="0"/>
      <w:marBottom w:val="0"/>
      <w:divBdr>
        <w:top w:val="none" w:sz="0" w:space="0" w:color="auto"/>
        <w:left w:val="none" w:sz="0" w:space="0" w:color="auto"/>
        <w:bottom w:val="none" w:sz="0" w:space="0" w:color="auto"/>
        <w:right w:val="none" w:sz="0" w:space="0" w:color="auto"/>
      </w:divBdr>
      <w:divsChild>
        <w:div w:id="57749674">
          <w:marLeft w:val="0"/>
          <w:marRight w:val="0"/>
          <w:marTop w:val="0"/>
          <w:marBottom w:val="0"/>
          <w:divBdr>
            <w:top w:val="none" w:sz="0" w:space="0" w:color="auto"/>
            <w:left w:val="none" w:sz="0" w:space="0" w:color="auto"/>
            <w:bottom w:val="none" w:sz="0" w:space="0" w:color="auto"/>
            <w:right w:val="none" w:sz="0" w:space="0" w:color="auto"/>
          </w:divBdr>
        </w:div>
      </w:divsChild>
    </w:div>
    <w:div w:id="280235861">
      <w:bodyDiv w:val="1"/>
      <w:marLeft w:val="0"/>
      <w:marRight w:val="0"/>
      <w:marTop w:val="0"/>
      <w:marBottom w:val="0"/>
      <w:divBdr>
        <w:top w:val="none" w:sz="0" w:space="0" w:color="auto"/>
        <w:left w:val="none" w:sz="0" w:space="0" w:color="auto"/>
        <w:bottom w:val="none" w:sz="0" w:space="0" w:color="auto"/>
        <w:right w:val="none" w:sz="0" w:space="0" w:color="auto"/>
      </w:divBdr>
      <w:divsChild>
        <w:div w:id="696154041">
          <w:marLeft w:val="0"/>
          <w:marRight w:val="0"/>
          <w:marTop w:val="0"/>
          <w:marBottom w:val="0"/>
          <w:divBdr>
            <w:top w:val="none" w:sz="0" w:space="0" w:color="auto"/>
            <w:left w:val="none" w:sz="0" w:space="0" w:color="auto"/>
            <w:bottom w:val="none" w:sz="0" w:space="0" w:color="auto"/>
            <w:right w:val="none" w:sz="0" w:space="0" w:color="auto"/>
          </w:divBdr>
        </w:div>
      </w:divsChild>
    </w:div>
    <w:div w:id="297150607">
      <w:bodyDiv w:val="1"/>
      <w:marLeft w:val="0"/>
      <w:marRight w:val="0"/>
      <w:marTop w:val="0"/>
      <w:marBottom w:val="0"/>
      <w:divBdr>
        <w:top w:val="none" w:sz="0" w:space="0" w:color="auto"/>
        <w:left w:val="none" w:sz="0" w:space="0" w:color="auto"/>
        <w:bottom w:val="none" w:sz="0" w:space="0" w:color="auto"/>
        <w:right w:val="none" w:sz="0" w:space="0" w:color="auto"/>
      </w:divBdr>
      <w:divsChild>
        <w:div w:id="1203397179">
          <w:marLeft w:val="0"/>
          <w:marRight w:val="0"/>
          <w:marTop w:val="0"/>
          <w:marBottom w:val="0"/>
          <w:divBdr>
            <w:top w:val="none" w:sz="0" w:space="0" w:color="auto"/>
            <w:left w:val="none" w:sz="0" w:space="0" w:color="auto"/>
            <w:bottom w:val="none" w:sz="0" w:space="0" w:color="auto"/>
            <w:right w:val="none" w:sz="0" w:space="0" w:color="auto"/>
          </w:divBdr>
        </w:div>
      </w:divsChild>
    </w:div>
    <w:div w:id="354307821">
      <w:bodyDiv w:val="1"/>
      <w:marLeft w:val="0"/>
      <w:marRight w:val="0"/>
      <w:marTop w:val="0"/>
      <w:marBottom w:val="0"/>
      <w:divBdr>
        <w:top w:val="none" w:sz="0" w:space="0" w:color="auto"/>
        <w:left w:val="none" w:sz="0" w:space="0" w:color="auto"/>
        <w:bottom w:val="none" w:sz="0" w:space="0" w:color="auto"/>
        <w:right w:val="none" w:sz="0" w:space="0" w:color="auto"/>
      </w:divBdr>
      <w:divsChild>
        <w:div w:id="758983647">
          <w:marLeft w:val="0"/>
          <w:marRight w:val="0"/>
          <w:marTop w:val="0"/>
          <w:marBottom w:val="0"/>
          <w:divBdr>
            <w:top w:val="none" w:sz="0" w:space="0" w:color="auto"/>
            <w:left w:val="none" w:sz="0" w:space="0" w:color="auto"/>
            <w:bottom w:val="none" w:sz="0" w:space="0" w:color="auto"/>
            <w:right w:val="none" w:sz="0" w:space="0" w:color="auto"/>
          </w:divBdr>
        </w:div>
      </w:divsChild>
    </w:div>
    <w:div w:id="366177168">
      <w:bodyDiv w:val="1"/>
      <w:marLeft w:val="0"/>
      <w:marRight w:val="0"/>
      <w:marTop w:val="0"/>
      <w:marBottom w:val="0"/>
      <w:divBdr>
        <w:top w:val="none" w:sz="0" w:space="0" w:color="auto"/>
        <w:left w:val="none" w:sz="0" w:space="0" w:color="auto"/>
        <w:bottom w:val="none" w:sz="0" w:space="0" w:color="auto"/>
        <w:right w:val="none" w:sz="0" w:space="0" w:color="auto"/>
      </w:divBdr>
    </w:div>
    <w:div w:id="371424667">
      <w:bodyDiv w:val="1"/>
      <w:marLeft w:val="0"/>
      <w:marRight w:val="0"/>
      <w:marTop w:val="0"/>
      <w:marBottom w:val="0"/>
      <w:divBdr>
        <w:top w:val="none" w:sz="0" w:space="0" w:color="auto"/>
        <w:left w:val="none" w:sz="0" w:space="0" w:color="auto"/>
        <w:bottom w:val="none" w:sz="0" w:space="0" w:color="auto"/>
        <w:right w:val="none" w:sz="0" w:space="0" w:color="auto"/>
      </w:divBdr>
    </w:div>
    <w:div w:id="414056734">
      <w:bodyDiv w:val="1"/>
      <w:marLeft w:val="0"/>
      <w:marRight w:val="0"/>
      <w:marTop w:val="0"/>
      <w:marBottom w:val="0"/>
      <w:divBdr>
        <w:top w:val="none" w:sz="0" w:space="0" w:color="auto"/>
        <w:left w:val="none" w:sz="0" w:space="0" w:color="auto"/>
        <w:bottom w:val="none" w:sz="0" w:space="0" w:color="auto"/>
        <w:right w:val="none" w:sz="0" w:space="0" w:color="auto"/>
      </w:divBdr>
    </w:div>
    <w:div w:id="414477494">
      <w:bodyDiv w:val="1"/>
      <w:marLeft w:val="0"/>
      <w:marRight w:val="0"/>
      <w:marTop w:val="0"/>
      <w:marBottom w:val="0"/>
      <w:divBdr>
        <w:top w:val="none" w:sz="0" w:space="0" w:color="auto"/>
        <w:left w:val="none" w:sz="0" w:space="0" w:color="auto"/>
        <w:bottom w:val="none" w:sz="0" w:space="0" w:color="auto"/>
        <w:right w:val="none" w:sz="0" w:space="0" w:color="auto"/>
      </w:divBdr>
    </w:div>
    <w:div w:id="439691051">
      <w:bodyDiv w:val="1"/>
      <w:marLeft w:val="0"/>
      <w:marRight w:val="0"/>
      <w:marTop w:val="0"/>
      <w:marBottom w:val="0"/>
      <w:divBdr>
        <w:top w:val="none" w:sz="0" w:space="0" w:color="auto"/>
        <w:left w:val="none" w:sz="0" w:space="0" w:color="auto"/>
        <w:bottom w:val="none" w:sz="0" w:space="0" w:color="auto"/>
        <w:right w:val="none" w:sz="0" w:space="0" w:color="auto"/>
      </w:divBdr>
      <w:divsChild>
        <w:div w:id="1832065390">
          <w:marLeft w:val="0"/>
          <w:marRight w:val="0"/>
          <w:marTop w:val="0"/>
          <w:marBottom w:val="0"/>
          <w:divBdr>
            <w:top w:val="none" w:sz="0" w:space="0" w:color="auto"/>
            <w:left w:val="none" w:sz="0" w:space="0" w:color="auto"/>
            <w:bottom w:val="none" w:sz="0" w:space="0" w:color="auto"/>
            <w:right w:val="none" w:sz="0" w:space="0" w:color="auto"/>
          </w:divBdr>
        </w:div>
      </w:divsChild>
    </w:div>
    <w:div w:id="449132348">
      <w:bodyDiv w:val="1"/>
      <w:marLeft w:val="0"/>
      <w:marRight w:val="0"/>
      <w:marTop w:val="0"/>
      <w:marBottom w:val="0"/>
      <w:divBdr>
        <w:top w:val="none" w:sz="0" w:space="0" w:color="auto"/>
        <w:left w:val="none" w:sz="0" w:space="0" w:color="auto"/>
        <w:bottom w:val="none" w:sz="0" w:space="0" w:color="auto"/>
        <w:right w:val="none" w:sz="0" w:space="0" w:color="auto"/>
      </w:divBdr>
    </w:div>
    <w:div w:id="468205053">
      <w:bodyDiv w:val="1"/>
      <w:marLeft w:val="0"/>
      <w:marRight w:val="0"/>
      <w:marTop w:val="0"/>
      <w:marBottom w:val="0"/>
      <w:divBdr>
        <w:top w:val="none" w:sz="0" w:space="0" w:color="auto"/>
        <w:left w:val="none" w:sz="0" w:space="0" w:color="auto"/>
        <w:bottom w:val="none" w:sz="0" w:space="0" w:color="auto"/>
        <w:right w:val="none" w:sz="0" w:space="0" w:color="auto"/>
      </w:divBdr>
    </w:div>
    <w:div w:id="494147401">
      <w:bodyDiv w:val="1"/>
      <w:marLeft w:val="0"/>
      <w:marRight w:val="0"/>
      <w:marTop w:val="0"/>
      <w:marBottom w:val="0"/>
      <w:divBdr>
        <w:top w:val="none" w:sz="0" w:space="0" w:color="auto"/>
        <w:left w:val="none" w:sz="0" w:space="0" w:color="auto"/>
        <w:bottom w:val="none" w:sz="0" w:space="0" w:color="auto"/>
        <w:right w:val="none" w:sz="0" w:space="0" w:color="auto"/>
      </w:divBdr>
    </w:div>
    <w:div w:id="516693724">
      <w:bodyDiv w:val="1"/>
      <w:marLeft w:val="0"/>
      <w:marRight w:val="0"/>
      <w:marTop w:val="0"/>
      <w:marBottom w:val="0"/>
      <w:divBdr>
        <w:top w:val="none" w:sz="0" w:space="0" w:color="auto"/>
        <w:left w:val="none" w:sz="0" w:space="0" w:color="auto"/>
        <w:bottom w:val="none" w:sz="0" w:space="0" w:color="auto"/>
        <w:right w:val="none" w:sz="0" w:space="0" w:color="auto"/>
      </w:divBdr>
    </w:div>
    <w:div w:id="516817173">
      <w:bodyDiv w:val="1"/>
      <w:marLeft w:val="0"/>
      <w:marRight w:val="0"/>
      <w:marTop w:val="0"/>
      <w:marBottom w:val="0"/>
      <w:divBdr>
        <w:top w:val="none" w:sz="0" w:space="0" w:color="auto"/>
        <w:left w:val="none" w:sz="0" w:space="0" w:color="auto"/>
        <w:bottom w:val="none" w:sz="0" w:space="0" w:color="auto"/>
        <w:right w:val="none" w:sz="0" w:space="0" w:color="auto"/>
      </w:divBdr>
      <w:divsChild>
        <w:div w:id="1342005839">
          <w:marLeft w:val="0"/>
          <w:marRight w:val="0"/>
          <w:marTop w:val="0"/>
          <w:marBottom w:val="0"/>
          <w:divBdr>
            <w:top w:val="none" w:sz="0" w:space="0" w:color="auto"/>
            <w:left w:val="none" w:sz="0" w:space="0" w:color="auto"/>
            <w:bottom w:val="none" w:sz="0" w:space="0" w:color="auto"/>
            <w:right w:val="none" w:sz="0" w:space="0" w:color="auto"/>
          </w:divBdr>
        </w:div>
      </w:divsChild>
    </w:div>
    <w:div w:id="540629066">
      <w:bodyDiv w:val="1"/>
      <w:marLeft w:val="0"/>
      <w:marRight w:val="0"/>
      <w:marTop w:val="0"/>
      <w:marBottom w:val="0"/>
      <w:divBdr>
        <w:top w:val="none" w:sz="0" w:space="0" w:color="auto"/>
        <w:left w:val="none" w:sz="0" w:space="0" w:color="auto"/>
        <w:bottom w:val="none" w:sz="0" w:space="0" w:color="auto"/>
        <w:right w:val="none" w:sz="0" w:space="0" w:color="auto"/>
      </w:divBdr>
    </w:div>
    <w:div w:id="543713880">
      <w:bodyDiv w:val="1"/>
      <w:marLeft w:val="0"/>
      <w:marRight w:val="0"/>
      <w:marTop w:val="0"/>
      <w:marBottom w:val="0"/>
      <w:divBdr>
        <w:top w:val="none" w:sz="0" w:space="0" w:color="auto"/>
        <w:left w:val="none" w:sz="0" w:space="0" w:color="auto"/>
        <w:bottom w:val="none" w:sz="0" w:space="0" w:color="auto"/>
        <w:right w:val="none" w:sz="0" w:space="0" w:color="auto"/>
      </w:divBdr>
      <w:divsChild>
        <w:div w:id="757868938">
          <w:marLeft w:val="0"/>
          <w:marRight w:val="0"/>
          <w:marTop w:val="0"/>
          <w:marBottom w:val="0"/>
          <w:divBdr>
            <w:top w:val="none" w:sz="0" w:space="0" w:color="auto"/>
            <w:left w:val="none" w:sz="0" w:space="0" w:color="auto"/>
            <w:bottom w:val="none" w:sz="0" w:space="0" w:color="auto"/>
            <w:right w:val="none" w:sz="0" w:space="0" w:color="auto"/>
          </w:divBdr>
        </w:div>
        <w:div w:id="1279290500">
          <w:marLeft w:val="0"/>
          <w:marRight w:val="0"/>
          <w:marTop w:val="0"/>
          <w:marBottom w:val="0"/>
          <w:divBdr>
            <w:top w:val="none" w:sz="0" w:space="0" w:color="auto"/>
            <w:left w:val="none" w:sz="0" w:space="0" w:color="auto"/>
            <w:bottom w:val="none" w:sz="0" w:space="0" w:color="auto"/>
            <w:right w:val="none" w:sz="0" w:space="0" w:color="auto"/>
          </w:divBdr>
        </w:div>
        <w:div w:id="1705473204">
          <w:marLeft w:val="0"/>
          <w:marRight w:val="0"/>
          <w:marTop w:val="0"/>
          <w:marBottom w:val="0"/>
          <w:divBdr>
            <w:top w:val="none" w:sz="0" w:space="0" w:color="auto"/>
            <w:left w:val="none" w:sz="0" w:space="0" w:color="auto"/>
            <w:bottom w:val="none" w:sz="0" w:space="0" w:color="auto"/>
            <w:right w:val="none" w:sz="0" w:space="0" w:color="auto"/>
          </w:divBdr>
        </w:div>
      </w:divsChild>
    </w:div>
    <w:div w:id="569265724">
      <w:bodyDiv w:val="1"/>
      <w:marLeft w:val="0"/>
      <w:marRight w:val="0"/>
      <w:marTop w:val="0"/>
      <w:marBottom w:val="0"/>
      <w:divBdr>
        <w:top w:val="none" w:sz="0" w:space="0" w:color="auto"/>
        <w:left w:val="none" w:sz="0" w:space="0" w:color="auto"/>
        <w:bottom w:val="none" w:sz="0" w:space="0" w:color="auto"/>
        <w:right w:val="none" w:sz="0" w:space="0" w:color="auto"/>
      </w:divBdr>
      <w:divsChild>
        <w:div w:id="874267213">
          <w:marLeft w:val="0"/>
          <w:marRight w:val="0"/>
          <w:marTop w:val="0"/>
          <w:marBottom w:val="0"/>
          <w:divBdr>
            <w:top w:val="none" w:sz="0" w:space="0" w:color="auto"/>
            <w:left w:val="none" w:sz="0" w:space="0" w:color="auto"/>
            <w:bottom w:val="none" w:sz="0" w:space="0" w:color="auto"/>
            <w:right w:val="none" w:sz="0" w:space="0" w:color="auto"/>
          </w:divBdr>
        </w:div>
      </w:divsChild>
    </w:div>
    <w:div w:id="572392253">
      <w:bodyDiv w:val="1"/>
      <w:marLeft w:val="0"/>
      <w:marRight w:val="0"/>
      <w:marTop w:val="0"/>
      <w:marBottom w:val="0"/>
      <w:divBdr>
        <w:top w:val="none" w:sz="0" w:space="0" w:color="auto"/>
        <w:left w:val="none" w:sz="0" w:space="0" w:color="auto"/>
        <w:bottom w:val="none" w:sz="0" w:space="0" w:color="auto"/>
        <w:right w:val="none" w:sz="0" w:space="0" w:color="auto"/>
      </w:divBdr>
    </w:div>
    <w:div w:id="576016049">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592781014">
      <w:bodyDiv w:val="1"/>
      <w:marLeft w:val="0"/>
      <w:marRight w:val="0"/>
      <w:marTop w:val="0"/>
      <w:marBottom w:val="0"/>
      <w:divBdr>
        <w:top w:val="none" w:sz="0" w:space="0" w:color="auto"/>
        <w:left w:val="none" w:sz="0" w:space="0" w:color="auto"/>
        <w:bottom w:val="none" w:sz="0" w:space="0" w:color="auto"/>
        <w:right w:val="none" w:sz="0" w:space="0" w:color="auto"/>
      </w:divBdr>
    </w:div>
    <w:div w:id="609119012">
      <w:bodyDiv w:val="1"/>
      <w:marLeft w:val="0"/>
      <w:marRight w:val="0"/>
      <w:marTop w:val="0"/>
      <w:marBottom w:val="0"/>
      <w:divBdr>
        <w:top w:val="none" w:sz="0" w:space="0" w:color="auto"/>
        <w:left w:val="none" w:sz="0" w:space="0" w:color="auto"/>
        <w:bottom w:val="none" w:sz="0" w:space="0" w:color="auto"/>
        <w:right w:val="none" w:sz="0" w:space="0" w:color="auto"/>
      </w:divBdr>
      <w:divsChild>
        <w:div w:id="575822635">
          <w:marLeft w:val="0"/>
          <w:marRight w:val="0"/>
          <w:marTop w:val="0"/>
          <w:marBottom w:val="0"/>
          <w:divBdr>
            <w:top w:val="none" w:sz="0" w:space="0" w:color="auto"/>
            <w:left w:val="none" w:sz="0" w:space="0" w:color="auto"/>
            <w:bottom w:val="none" w:sz="0" w:space="0" w:color="auto"/>
            <w:right w:val="none" w:sz="0" w:space="0" w:color="auto"/>
          </w:divBdr>
        </w:div>
      </w:divsChild>
    </w:div>
    <w:div w:id="641470416">
      <w:bodyDiv w:val="1"/>
      <w:marLeft w:val="0"/>
      <w:marRight w:val="0"/>
      <w:marTop w:val="0"/>
      <w:marBottom w:val="0"/>
      <w:divBdr>
        <w:top w:val="none" w:sz="0" w:space="0" w:color="auto"/>
        <w:left w:val="none" w:sz="0" w:space="0" w:color="auto"/>
        <w:bottom w:val="none" w:sz="0" w:space="0" w:color="auto"/>
        <w:right w:val="none" w:sz="0" w:space="0" w:color="auto"/>
      </w:divBdr>
      <w:divsChild>
        <w:div w:id="925262052">
          <w:marLeft w:val="0"/>
          <w:marRight w:val="0"/>
          <w:marTop w:val="0"/>
          <w:marBottom w:val="0"/>
          <w:divBdr>
            <w:top w:val="none" w:sz="0" w:space="0" w:color="auto"/>
            <w:left w:val="none" w:sz="0" w:space="0" w:color="auto"/>
            <w:bottom w:val="none" w:sz="0" w:space="0" w:color="auto"/>
            <w:right w:val="none" w:sz="0" w:space="0" w:color="auto"/>
          </w:divBdr>
        </w:div>
      </w:divsChild>
    </w:div>
    <w:div w:id="649134765">
      <w:bodyDiv w:val="1"/>
      <w:marLeft w:val="0"/>
      <w:marRight w:val="0"/>
      <w:marTop w:val="0"/>
      <w:marBottom w:val="0"/>
      <w:divBdr>
        <w:top w:val="none" w:sz="0" w:space="0" w:color="auto"/>
        <w:left w:val="none" w:sz="0" w:space="0" w:color="auto"/>
        <w:bottom w:val="none" w:sz="0" w:space="0" w:color="auto"/>
        <w:right w:val="none" w:sz="0" w:space="0" w:color="auto"/>
      </w:divBdr>
      <w:divsChild>
        <w:div w:id="670109278">
          <w:marLeft w:val="0"/>
          <w:marRight w:val="0"/>
          <w:marTop w:val="0"/>
          <w:marBottom w:val="0"/>
          <w:divBdr>
            <w:top w:val="none" w:sz="0" w:space="0" w:color="auto"/>
            <w:left w:val="none" w:sz="0" w:space="0" w:color="auto"/>
            <w:bottom w:val="none" w:sz="0" w:space="0" w:color="auto"/>
            <w:right w:val="none" w:sz="0" w:space="0" w:color="auto"/>
          </w:divBdr>
        </w:div>
      </w:divsChild>
    </w:div>
    <w:div w:id="679937907">
      <w:bodyDiv w:val="1"/>
      <w:marLeft w:val="0"/>
      <w:marRight w:val="0"/>
      <w:marTop w:val="0"/>
      <w:marBottom w:val="0"/>
      <w:divBdr>
        <w:top w:val="none" w:sz="0" w:space="0" w:color="auto"/>
        <w:left w:val="none" w:sz="0" w:space="0" w:color="auto"/>
        <w:bottom w:val="none" w:sz="0" w:space="0" w:color="auto"/>
        <w:right w:val="none" w:sz="0" w:space="0" w:color="auto"/>
      </w:divBdr>
      <w:divsChild>
        <w:div w:id="1266186383">
          <w:marLeft w:val="0"/>
          <w:marRight w:val="0"/>
          <w:marTop w:val="0"/>
          <w:marBottom w:val="0"/>
          <w:divBdr>
            <w:top w:val="none" w:sz="0" w:space="0" w:color="auto"/>
            <w:left w:val="none" w:sz="0" w:space="0" w:color="auto"/>
            <w:bottom w:val="none" w:sz="0" w:space="0" w:color="auto"/>
            <w:right w:val="none" w:sz="0" w:space="0" w:color="auto"/>
          </w:divBdr>
        </w:div>
      </w:divsChild>
    </w:div>
    <w:div w:id="700977057">
      <w:bodyDiv w:val="1"/>
      <w:marLeft w:val="0"/>
      <w:marRight w:val="0"/>
      <w:marTop w:val="0"/>
      <w:marBottom w:val="0"/>
      <w:divBdr>
        <w:top w:val="none" w:sz="0" w:space="0" w:color="auto"/>
        <w:left w:val="none" w:sz="0" w:space="0" w:color="auto"/>
        <w:bottom w:val="none" w:sz="0" w:space="0" w:color="auto"/>
        <w:right w:val="none" w:sz="0" w:space="0" w:color="auto"/>
      </w:divBdr>
      <w:divsChild>
        <w:div w:id="2082485069">
          <w:marLeft w:val="0"/>
          <w:marRight w:val="0"/>
          <w:marTop w:val="0"/>
          <w:marBottom w:val="0"/>
          <w:divBdr>
            <w:top w:val="none" w:sz="0" w:space="0" w:color="auto"/>
            <w:left w:val="none" w:sz="0" w:space="0" w:color="auto"/>
            <w:bottom w:val="none" w:sz="0" w:space="0" w:color="auto"/>
            <w:right w:val="none" w:sz="0" w:space="0" w:color="auto"/>
          </w:divBdr>
        </w:div>
      </w:divsChild>
    </w:div>
    <w:div w:id="712659668">
      <w:bodyDiv w:val="1"/>
      <w:marLeft w:val="0"/>
      <w:marRight w:val="0"/>
      <w:marTop w:val="0"/>
      <w:marBottom w:val="0"/>
      <w:divBdr>
        <w:top w:val="none" w:sz="0" w:space="0" w:color="auto"/>
        <w:left w:val="none" w:sz="0" w:space="0" w:color="auto"/>
        <w:bottom w:val="none" w:sz="0" w:space="0" w:color="auto"/>
        <w:right w:val="none" w:sz="0" w:space="0" w:color="auto"/>
      </w:divBdr>
    </w:div>
    <w:div w:id="730621420">
      <w:bodyDiv w:val="1"/>
      <w:marLeft w:val="0"/>
      <w:marRight w:val="0"/>
      <w:marTop w:val="0"/>
      <w:marBottom w:val="0"/>
      <w:divBdr>
        <w:top w:val="none" w:sz="0" w:space="0" w:color="auto"/>
        <w:left w:val="none" w:sz="0" w:space="0" w:color="auto"/>
        <w:bottom w:val="none" w:sz="0" w:space="0" w:color="auto"/>
        <w:right w:val="none" w:sz="0" w:space="0" w:color="auto"/>
      </w:divBdr>
    </w:div>
    <w:div w:id="767769908">
      <w:bodyDiv w:val="1"/>
      <w:marLeft w:val="0"/>
      <w:marRight w:val="0"/>
      <w:marTop w:val="0"/>
      <w:marBottom w:val="0"/>
      <w:divBdr>
        <w:top w:val="none" w:sz="0" w:space="0" w:color="auto"/>
        <w:left w:val="none" w:sz="0" w:space="0" w:color="auto"/>
        <w:bottom w:val="none" w:sz="0" w:space="0" w:color="auto"/>
        <w:right w:val="none" w:sz="0" w:space="0" w:color="auto"/>
      </w:divBdr>
      <w:divsChild>
        <w:div w:id="2004312112">
          <w:marLeft w:val="0"/>
          <w:marRight w:val="0"/>
          <w:marTop w:val="0"/>
          <w:marBottom w:val="0"/>
          <w:divBdr>
            <w:top w:val="none" w:sz="0" w:space="0" w:color="auto"/>
            <w:left w:val="none" w:sz="0" w:space="0" w:color="auto"/>
            <w:bottom w:val="none" w:sz="0" w:space="0" w:color="auto"/>
            <w:right w:val="none" w:sz="0" w:space="0" w:color="auto"/>
          </w:divBdr>
        </w:div>
      </w:divsChild>
    </w:div>
    <w:div w:id="775833392">
      <w:bodyDiv w:val="1"/>
      <w:marLeft w:val="0"/>
      <w:marRight w:val="0"/>
      <w:marTop w:val="0"/>
      <w:marBottom w:val="0"/>
      <w:divBdr>
        <w:top w:val="none" w:sz="0" w:space="0" w:color="auto"/>
        <w:left w:val="none" w:sz="0" w:space="0" w:color="auto"/>
        <w:bottom w:val="none" w:sz="0" w:space="0" w:color="auto"/>
        <w:right w:val="none" w:sz="0" w:space="0" w:color="auto"/>
      </w:divBdr>
      <w:divsChild>
        <w:div w:id="107509563">
          <w:marLeft w:val="0"/>
          <w:marRight w:val="0"/>
          <w:marTop w:val="0"/>
          <w:marBottom w:val="0"/>
          <w:divBdr>
            <w:top w:val="none" w:sz="0" w:space="0" w:color="auto"/>
            <w:left w:val="none" w:sz="0" w:space="0" w:color="auto"/>
            <w:bottom w:val="none" w:sz="0" w:space="0" w:color="auto"/>
            <w:right w:val="none" w:sz="0" w:space="0" w:color="auto"/>
          </w:divBdr>
        </w:div>
      </w:divsChild>
    </w:div>
    <w:div w:id="777456034">
      <w:bodyDiv w:val="1"/>
      <w:marLeft w:val="0"/>
      <w:marRight w:val="0"/>
      <w:marTop w:val="0"/>
      <w:marBottom w:val="0"/>
      <w:divBdr>
        <w:top w:val="none" w:sz="0" w:space="0" w:color="auto"/>
        <w:left w:val="none" w:sz="0" w:space="0" w:color="auto"/>
        <w:bottom w:val="none" w:sz="0" w:space="0" w:color="auto"/>
        <w:right w:val="none" w:sz="0" w:space="0" w:color="auto"/>
      </w:divBdr>
      <w:divsChild>
        <w:div w:id="2075659029">
          <w:marLeft w:val="0"/>
          <w:marRight w:val="0"/>
          <w:marTop w:val="0"/>
          <w:marBottom w:val="0"/>
          <w:divBdr>
            <w:top w:val="none" w:sz="0" w:space="0" w:color="auto"/>
            <w:left w:val="none" w:sz="0" w:space="0" w:color="auto"/>
            <w:bottom w:val="none" w:sz="0" w:space="0" w:color="auto"/>
            <w:right w:val="none" w:sz="0" w:space="0" w:color="auto"/>
          </w:divBdr>
        </w:div>
      </w:divsChild>
    </w:div>
    <w:div w:id="824586872">
      <w:bodyDiv w:val="1"/>
      <w:marLeft w:val="0"/>
      <w:marRight w:val="0"/>
      <w:marTop w:val="0"/>
      <w:marBottom w:val="0"/>
      <w:divBdr>
        <w:top w:val="none" w:sz="0" w:space="0" w:color="auto"/>
        <w:left w:val="none" w:sz="0" w:space="0" w:color="auto"/>
        <w:bottom w:val="none" w:sz="0" w:space="0" w:color="auto"/>
        <w:right w:val="none" w:sz="0" w:space="0" w:color="auto"/>
      </w:divBdr>
      <w:divsChild>
        <w:div w:id="900213477">
          <w:marLeft w:val="0"/>
          <w:marRight w:val="0"/>
          <w:marTop w:val="0"/>
          <w:marBottom w:val="0"/>
          <w:divBdr>
            <w:top w:val="none" w:sz="0" w:space="0" w:color="auto"/>
            <w:left w:val="none" w:sz="0" w:space="0" w:color="auto"/>
            <w:bottom w:val="none" w:sz="0" w:space="0" w:color="auto"/>
            <w:right w:val="none" w:sz="0" w:space="0" w:color="auto"/>
          </w:divBdr>
        </w:div>
      </w:divsChild>
    </w:div>
    <w:div w:id="837311661">
      <w:bodyDiv w:val="1"/>
      <w:marLeft w:val="0"/>
      <w:marRight w:val="0"/>
      <w:marTop w:val="0"/>
      <w:marBottom w:val="0"/>
      <w:divBdr>
        <w:top w:val="none" w:sz="0" w:space="0" w:color="auto"/>
        <w:left w:val="none" w:sz="0" w:space="0" w:color="auto"/>
        <w:bottom w:val="none" w:sz="0" w:space="0" w:color="auto"/>
        <w:right w:val="none" w:sz="0" w:space="0" w:color="auto"/>
      </w:divBdr>
    </w:div>
    <w:div w:id="862862767">
      <w:bodyDiv w:val="1"/>
      <w:marLeft w:val="0"/>
      <w:marRight w:val="0"/>
      <w:marTop w:val="0"/>
      <w:marBottom w:val="0"/>
      <w:divBdr>
        <w:top w:val="none" w:sz="0" w:space="0" w:color="auto"/>
        <w:left w:val="none" w:sz="0" w:space="0" w:color="auto"/>
        <w:bottom w:val="none" w:sz="0" w:space="0" w:color="auto"/>
        <w:right w:val="none" w:sz="0" w:space="0" w:color="auto"/>
      </w:divBdr>
    </w:div>
    <w:div w:id="908031747">
      <w:bodyDiv w:val="1"/>
      <w:marLeft w:val="0"/>
      <w:marRight w:val="0"/>
      <w:marTop w:val="0"/>
      <w:marBottom w:val="0"/>
      <w:divBdr>
        <w:top w:val="none" w:sz="0" w:space="0" w:color="auto"/>
        <w:left w:val="none" w:sz="0" w:space="0" w:color="auto"/>
        <w:bottom w:val="none" w:sz="0" w:space="0" w:color="auto"/>
        <w:right w:val="none" w:sz="0" w:space="0" w:color="auto"/>
      </w:divBdr>
      <w:divsChild>
        <w:div w:id="1361784980">
          <w:marLeft w:val="0"/>
          <w:marRight w:val="0"/>
          <w:marTop w:val="0"/>
          <w:marBottom w:val="0"/>
          <w:divBdr>
            <w:top w:val="none" w:sz="0" w:space="0" w:color="auto"/>
            <w:left w:val="none" w:sz="0" w:space="0" w:color="auto"/>
            <w:bottom w:val="none" w:sz="0" w:space="0" w:color="auto"/>
            <w:right w:val="none" w:sz="0" w:space="0" w:color="auto"/>
          </w:divBdr>
        </w:div>
      </w:divsChild>
    </w:div>
    <w:div w:id="940142557">
      <w:bodyDiv w:val="1"/>
      <w:marLeft w:val="0"/>
      <w:marRight w:val="0"/>
      <w:marTop w:val="0"/>
      <w:marBottom w:val="0"/>
      <w:divBdr>
        <w:top w:val="none" w:sz="0" w:space="0" w:color="auto"/>
        <w:left w:val="none" w:sz="0" w:space="0" w:color="auto"/>
        <w:bottom w:val="none" w:sz="0" w:space="0" w:color="auto"/>
        <w:right w:val="none" w:sz="0" w:space="0" w:color="auto"/>
      </w:divBdr>
      <w:divsChild>
        <w:div w:id="1579441590">
          <w:marLeft w:val="0"/>
          <w:marRight w:val="0"/>
          <w:marTop w:val="0"/>
          <w:marBottom w:val="0"/>
          <w:divBdr>
            <w:top w:val="none" w:sz="0" w:space="0" w:color="auto"/>
            <w:left w:val="none" w:sz="0" w:space="0" w:color="auto"/>
            <w:bottom w:val="none" w:sz="0" w:space="0" w:color="auto"/>
            <w:right w:val="none" w:sz="0" w:space="0" w:color="auto"/>
          </w:divBdr>
        </w:div>
      </w:divsChild>
    </w:div>
    <w:div w:id="953826548">
      <w:bodyDiv w:val="1"/>
      <w:marLeft w:val="0"/>
      <w:marRight w:val="0"/>
      <w:marTop w:val="0"/>
      <w:marBottom w:val="0"/>
      <w:divBdr>
        <w:top w:val="none" w:sz="0" w:space="0" w:color="auto"/>
        <w:left w:val="none" w:sz="0" w:space="0" w:color="auto"/>
        <w:bottom w:val="none" w:sz="0" w:space="0" w:color="auto"/>
        <w:right w:val="none" w:sz="0" w:space="0" w:color="auto"/>
      </w:divBdr>
    </w:div>
    <w:div w:id="994188906">
      <w:bodyDiv w:val="1"/>
      <w:marLeft w:val="0"/>
      <w:marRight w:val="0"/>
      <w:marTop w:val="0"/>
      <w:marBottom w:val="0"/>
      <w:divBdr>
        <w:top w:val="none" w:sz="0" w:space="0" w:color="auto"/>
        <w:left w:val="none" w:sz="0" w:space="0" w:color="auto"/>
        <w:bottom w:val="none" w:sz="0" w:space="0" w:color="auto"/>
        <w:right w:val="none" w:sz="0" w:space="0" w:color="auto"/>
      </w:divBdr>
    </w:div>
    <w:div w:id="1010330030">
      <w:bodyDiv w:val="1"/>
      <w:marLeft w:val="0"/>
      <w:marRight w:val="0"/>
      <w:marTop w:val="0"/>
      <w:marBottom w:val="0"/>
      <w:divBdr>
        <w:top w:val="none" w:sz="0" w:space="0" w:color="auto"/>
        <w:left w:val="none" w:sz="0" w:space="0" w:color="auto"/>
        <w:bottom w:val="none" w:sz="0" w:space="0" w:color="auto"/>
        <w:right w:val="none" w:sz="0" w:space="0" w:color="auto"/>
      </w:divBdr>
    </w:div>
    <w:div w:id="1133057661">
      <w:bodyDiv w:val="1"/>
      <w:marLeft w:val="0"/>
      <w:marRight w:val="0"/>
      <w:marTop w:val="0"/>
      <w:marBottom w:val="0"/>
      <w:divBdr>
        <w:top w:val="none" w:sz="0" w:space="0" w:color="auto"/>
        <w:left w:val="none" w:sz="0" w:space="0" w:color="auto"/>
        <w:bottom w:val="none" w:sz="0" w:space="0" w:color="auto"/>
        <w:right w:val="none" w:sz="0" w:space="0" w:color="auto"/>
      </w:divBdr>
      <w:divsChild>
        <w:div w:id="441726104">
          <w:marLeft w:val="0"/>
          <w:marRight w:val="0"/>
          <w:marTop w:val="0"/>
          <w:marBottom w:val="0"/>
          <w:divBdr>
            <w:top w:val="none" w:sz="0" w:space="0" w:color="auto"/>
            <w:left w:val="none" w:sz="0" w:space="0" w:color="auto"/>
            <w:bottom w:val="none" w:sz="0" w:space="0" w:color="auto"/>
            <w:right w:val="none" w:sz="0" w:space="0" w:color="auto"/>
          </w:divBdr>
        </w:div>
      </w:divsChild>
    </w:div>
    <w:div w:id="1172527538">
      <w:bodyDiv w:val="1"/>
      <w:marLeft w:val="0"/>
      <w:marRight w:val="0"/>
      <w:marTop w:val="0"/>
      <w:marBottom w:val="0"/>
      <w:divBdr>
        <w:top w:val="none" w:sz="0" w:space="0" w:color="auto"/>
        <w:left w:val="none" w:sz="0" w:space="0" w:color="auto"/>
        <w:bottom w:val="none" w:sz="0" w:space="0" w:color="auto"/>
        <w:right w:val="none" w:sz="0" w:space="0" w:color="auto"/>
      </w:divBdr>
    </w:div>
    <w:div w:id="1186165938">
      <w:bodyDiv w:val="1"/>
      <w:marLeft w:val="0"/>
      <w:marRight w:val="0"/>
      <w:marTop w:val="0"/>
      <w:marBottom w:val="0"/>
      <w:divBdr>
        <w:top w:val="none" w:sz="0" w:space="0" w:color="auto"/>
        <w:left w:val="none" w:sz="0" w:space="0" w:color="auto"/>
        <w:bottom w:val="none" w:sz="0" w:space="0" w:color="auto"/>
        <w:right w:val="none" w:sz="0" w:space="0" w:color="auto"/>
      </w:divBdr>
      <w:divsChild>
        <w:div w:id="384062892">
          <w:marLeft w:val="0"/>
          <w:marRight w:val="0"/>
          <w:marTop w:val="0"/>
          <w:marBottom w:val="0"/>
          <w:divBdr>
            <w:top w:val="none" w:sz="0" w:space="0" w:color="auto"/>
            <w:left w:val="none" w:sz="0" w:space="0" w:color="auto"/>
            <w:bottom w:val="none" w:sz="0" w:space="0" w:color="auto"/>
            <w:right w:val="none" w:sz="0" w:space="0" w:color="auto"/>
          </w:divBdr>
        </w:div>
      </w:divsChild>
    </w:div>
    <w:div w:id="1193228323">
      <w:bodyDiv w:val="1"/>
      <w:marLeft w:val="0"/>
      <w:marRight w:val="0"/>
      <w:marTop w:val="0"/>
      <w:marBottom w:val="0"/>
      <w:divBdr>
        <w:top w:val="none" w:sz="0" w:space="0" w:color="auto"/>
        <w:left w:val="none" w:sz="0" w:space="0" w:color="auto"/>
        <w:bottom w:val="none" w:sz="0" w:space="0" w:color="auto"/>
        <w:right w:val="none" w:sz="0" w:space="0" w:color="auto"/>
      </w:divBdr>
    </w:div>
    <w:div w:id="1205798699">
      <w:bodyDiv w:val="1"/>
      <w:marLeft w:val="0"/>
      <w:marRight w:val="0"/>
      <w:marTop w:val="0"/>
      <w:marBottom w:val="0"/>
      <w:divBdr>
        <w:top w:val="none" w:sz="0" w:space="0" w:color="auto"/>
        <w:left w:val="none" w:sz="0" w:space="0" w:color="auto"/>
        <w:bottom w:val="none" w:sz="0" w:space="0" w:color="auto"/>
        <w:right w:val="none" w:sz="0" w:space="0" w:color="auto"/>
      </w:divBdr>
    </w:div>
    <w:div w:id="1217007678">
      <w:bodyDiv w:val="1"/>
      <w:marLeft w:val="0"/>
      <w:marRight w:val="0"/>
      <w:marTop w:val="0"/>
      <w:marBottom w:val="0"/>
      <w:divBdr>
        <w:top w:val="none" w:sz="0" w:space="0" w:color="auto"/>
        <w:left w:val="none" w:sz="0" w:space="0" w:color="auto"/>
        <w:bottom w:val="none" w:sz="0" w:space="0" w:color="auto"/>
        <w:right w:val="none" w:sz="0" w:space="0" w:color="auto"/>
      </w:divBdr>
    </w:div>
    <w:div w:id="1219433528">
      <w:bodyDiv w:val="1"/>
      <w:marLeft w:val="0"/>
      <w:marRight w:val="0"/>
      <w:marTop w:val="0"/>
      <w:marBottom w:val="0"/>
      <w:divBdr>
        <w:top w:val="none" w:sz="0" w:space="0" w:color="auto"/>
        <w:left w:val="none" w:sz="0" w:space="0" w:color="auto"/>
        <w:bottom w:val="none" w:sz="0" w:space="0" w:color="auto"/>
        <w:right w:val="none" w:sz="0" w:space="0" w:color="auto"/>
      </w:divBdr>
    </w:div>
    <w:div w:id="1227373446">
      <w:bodyDiv w:val="1"/>
      <w:marLeft w:val="0"/>
      <w:marRight w:val="0"/>
      <w:marTop w:val="0"/>
      <w:marBottom w:val="0"/>
      <w:divBdr>
        <w:top w:val="none" w:sz="0" w:space="0" w:color="auto"/>
        <w:left w:val="none" w:sz="0" w:space="0" w:color="auto"/>
        <w:bottom w:val="none" w:sz="0" w:space="0" w:color="auto"/>
        <w:right w:val="none" w:sz="0" w:space="0" w:color="auto"/>
      </w:divBdr>
    </w:div>
    <w:div w:id="1298030927">
      <w:bodyDiv w:val="1"/>
      <w:marLeft w:val="0"/>
      <w:marRight w:val="0"/>
      <w:marTop w:val="0"/>
      <w:marBottom w:val="0"/>
      <w:divBdr>
        <w:top w:val="none" w:sz="0" w:space="0" w:color="auto"/>
        <w:left w:val="none" w:sz="0" w:space="0" w:color="auto"/>
        <w:bottom w:val="none" w:sz="0" w:space="0" w:color="auto"/>
        <w:right w:val="none" w:sz="0" w:space="0" w:color="auto"/>
      </w:divBdr>
    </w:div>
    <w:div w:id="1314025216">
      <w:bodyDiv w:val="1"/>
      <w:marLeft w:val="0"/>
      <w:marRight w:val="0"/>
      <w:marTop w:val="0"/>
      <w:marBottom w:val="0"/>
      <w:divBdr>
        <w:top w:val="none" w:sz="0" w:space="0" w:color="auto"/>
        <w:left w:val="none" w:sz="0" w:space="0" w:color="auto"/>
        <w:bottom w:val="none" w:sz="0" w:space="0" w:color="auto"/>
        <w:right w:val="none" w:sz="0" w:space="0" w:color="auto"/>
      </w:divBdr>
      <w:divsChild>
        <w:div w:id="788477354">
          <w:marLeft w:val="0"/>
          <w:marRight w:val="0"/>
          <w:marTop w:val="0"/>
          <w:marBottom w:val="0"/>
          <w:divBdr>
            <w:top w:val="none" w:sz="0" w:space="0" w:color="auto"/>
            <w:left w:val="none" w:sz="0" w:space="0" w:color="auto"/>
            <w:bottom w:val="none" w:sz="0" w:space="0" w:color="auto"/>
            <w:right w:val="none" w:sz="0" w:space="0" w:color="auto"/>
          </w:divBdr>
        </w:div>
      </w:divsChild>
    </w:div>
    <w:div w:id="1329408127">
      <w:bodyDiv w:val="1"/>
      <w:marLeft w:val="0"/>
      <w:marRight w:val="0"/>
      <w:marTop w:val="0"/>
      <w:marBottom w:val="0"/>
      <w:divBdr>
        <w:top w:val="none" w:sz="0" w:space="0" w:color="auto"/>
        <w:left w:val="none" w:sz="0" w:space="0" w:color="auto"/>
        <w:bottom w:val="none" w:sz="0" w:space="0" w:color="auto"/>
        <w:right w:val="none" w:sz="0" w:space="0" w:color="auto"/>
      </w:divBdr>
      <w:divsChild>
        <w:div w:id="1744523185">
          <w:marLeft w:val="0"/>
          <w:marRight w:val="0"/>
          <w:marTop w:val="0"/>
          <w:marBottom w:val="0"/>
          <w:divBdr>
            <w:top w:val="none" w:sz="0" w:space="0" w:color="auto"/>
            <w:left w:val="none" w:sz="0" w:space="0" w:color="auto"/>
            <w:bottom w:val="none" w:sz="0" w:space="0" w:color="auto"/>
            <w:right w:val="none" w:sz="0" w:space="0" w:color="auto"/>
          </w:divBdr>
        </w:div>
      </w:divsChild>
    </w:div>
    <w:div w:id="1349522708">
      <w:bodyDiv w:val="1"/>
      <w:marLeft w:val="0"/>
      <w:marRight w:val="0"/>
      <w:marTop w:val="0"/>
      <w:marBottom w:val="0"/>
      <w:divBdr>
        <w:top w:val="none" w:sz="0" w:space="0" w:color="auto"/>
        <w:left w:val="none" w:sz="0" w:space="0" w:color="auto"/>
        <w:bottom w:val="none" w:sz="0" w:space="0" w:color="auto"/>
        <w:right w:val="none" w:sz="0" w:space="0" w:color="auto"/>
      </w:divBdr>
      <w:divsChild>
        <w:div w:id="322858327">
          <w:marLeft w:val="0"/>
          <w:marRight w:val="0"/>
          <w:marTop w:val="0"/>
          <w:marBottom w:val="0"/>
          <w:divBdr>
            <w:top w:val="none" w:sz="0" w:space="0" w:color="auto"/>
            <w:left w:val="none" w:sz="0" w:space="0" w:color="auto"/>
            <w:bottom w:val="none" w:sz="0" w:space="0" w:color="auto"/>
            <w:right w:val="none" w:sz="0" w:space="0" w:color="auto"/>
          </w:divBdr>
        </w:div>
      </w:divsChild>
    </w:div>
    <w:div w:id="1359164138">
      <w:bodyDiv w:val="1"/>
      <w:marLeft w:val="0"/>
      <w:marRight w:val="0"/>
      <w:marTop w:val="0"/>
      <w:marBottom w:val="0"/>
      <w:divBdr>
        <w:top w:val="none" w:sz="0" w:space="0" w:color="auto"/>
        <w:left w:val="none" w:sz="0" w:space="0" w:color="auto"/>
        <w:bottom w:val="none" w:sz="0" w:space="0" w:color="auto"/>
        <w:right w:val="none" w:sz="0" w:space="0" w:color="auto"/>
      </w:divBdr>
    </w:div>
    <w:div w:id="1363826394">
      <w:bodyDiv w:val="1"/>
      <w:marLeft w:val="0"/>
      <w:marRight w:val="0"/>
      <w:marTop w:val="0"/>
      <w:marBottom w:val="0"/>
      <w:divBdr>
        <w:top w:val="none" w:sz="0" w:space="0" w:color="auto"/>
        <w:left w:val="none" w:sz="0" w:space="0" w:color="auto"/>
        <w:bottom w:val="none" w:sz="0" w:space="0" w:color="auto"/>
        <w:right w:val="none" w:sz="0" w:space="0" w:color="auto"/>
      </w:divBdr>
      <w:divsChild>
        <w:div w:id="674305474">
          <w:marLeft w:val="0"/>
          <w:marRight w:val="0"/>
          <w:marTop w:val="0"/>
          <w:marBottom w:val="0"/>
          <w:divBdr>
            <w:top w:val="none" w:sz="0" w:space="0" w:color="auto"/>
            <w:left w:val="none" w:sz="0" w:space="0" w:color="auto"/>
            <w:bottom w:val="none" w:sz="0" w:space="0" w:color="auto"/>
            <w:right w:val="none" w:sz="0" w:space="0" w:color="auto"/>
          </w:divBdr>
        </w:div>
      </w:divsChild>
    </w:div>
    <w:div w:id="1387995422">
      <w:bodyDiv w:val="1"/>
      <w:marLeft w:val="0"/>
      <w:marRight w:val="0"/>
      <w:marTop w:val="0"/>
      <w:marBottom w:val="0"/>
      <w:divBdr>
        <w:top w:val="none" w:sz="0" w:space="0" w:color="auto"/>
        <w:left w:val="none" w:sz="0" w:space="0" w:color="auto"/>
        <w:bottom w:val="none" w:sz="0" w:space="0" w:color="auto"/>
        <w:right w:val="none" w:sz="0" w:space="0" w:color="auto"/>
      </w:divBdr>
      <w:divsChild>
        <w:div w:id="1110205579">
          <w:marLeft w:val="0"/>
          <w:marRight w:val="0"/>
          <w:marTop w:val="0"/>
          <w:marBottom w:val="0"/>
          <w:divBdr>
            <w:top w:val="none" w:sz="0" w:space="0" w:color="auto"/>
            <w:left w:val="none" w:sz="0" w:space="0" w:color="auto"/>
            <w:bottom w:val="none" w:sz="0" w:space="0" w:color="auto"/>
            <w:right w:val="none" w:sz="0" w:space="0" w:color="auto"/>
          </w:divBdr>
        </w:div>
      </w:divsChild>
    </w:div>
    <w:div w:id="1392464007">
      <w:bodyDiv w:val="1"/>
      <w:marLeft w:val="0"/>
      <w:marRight w:val="0"/>
      <w:marTop w:val="0"/>
      <w:marBottom w:val="0"/>
      <w:divBdr>
        <w:top w:val="none" w:sz="0" w:space="0" w:color="auto"/>
        <w:left w:val="none" w:sz="0" w:space="0" w:color="auto"/>
        <w:bottom w:val="none" w:sz="0" w:space="0" w:color="auto"/>
        <w:right w:val="none" w:sz="0" w:space="0" w:color="auto"/>
      </w:divBdr>
      <w:divsChild>
        <w:div w:id="468673085">
          <w:marLeft w:val="0"/>
          <w:marRight w:val="0"/>
          <w:marTop w:val="0"/>
          <w:marBottom w:val="0"/>
          <w:divBdr>
            <w:top w:val="none" w:sz="0" w:space="0" w:color="auto"/>
            <w:left w:val="none" w:sz="0" w:space="0" w:color="auto"/>
            <w:bottom w:val="none" w:sz="0" w:space="0" w:color="auto"/>
            <w:right w:val="none" w:sz="0" w:space="0" w:color="auto"/>
          </w:divBdr>
        </w:div>
      </w:divsChild>
    </w:div>
    <w:div w:id="1396778227">
      <w:bodyDiv w:val="1"/>
      <w:marLeft w:val="0"/>
      <w:marRight w:val="0"/>
      <w:marTop w:val="0"/>
      <w:marBottom w:val="0"/>
      <w:divBdr>
        <w:top w:val="none" w:sz="0" w:space="0" w:color="auto"/>
        <w:left w:val="none" w:sz="0" w:space="0" w:color="auto"/>
        <w:bottom w:val="none" w:sz="0" w:space="0" w:color="auto"/>
        <w:right w:val="none" w:sz="0" w:space="0" w:color="auto"/>
      </w:divBdr>
    </w:div>
    <w:div w:id="1402558718">
      <w:bodyDiv w:val="1"/>
      <w:marLeft w:val="0"/>
      <w:marRight w:val="0"/>
      <w:marTop w:val="0"/>
      <w:marBottom w:val="0"/>
      <w:divBdr>
        <w:top w:val="none" w:sz="0" w:space="0" w:color="auto"/>
        <w:left w:val="none" w:sz="0" w:space="0" w:color="auto"/>
        <w:bottom w:val="none" w:sz="0" w:space="0" w:color="auto"/>
        <w:right w:val="none" w:sz="0" w:space="0" w:color="auto"/>
      </w:divBdr>
    </w:div>
    <w:div w:id="1411660846">
      <w:bodyDiv w:val="1"/>
      <w:marLeft w:val="0"/>
      <w:marRight w:val="0"/>
      <w:marTop w:val="0"/>
      <w:marBottom w:val="0"/>
      <w:divBdr>
        <w:top w:val="none" w:sz="0" w:space="0" w:color="auto"/>
        <w:left w:val="none" w:sz="0" w:space="0" w:color="auto"/>
        <w:bottom w:val="none" w:sz="0" w:space="0" w:color="auto"/>
        <w:right w:val="none" w:sz="0" w:space="0" w:color="auto"/>
      </w:divBdr>
    </w:div>
    <w:div w:id="1479499305">
      <w:bodyDiv w:val="1"/>
      <w:marLeft w:val="0"/>
      <w:marRight w:val="0"/>
      <w:marTop w:val="0"/>
      <w:marBottom w:val="0"/>
      <w:divBdr>
        <w:top w:val="none" w:sz="0" w:space="0" w:color="auto"/>
        <w:left w:val="none" w:sz="0" w:space="0" w:color="auto"/>
        <w:bottom w:val="none" w:sz="0" w:space="0" w:color="auto"/>
        <w:right w:val="none" w:sz="0" w:space="0" w:color="auto"/>
      </w:divBdr>
      <w:divsChild>
        <w:div w:id="1103645290">
          <w:marLeft w:val="0"/>
          <w:marRight w:val="0"/>
          <w:marTop w:val="0"/>
          <w:marBottom w:val="0"/>
          <w:divBdr>
            <w:top w:val="none" w:sz="0" w:space="0" w:color="auto"/>
            <w:left w:val="none" w:sz="0" w:space="0" w:color="auto"/>
            <w:bottom w:val="none" w:sz="0" w:space="0" w:color="auto"/>
            <w:right w:val="none" w:sz="0" w:space="0" w:color="auto"/>
          </w:divBdr>
        </w:div>
      </w:divsChild>
    </w:div>
    <w:div w:id="1503082538">
      <w:bodyDiv w:val="1"/>
      <w:marLeft w:val="0"/>
      <w:marRight w:val="0"/>
      <w:marTop w:val="0"/>
      <w:marBottom w:val="0"/>
      <w:divBdr>
        <w:top w:val="none" w:sz="0" w:space="0" w:color="auto"/>
        <w:left w:val="none" w:sz="0" w:space="0" w:color="auto"/>
        <w:bottom w:val="none" w:sz="0" w:space="0" w:color="auto"/>
        <w:right w:val="none" w:sz="0" w:space="0" w:color="auto"/>
      </w:divBdr>
      <w:divsChild>
        <w:div w:id="1798065433">
          <w:marLeft w:val="0"/>
          <w:marRight w:val="0"/>
          <w:marTop w:val="0"/>
          <w:marBottom w:val="0"/>
          <w:divBdr>
            <w:top w:val="none" w:sz="0" w:space="0" w:color="auto"/>
            <w:left w:val="none" w:sz="0" w:space="0" w:color="auto"/>
            <w:bottom w:val="none" w:sz="0" w:space="0" w:color="auto"/>
            <w:right w:val="none" w:sz="0" w:space="0" w:color="auto"/>
          </w:divBdr>
        </w:div>
      </w:divsChild>
    </w:div>
    <w:div w:id="1596480856">
      <w:bodyDiv w:val="1"/>
      <w:marLeft w:val="0"/>
      <w:marRight w:val="0"/>
      <w:marTop w:val="0"/>
      <w:marBottom w:val="0"/>
      <w:divBdr>
        <w:top w:val="none" w:sz="0" w:space="0" w:color="auto"/>
        <w:left w:val="none" w:sz="0" w:space="0" w:color="auto"/>
        <w:bottom w:val="none" w:sz="0" w:space="0" w:color="auto"/>
        <w:right w:val="none" w:sz="0" w:space="0" w:color="auto"/>
      </w:divBdr>
    </w:div>
    <w:div w:id="1658414871">
      <w:bodyDiv w:val="1"/>
      <w:marLeft w:val="0"/>
      <w:marRight w:val="0"/>
      <w:marTop w:val="0"/>
      <w:marBottom w:val="0"/>
      <w:divBdr>
        <w:top w:val="none" w:sz="0" w:space="0" w:color="auto"/>
        <w:left w:val="none" w:sz="0" w:space="0" w:color="auto"/>
        <w:bottom w:val="none" w:sz="0" w:space="0" w:color="auto"/>
        <w:right w:val="none" w:sz="0" w:space="0" w:color="auto"/>
      </w:divBdr>
      <w:divsChild>
        <w:div w:id="922223172">
          <w:marLeft w:val="0"/>
          <w:marRight w:val="0"/>
          <w:marTop w:val="0"/>
          <w:marBottom w:val="0"/>
          <w:divBdr>
            <w:top w:val="none" w:sz="0" w:space="0" w:color="auto"/>
            <w:left w:val="none" w:sz="0" w:space="0" w:color="auto"/>
            <w:bottom w:val="none" w:sz="0" w:space="0" w:color="auto"/>
            <w:right w:val="none" w:sz="0" w:space="0" w:color="auto"/>
          </w:divBdr>
        </w:div>
      </w:divsChild>
    </w:div>
    <w:div w:id="1663318604">
      <w:bodyDiv w:val="1"/>
      <w:marLeft w:val="0"/>
      <w:marRight w:val="0"/>
      <w:marTop w:val="0"/>
      <w:marBottom w:val="0"/>
      <w:divBdr>
        <w:top w:val="none" w:sz="0" w:space="0" w:color="auto"/>
        <w:left w:val="none" w:sz="0" w:space="0" w:color="auto"/>
        <w:bottom w:val="none" w:sz="0" w:space="0" w:color="auto"/>
        <w:right w:val="none" w:sz="0" w:space="0" w:color="auto"/>
      </w:divBdr>
    </w:div>
    <w:div w:id="1694528774">
      <w:bodyDiv w:val="1"/>
      <w:marLeft w:val="0"/>
      <w:marRight w:val="0"/>
      <w:marTop w:val="0"/>
      <w:marBottom w:val="0"/>
      <w:divBdr>
        <w:top w:val="none" w:sz="0" w:space="0" w:color="auto"/>
        <w:left w:val="none" w:sz="0" w:space="0" w:color="auto"/>
        <w:bottom w:val="none" w:sz="0" w:space="0" w:color="auto"/>
        <w:right w:val="none" w:sz="0" w:space="0" w:color="auto"/>
      </w:divBdr>
      <w:divsChild>
        <w:div w:id="404493109">
          <w:marLeft w:val="0"/>
          <w:marRight w:val="0"/>
          <w:marTop w:val="0"/>
          <w:marBottom w:val="0"/>
          <w:divBdr>
            <w:top w:val="none" w:sz="0" w:space="0" w:color="auto"/>
            <w:left w:val="none" w:sz="0" w:space="0" w:color="auto"/>
            <w:bottom w:val="none" w:sz="0" w:space="0" w:color="auto"/>
            <w:right w:val="none" w:sz="0" w:space="0" w:color="auto"/>
          </w:divBdr>
        </w:div>
      </w:divsChild>
    </w:div>
    <w:div w:id="1705599136">
      <w:bodyDiv w:val="1"/>
      <w:marLeft w:val="0"/>
      <w:marRight w:val="0"/>
      <w:marTop w:val="0"/>
      <w:marBottom w:val="0"/>
      <w:divBdr>
        <w:top w:val="none" w:sz="0" w:space="0" w:color="auto"/>
        <w:left w:val="none" w:sz="0" w:space="0" w:color="auto"/>
        <w:bottom w:val="none" w:sz="0" w:space="0" w:color="auto"/>
        <w:right w:val="none" w:sz="0" w:space="0" w:color="auto"/>
      </w:divBdr>
      <w:divsChild>
        <w:div w:id="789858809">
          <w:marLeft w:val="0"/>
          <w:marRight w:val="0"/>
          <w:marTop w:val="0"/>
          <w:marBottom w:val="0"/>
          <w:divBdr>
            <w:top w:val="none" w:sz="0" w:space="0" w:color="auto"/>
            <w:left w:val="none" w:sz="0" w:space="0" w:color="auto"/>
            <w:bottom w:val="none" w:sz="0" w:space="0" w:color="auto"/>
            <w:right w:val="none" w:sz="0" w:space="0" w:color="auto"/>
          </w:divBdr>
        </w:div>
      </w:divsChild>
    </w:div>
    <w:div w:id="1707019614">
      <w:bodyDiv w:val="1"/>
      <w:marLeft w:val="0"/>
      <w:marRight w:val="0"/>
      <w:marTop w:val="0"/>
      <w:marBottom w:val="0"/>
      <w:divBdr>
        <w:top w:val="none" w:sz="0" w:space="0" w:color="auto"/>
        <w:left w:val="none" w:sz="0" w:space="0" w:color="auto"/>
        <w:bottom w:val="none" w:sz="0" w:space="0" w:color="auto"/>
        <w:right w:val="none" w:sz="0" w:space="0" w:color="auto"/>
      </w:divBdr>
    </w:div>
    <w:div w:id="1731615035">
      <w:bodyDiv w:val="1"/>
      <w:marLeft w:val="0"/>
      <w:marRight w:val="0"/>
      <w:marTop w:val="0"/>
      <w:marBottom w:val="0"/>
      <w:divBdr>
        <w:top w:val="none" w:sz="0" w:space="0" w:color="auto"/>
        <w:left w:val="none" w:sz="0" w:space="0" w:color="auto"/>
        <w:bottom w:val="none" w:sz="0" w:space="0" w:color="auto"/>
        <w:right w:val="none" w:sz="0" w:space="0" w:color="auto"/>
      </w:divBdr>
    </w:div>
    <w:div w:id="1745182596">
      <w:bodyDiv w:val="1"/>
      <w:marLeft w:val="0"/>
      <w:marRight w:val="0"/>
      <w:marTop w:val="0"/>
      <w:marBottom w:val="0"/>
      <w:divBdr>
        <w:top w:val="none" w:sz="0" w:space="0" w:color="auto"/>
        <w:left w:val="none" w:sz="0" w:space="0" w:color="auto"/>
        <w:bottom w:val="none" w:sz="0" w:space="0" w:color="auto"/>
        <w:right w:val="none" w:sz="0" w:space="0" w:color="auto"/>
      </w:divBdr>
    </w:div>
    <w:div w:id="1771972753">
      <w:bodyDiv w:val="1"/>
      <w:marLeft w:val="0"/>
      <w:marRight w:val="0"/>
      <w:marTop w:val="0"/>
      <w:marBottom w:val="0"/>
      <w:divBdr>
        <w:top w:val="none" w:sz="0" w:space="0" w:color="auto"/>
        <w:left w:val="none" w:sz="0" w:space="0" w:color="auto"/>
        <w:bottom w:val="none" w:sz="0" w:space="0" w:color="auto"/>
        <w:right w:val="none" w:sz="0" w:space="0" w:color="auto"/>
      </w:divBdr>
      <w:divsChild>
        <w:div w:id="1370229860">
          <w:marLeft w:val="0"/>
          <w:marRight w:val="0"/>
          <w:marTop w:val="0"/>
          <w:marBottom w:val="0"/>
          <w:divBdr>
            <w:top w:val="none" w:sz="0" w:space="0" w:color="auto"/>
            <w:left w:val="none" w:sz="0" w:space="0" w:color="auto"/>
            <w:bottom w:val="none" w:sz="0" w:space="0" w:color="auto"/>
            <w:right w:val="none" w:sz="0" w:space="0" w:color="auto"/>
          </w:divBdr>
        </w:div>
      </w:divsChild>
    </w:div>
    <w:div w:id="1788548000">
      <w:bodyDiv w:val="1"/>
      <w:marLeft w:val="0"/>
      <w:marRight w:val="0"/>
      <w:marTop w:val="0"/>
      <w:marBottom w:val="0"/>
      <w:divBdr>
        <w:top w:val="none" w:sz="0" w:space="0" w:color="auto"/>
        <w:left w:val="none" w:sz="0" w:space="0" w:color="auto"/>
        <w:bottom w:val="none" w:sz="0" w:space="0" w:color="auto"/>
        <w:right w:val="none" w:sz="0" w:space="0" w:color="auto"/>
      </w:divBdr>
      <w:divsChild>
        <w:div w:id="1973317122">
          <w:marLeft w:val="0"/>
          <w:marRight w:val="0"/>
          <w:marTop w:val="0"/>
          <w:marBottom w:val="0"/>
          <w:divBdr>
            <w:top w:val="none" w:sz="0" w:space="0" w:color="auto"/>
            <w:left w:val="none" w:sz="0" w:space="0" w:color="auto"/>
            <w:bottom w:val="none" w:sz="0" w:space="0" w:color="auto"/>
            <w:right w:val="none" w:sz="0" w:space="0" w:color="auto"/>
          </w:divBdr>
        </w:div>
      </w:divsChild>
    </w:div>
    <w:div w:id="1817913376">
      <w:bodyDiv w:val="1"/>
      <w:marLeft w:val="0"/>
      <w:marRight w:val="0"/>
      <w:marTop w:val="0"/>
      <w:marBottom w:val="0"/>
      <w:divBdr>
        <w:top w:val="none" w:sz="0" w:space="0" w:color="auto"/>
        <w:left w:val="none" w:sz="0" w:space="0" w:color="auto"/>
        <w:bottom w:val="none" w:sz="0" w:space="0" w:color="auto"/>
        <w:right w:val="none" w:sz="0" w:space="0" w:color="auto"/>
      </w:divBdr>
    </w:div>
    <w:div w:id="1847816813">
      <w:bodyDiv w:val="1"/>
      <w:marLeft w:val="0"/>
      <w:marRight w:val="0"/>
      <w:marTop w:val="0"/>
      <w:marBottom w:val="0"/>
      <w:divBdr>
        <w:top w:val="none" w:sz="0" w:space="0" w:color="auto"/>
        <w:left w:val="none" w:sz="0" w:space="0" w:color="auto"/>
        <w:bottom w:val="none" w:sz="0" w:space="0" w:color="auto"/>
        <w:right w:val="none" w:sz="0" w:space="0" w:color="auto"/>
      </w:divBdr>
    </w:div>
    <w:div w:id="1860309392">
      <w:bodyDiv w:val="1"/>
      <w:marLeft w:val="0"/>
      <w:marRight w:val="0"/>
      <w:marTop w:val="0"/>
      <w:marBottom w:val="0"/>
      <w:divBdr>
        <w:top w:val="none" w:sz="0" w:space="0" w:color="auto"/>
        <w:left w:val="none" w:sz="0" w:space="0" w:color="auto"/>
        <w:bottom w:val="none" w:sz="0" w:space="0" w:color="auto"/>
        <w:right w:val="none" w:sz="0" w:space="0" w:color="auto"/>
      </w:divBdr>
      <w:divsChild>
        <w:div w:id="46606702">
          <w:marLeft w:val="0"/>
          <w:marRight w:val="0"/>
          <w:marTop w:val="0"/>
          <w:marBottom w:val="0"/>
          <w:divBdr>
            <w:top w:val="none" w:sz="0" w:space="0" w:color="auto"/>
            <w:left w:val="none" w:sz="0" w:space="0" w:color="auto"/>
            <w:bottom w:val="none" w:sz="0" w:space="0" w:color="auto"/>
            <w:right w:val="none" w:sz="0" w:space="0" w:color="auto"/>
          </w:divBdr>
        </w:div>
      </w:divsChild>
    </w:div>
    <w:div w:id="1892884442">
      <w:bodyDiv w:val="1"/>
      <w:marLeft w:val="0"/>
      <w:marRight w:val="0"/>
      <w:marTop w:val="0"/>
      <w:marBottom w:val="0"/>
      <w:divBdr>
        <w:top w:val="none" w:sz="0" w:space="0" w:color="auto"/>
        <w:left w:val="none" w:sz="0" w:space="0" w:color="auto"/>
        <w:bottom w:val="none" w:sz="0" w:space="0" w:color="auto"/>
        <w:right w:val="none" w:sz="0" w:space="0" w:color="auto"/>
      </w:divBdr>
    </w:div>
    <w:div w:id="1965381294">
      <w:bodyDiv w:val="1"/>
      <w:marLeft w:val="0"/>
      <w:marRight w:val="0"/>
      <w:marTop w:val="0"/>
      <w:marBottom w:val="0"/>
      <w:divBdr>
        <w:top w:val="none" w:sz="0" w:space="0" w:color="auto"/>
        <w:left w:val="none" w:sz="0" w:space="0" w:color="auto"/>
        <w:bottom w:val="none" w:sz="0" w:space="0" w:color="auto"/>
        <w:right w:val="none" w:sz="0" w:space="0" w:color="auto"/>
      </w:divBdr>
    </w:div>
    <w:div w:id="1978994453">
      <w:bodyDiv w:val="1"/>
      <w:marLeft w:val="0"/>
      <w:marRight w:val="0"/>
      <w:marTop w:val="0"/>
      <w:marBottom w:val="0"/>
      <w:divBdr>
        <w:top w:val="none" w:sz="0" w:space="0" w:color="auto"/>
        <w:left w:val="none" w:sz="0" w:space="0" w:color="auto"/>
        <w:bottom w:val="none" w:sz="0" w:space="0" w:color="auto"/>
        <w:right w:val="none" w:sz="0" w:space="0" w:color="auto"/>
      </w:divBdr>
      <w:divsChild>
        <w:div w:id="1895048084">
          <w:marLeft w:val="0"/>
          <w:marRight w:val="0"/>
          <w:marTop w:val="0"/>
          <w:marBottom w:val="0"/>
          <w:divBdr>
            <w:top w:val="none" w:sz="0" w:space="0" w:color="auto"/>
            <w:left w:val="none" w:sz="0" w:space="0" w:color="auto"/>
            <w:bottom w:val="none" w:sz="0" w:space="0" w:color="auto"/>
            <w:right w:val="none" w:sz="0" w:space="0" w:color="auto"/>
          </w:divBdr>
        </w:div>
      </w:divsChild>
    </w:div>
    <w:div w:id="1982881251">
      <w:bodyDiv w:val="1"/>
      <w:marLeft w:val="0"/>
      <w:marRight w:val="0"/>
      <w:marTop w:val="0"/>
      <w:marBottom w:val="0"/>
      <w:divBdr>
        <w:top w:val="none" w:sz="0" w:space="0" w:color="auto"/>
        <w:left w:val="none" w:sz="0" w:space="0" w:color="auto"/>
        <w:bottom w:val="none" w:sz="0" w:space="0" w:color="auto"/>
        <w:right w:val="none" w:sz="0" w:space="0" w:color="auto"/>
      </w:divBdr>
      <w:divsChild>
        <w:div w:id="2134514242">
          <w:marLeft w:val="0"/>
          <w:marRight w:val="0"/>
          <w:marTop w:val="0"/>
          <w:marBottom w:val="0"/>
          <w:divBdr>
            <w:top w:val="none" w:sz="0" w:space="0" w:color="auto"/>
            <w:left w:val="none" w:sz="0" w:space="0" w:color="auto"/>
            <w:bottom w:val="none" w:sz="0" w:space="0" w:color="auto"/>
            <w:right w:val="none" w:sz="0" w:space="0" w:color="auto"/>
          </w:divBdr>
        </w:div>
      </w:divsChild>
    </w:div>
    <w:div w:id="1984238958">
      <w:bodyDiv w:val="1"/>
      <w:marLeft w:val="0"/>
      <w:marRight w:val="0"/>
      <w:marTop w:val="0"/>
      <w:marBottom w:val="0"/>
      <w:divBdr>
        <w:top w:val="none" w:sz="0" w:space="0" w:color="auto"/>
        <w:left w:val="none" w:sz="0" w:space="0" w:color="auto"/>
        <w:bottom w:val="none" w:sz="0" w:space="0" w:color="auto"/>
        <w:right w:val="none" w:sz="0" w:space="0" w:color="auto"/>
      </w:divBdr>
      <w:divsChild>
        <w:div w:id="2018919111">
          <w:marLeft w:val="0"/>
          <w:marRight w:val="0"/>
          <w:marTop w:val="0"/>
          <w:marBottom w:val="0"/>
          <w:divBdr>
            <w:top w:val="none" w:sz="0" w:space="0" w:color="auto"/>
            <w:left w:val="none" w:sz="0" w:space="0" w:color="auto"/>
            <w:bottom w:val="none" w:sz="0" w:space="0" w:color="auto"/>
            <w:right w:val="none" w:sz="0" w:space="0" w:color="auto"/>
          </w:divBdr>
        </w:div>
      </w:divsChild>
    </w:div>
    <w:div w:id="2000766723">
      <w:bodyDiv w:val="1"/>
      <w:marLeft w:val="0"/>
      <w:marRight w:val="0"/>
      <w:marTop w:val="0"/>
      <w:marBottom w:val="0"/>
      <w:divBdr>
        <w:top w:val="none" w:sz="0" w:space="0" w:color="auto"/>
        <w:left w:val="none" w:sz="0" w:space="0" w:color="auto"/>
        <w:bottom w:val="none" w:sz="0" w:space="0" w:color="auto"/>
        <w:right w:val="none" w:sz="0" w:space="0" w:color="auto"/>
      </w:divBdr>
    </w:div>
    <w:div w:id="2070765531">
      <w:bodyDiv w:val="1"/>
      <w:marLeft w:val="0"/>
      <w:marRight w:val="0"/>
      <w:marTop w:val="0"/>
      <w:marBottom w:val="0"/>
      <w:divBdr>
        <w:top w:val="none" w:sz="0" w:space="0" w:color="auto"/>
        <w:left w:val="none" w:sz="0" w:space="0" w:color="auto"/>
        <w:bottom w:val="none" w:sz="0" w:space="0" w:color="auto"/>
        <w:right w:val="none" w:sz="0" w:space="0" w:color="auto"/>
      </w:divBdr>
    </w:div>
    <w:div w:id="2076194737">
      <w:bodyDiv w:val="1"/>
      <w:marLeft w:val="0"/>
      <w:marRight w:val="0"/>
      <w:marTop w:val="0"/>
      <w:marBottom w:val="0"/>
      <w:divBdr>
        <w:top w:val="none" w:sz="0" w:space="0" w:color="auto"/>
        <w:left w:val="none" w:sz="0" w:space="0" w:color="auto"/>
        <w:bottom w:val="none" w:sz="0" w:space="0" w:color="auto"/>
        <w:right w:val="none" w:sz="0" w:space="0" w:color="auto"/>
      </w:divBdr>
      <w:divsChild>
        <w:div w:id="473180072">
          <w:marLeft w:val="0"/>
          <w:marRight w:val="0"/>
          <w:marTop w:val="0"/>
          <w:marBottom w:val="0"/>
          <w:divBdr>
            <w:top w:val="none" w:sz="0" w:space="0" w:color="auto"/>
            <w:left w:val="none" w:sz="0" w:space="0" w:color="auto"/>
            <w:bottom w:val="none" w:sz="0" w:space="0" w:color="auto"/>
            <w:right w:val="none" w:sz="0" w:space="0" w:color="auto"/>
          </w:divBdr>
        </w:div>
      </w:divsChild>
    </w:div>
    <w:div w:id="2082025628">
      <w:bodyDiv w:val="1"/>
      <w:marLeft w:val="0"/>
      <w:marRight w:val="0"/>
      <w:marTop w:val="0"/>
      <w:marBottom w:val="0"/>
      <w:divBdr>
        <w:top w:val="none" w:sz="0" w:space="0" w:color="auto"/>
        <w:left w:val="none" w:sz="0" w:space="0" w:color="auto"/>
        <w:bottom w:val="none" w:sz="0" w:space="0" w:color="auto"/>
        <w:right w:val="none" w:sz="0" w:space="0" w:color="auto"/>
      </w:divBdr>
      <w:divsChild>
        <w:div w:id="1824855401">
          <w:marLeft w:val="0"/>
          <w:marRight w:val="0"/>
          <w:marTop w:val="0"/>
          <w:marBottom w:val="0"/>
          <w:divBdr>
            <w:top w:val="none" w:sz="0" w:space="0" w:color="auto"/>
            <w:left w:val="none" w:sz="0" w:space="0" w:color="auto"/>
            <w:bottom w:val="none" w:sz="0" w:space="0" w:color="auto"/>
            <w:right w:val="none" w:sz="0" w:space="0" w:color="auto"/>
          </w:divBdr>
        </w:div>
      </w:divsChild>
    </w:div>
    <w:div w:id="214061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mla.europa.eu/document/download/c8782141-45bf-4ef9-9d66-33e2f90e607e_en?filename=1.1_20251216_FINAL%20REPORT%20RTS%2040%282%29%20AMLD%20financial%20only_Final.pdf" TargetMode="External"/><Relationship Id="rId18" Type="http://schemas.microsoft.com/office/2016/09/relationships/commentsIds" Target="commentsIds.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amla.europa.eu/document/download/1c8bca18-fb5e-4b5e-afee-848111754238_en?filename=2.1_20251216_Final%20report%20-%20RTS%20under%20art.%2012%287%29%20AMLAR.pdf" TargetMode="External"/><Relationship Id="rId17" Type="http://schemas.microsoft.com/office/2011/relationships/commentsExtended" Target="commentsExtended.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mla.europa.eu/amla-launch-data-collection-exercise-test-risk-assessment-models-financial-sector_en"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fatf-gafi.org/en/countries/black-and-grey-lists.html" TargetMode="External"/><Relationship Id="rId23" Type="http://schemas.openxmlformats.org/officeDocument/2006/relationships/header" Target="header3.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inance.ec.europa.eu/financial-crime/anti-money-laundering-and-countering-financing-terrorism-international-level_en"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ww.ecb.europa.eu/stats/financial_corporations/insurance_corporations/html/data_reporting.es.html" TargetMode="External"/><Relationship Id="rId1" Type="http://schemas.openxmlformats.org/officeDocument/2006/relationships/hyperlink" Target="https://www.eba.europa.eu/publications-and-media/press-releases/eba-updates-supervisory-reporting-framewor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SERFrancesca(AMLA)\Downloads\AMLA%20Guidelines%20and%20Recommendations%20TEMPLATE%20(1).dotx" TargetMode="External"/></Relationships>
</file>

<file path=word/theme/theme1.xml><?xml version="1.0" encoding="utf-8"?>
<a:theme xmlns:a="http://schemas.openxmlformats.org/drawingml/2006/main" name="AMLA">
  <a:themeElements>
    <a:clrScheme name="AMLA">
      <a:dk1>
        <a:srgbClr val="000000"/>
      </a:dk1>
      <a:lt1>
        <a:srgbClr val="FFFFFF"/>
      </a:lt1>
      <a:dk2>
        <a:srgbClr val="132D4E"/>
      </a:dk2>
      <a:lt2>
        <a:srgbClr val="DEE0E2"/>
      </a:lt2>
      <a:accent1>
        <a:srgbClr val="134291"/>
      </a:accent1>
      <a:accent2>
        <a:srgbClr val="039D89"/>
      </a:accent2>
      <a:accent3>
        <a:srgbClr val="FFD744"/>
      </a:accent3>
      <a:accent4>
        <a:srgbClr val="43A2CF"/>
      </a:accent4>
      <a:accent5>
        <a:srgbClr val="B11256"/>
      </a:accent5>
      <a:accent6>
        <a:srgbClr val="DB4721"/>
      </a:accent6>
      <a:hlink>
        <a:srgbClr val="134291"/>
      </a:hlink>
      <a:folHlink>
        <a:srgbClr val="582D76"/>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AMLA" id="{3FB79133-B537-5345-8A3F-29109DF0E9B7}" vid="{B05554DB-962F-D54A-AA32-5CE8581118D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AC122F047E594AB0BCC5E5BC71D78E" ma:contentTypeVersion="4" ma:contentTypeDescription="Create a new document." ma:contentTypeScope="" ma:versionID="679f9a1c5570256d4160c3abdd0b7e36">
  <xsd:schema xmlns:xsd="http://www.w3.org/2001/XMLSchema" xmlns:xs="http://www.w3.org/2001/XMLSchema" xmlns:p="http://schemas.microsoft.com/office/2006/metadata/properties" xmlns:ns2="1f8fa110-2145-4d54-b280-8790bb7cd9e6" targetNamespace="http://schemas.microsoft.com/office/2006/metadata/properties" ma:root="true" ma:fieldsID="31f671f2e3fc6cc0f9b26b3def1a62d4" ns2:_="">
    <xsd:import namespace="1f8fa110-2145-4d54-b280-8790bb7cd9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c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8fa110-2145-4d54-b280-8790bb7cd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cas" ma:index="11" nillable="true" ma:displayName="cas" ma:format="DateTime" ma:internalName="ca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s xmlns="1f8fa110-2145-4d54-b280-8790bb7cd9e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FFE58-0D82-48AF-9F27-3BE1BF07A68A}">
  <ds:schemaRefs>
    <ds:schemaRef ds:uri="http://schemas.microsoft.com/sharepoint/v3/contenttype/forms"/>
  </ds:schemaRefs>
</ds:datastoreItem>
</file>

<file path=customXml/itemProps2.xml><?xml version="1.0" encoding="utf-8"?>
<ds:datastoreItem xmlns:ds="http://schemas.openxmlformats.org/officeDocument/2006/customXml" ds:itemID="{79A91D67-2C8E-452C-AAB2-B0223A77D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8fa110-2145-4d54-b280-8790bb7cd9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EA1FED-597F-4C35-9AFA-6B6794BD4BD5}">
  <ds:schemaRefs>
    <ds:schemaRef ds:uri="http://schemas.microsoft.com/office/2006/metadata/properties"/>
    <ds:schemaRef ds:uri="http://schemas.microsoft.com/office/infopath/2007/PartnerControls"/>
    <ds:schemaRef ds:uri="1f8fa110-2145-4d54-b280-8790bb7cd9e6"/>
  </ds:schemaRefs>
</ds:datastoreItem>
</file>

<file path=customXml/itemProps4.xml><?xml version="1.0" encoding="utf-8"?>
<ds:datastoreItem xmlns:ds="http://schemas.openxmlformats.org/officeDocument/2006/customXml" ds:itemID="{4BCE60F4-CA62-1A44-91E0-C6FDD0FC1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AMLA Guidelines and Recommendations TEMPLATE (1).dotx</Template>
  <TotalTime>0</TotalTime>
  <Pages>1</Pages>
  <Words>27676</Words>
  <Characters>157754</Characters>
  <Application>Microsoft Office Word</Application>
  <DocSecurity>4</DocSecurity>
  <Lines>1314</Lines>
  <Paragraphs>370</Paragraphs>
  <ScaleCrop>false</ScaleCrop>
  <Company/>
  <LinksUpToDate>false</LinksUpToDate>
  <CharactersWithSpaces>185060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FUSER Francesca (AMLA)</dc:creator>
  <cp:keywords/>
  <cp:lastModifiedBy>Niederdorfer Beate</cp:lastModifiedBy>
  <cp:revision>19</cp:revision>
  <cp:lastPrinted>2011-08-08T02:35:00Z</cp:lastPrinted>
  <dcterms:created xsi:type="dcterms:W3CDTF">2026-03-02T18:36:00Z</dcterms:created>
  <dcterms:modified xsi:type="dcterms:W3CDTF">2026-03-04T14:26:00Z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0x01010034AC122F047E594AB0BCC5E5BC71D78E</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MSIP_Label_f4cdc456-5864-460f-beda-883d23b78bbb_Enabled">
    <vt:lpwstr>true</vt:lpwstr>
  </property>
  <property fmtid="{D5CDD505-2E9C-101B-9397-08002B2CF9AE}" pid="9" name="MSIP_Label_f4cdc456-5864-460f-beda-883d23b78bbb_SetDate">
    <vt:lpwstr>2025-07-28T07:17:57Z</vt:lpwstr>
  </property>
  <property fmtid="{D5CDD505-2E9C-101B-9397-08002B2CF9AE}" pid="10" name="MSIP_Label_f4cdc456-5864-460f-beda-883d23b78bbb_Method">
    <vt:lpwstr>Privileged</vt:lpwstr>
  </property>
  <property fmtid="{D5CDD505-2E9C-101B-9397-08002B2CF9AE}" pid="11" name="MSIP_Label_f4cdc456-5864-460f-beda-883d23b78bbb_Name">
    <vt:lpwstr>Publicly Available</vt:lpwstr>
  </property>
  <property fmtid="{D5CDD505-2E9C-101B-9397-08002B2CF9AE}" pid="12" name="MSIP_Label_f4cdc456-5864-460f-beda-883d23b78bbb_SiteId">
    <vt:lpwstr>b24c8b06-522c-46fe-9080-70926f8dddb1</vt:lpwstr>
  </property>
  <property fmtid="{D5CDD505-2E9C-101B-9397-08002B2CF9AE}" pid="13" name="MSIP_Label_f4cdc456-5864-460f-beda-883d23b78bbb_ActionId">
    <vt:lpwstr>07497a75-97bb-45b3-8f93-3943a1220835</vt:lpwstr>
  </property>
  <property fmtid="{D5CDD505-2E9C-101B-9397-08002B2CF9AE}" pid="14" name="MSIP_Label_f4cdc456-5864-460f-beda-883d23b78bbb_ContentBits">
    <vt:lpwstr>0</vt:lpwstr>
  </property>
  <property fmtid="{D5CDD505-2E9C-101B-9397-08002B2CF9AE}" pid="15" name="MSIP_Label_f4cdc456-5864-460f-beda-883d23b78bbb_Tag">
    <vt:lpwstr>10, 0, 1, 1</vt:lpwstr>
  </property>
  <property fmtid="{D5CDD505-2E9C-101B-9397-08002B2CF9AE}" pid="16" name="Order">
    <vt:r8>6200</vt:r8>
  </property>
  <property fmtid="{D5CDD505-2E9C-101B-9397-08002B2CF9AE}" pid="17" name="ComplianceAssetId">
    <vt:lpwstr/>
  </property>
  <property fmtid="{D5CDD505-2E9C-101B-9397-08002B2CF9AE}" pid="18" name="_ExtendedDescription">
    <vt:lpwstr/>
  </property>
  <property fmtid="{D5CDD505-2E9C-101B-9397-08002B2CF9AE}" pid="19" name="TriggerFlowInfo">
    <vt:lpwstr/>
  </property>
  <property fmtid="{D5CDD505-2E9C-101B-9397-08002B2CF9AE}" pid="20" name="MediaServiceImageTags">
    <vt:lpwstr/>
  </property>
  <property fmtid="{D5CDD505-2E9C-101B-9397-08002B2CF9AE}" pid="21" name="MSIP_Label_d5bd0209-b4c6-43d7-bad4-1eb1b6095fad_Enabled">
    <vt:lpwstr>true</vt:lpwstr>
  </property>
  <property fmtid="{D5CDD505-2E9C-101B-9397-08002B2CF9AE}" pid="22" name="MSIP_Label_d5bd0209-b4c6-43d7-bad4-1eb1b6095fad_SetDate">
    <vt:lpwstr>2025-07-29T11:37:25Z</vt:lpwstr>
  </property>
  <property fmtid="{D5CDD505-2E9C-101B-9397-08002B2CF9AE}" pid="23" name="MSIP_Label_d5bd0209-b4c6-43d7-bad4-1eb1b6095fad_Method">
    <vt:lpwstr>Standard</vt:lpwstr>
  </property>
  <property fmtid="{D5CDD505-2E9C-101B-9397-08002B2CF9AE}" pid="24" name="MSIP_Label_d5bd0209-b4c6-43d7-bad4-1eb1b6095fad_Name">
    <vt:lpwstr>AMLA Regular</vt:lpwstr>
  </property>
  <property fmtid="{D5CDD505-2E9C-101B-9397-08002B2CF9AE}" pid="25" name="MSIP_Label_d5bd0209-b4c6-43d7-bad4-1eb1b6095fad_SiteId">
    <vt:lpwstr>56c0f15b-8d67-496c-b187-9de88d4ddbc3</vt:lpwstr>
  </property>
  <property fmtid="{D5CDD505-2E9C-101B-9397-08002B2CF9AE}" pid="26" name="MSIP_Label_d5bd0209-b4c6-43d7-bad4-1eb1b6095fad_ActionId">
    <vt:lpwstr>6ba66039-7fbc-4068-9d95-33a3d91440e7</vt:lpwstr>
  </property>
  <property fmtid="{D5CDD505-2E9C-101B-9397-08002B2CF9AE}" pid="27" name="MSIP_Label_d5bd0209-b4c6-43d7-bad4-1eb1b6095fad_ContentBits">
    <vt:lpwstr>0</vt:lpwstr>
  </property>
</Properties>
</file>