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134BE" w14:textId="77777777" w:rsidR="00A53D62" w:rsidRDefault="00A53D62" w:rsidP="004431BC">
      <w:pPr>
        <w:rPr>
          <w:rFonts w:eastAsiaTheme="majorEastAsia" w:cs="Times New Roman (Titres CS)"/>
          <w:b/>
          <w:spacing w:val="-10"/>
          <w:kern w:val="28"/>
          <w:sz w:val="28"/>
          <w:szCs w:val="56"/>
          <w:lang w:val="fr-LU"/>
        </w:rPr>
      </w:pPr>
      <w:r w:rsidRPr="00A53D62">
        <w:rPr>
          <w:noProof/>
          <w:lang w:val="fr-LU" w:eastAsia="fr-LU"/>
        </w:rPr>
        <w:drawing>
          <wp:anchor distT="0" distB="0" distL="114300" distR="114300" simplePos="0" relativeHeight="251659264" behindDoc="1" locked="0" layoutInCell="1" allowOverlap="1" wp14:anchorId="4346424E" wp14:editId="796A8299">
            <wp:simplePos x="0" y="0"/>
            <wp:positionH relativeFrom="page">
              <wp:posOffset>6350</wp:posOffset>
            </wp:positionH>
            <wp:positionV relativeFrom="page">
              <wp:posOffset>3175</wp:posOffset>
            </wp:positionV>
            <wp:extent cx="7567930" cy="10691495"/>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me x 1 01 bleu sur fond vert A4 vertical.png"/>
                    <pic:cNvPicPr/>
                  </pic:nvPicPr>
                  <pic:blipFill>
                    <a:blip r:embed="rId8">
                      <a:extLst>
                        <a:ext uri="{28A0092B-C50C-407E-A947-70E740481C1C}">
                          <a14:useLocalDpi xmlns:a14="http://schemas.microsoft.com/office/drawing/2010/main" val="0"/>
                        </a:ext>
                      </a:extLst>
                    </a:blip>
                    <a:stretch>
                      <a:fillRect/>
                    </a:stretch>
                  </pic:blipFill>
                  <pic:spPr>
                    <a:xfrm>
                      <a:off x="0" y="0"/>
                      <a:ext cx="7567930" cy="10691495"/>
                    </a:xfrm>
                    <a:prstGeom prst="rect">
                      <a:avLst/>
                    </a:prstGeom>
                  </pic:spPr>
                </pic:pic>
              </a:graphicData>
            </a:graphic>
            <wp14:sizeRelH relativeFrom="margin">
              <wp14:pctWidth>0</wp14:pctWidth>
            </wp14:sizeRelH>
            <wp14:sizeRelV relativeFrom="margin">
              <wp14:pctHeight>0</wp14:pctHeight>
            </wp14:sizeRelV>
          </wp:anchor>
        </w:drawing>
      </w:r>
      <w:r w:rsidRPr="00A53D62">
        <w:rPr>
          <w:noProof/>
          <w:lang w:val="fr-LU" w:eastAsia="fr-LU"/>
        </w:rPr>
        <mc:AlternateContent>
          <mc:Choice Requires="wps">
            <w:drawing>
              <wp:anchor distT="0" distB="0" distL="114300" distR="114300" simplePos="0" relativeHeight="251661312" behindDoc="0" locked="0" layoutInCell="1" allowOverlap="1" wp14:anchorId="062126BD" wp14:editId="40D7DD94">
                <wp:simplePos x="0" y="0"/>
                <wp:positionH relativeFrom="column">
                  <wp:posOffset>1859105</wp:posOffset>
                </wp:positionH>
                <wp:positionV relativeFrom="page">
                  <wp:posOffset>4445876</wp:posOffset>
                </wp:positionV>
                <wp:extent cx="3145790" cy="5670550"/>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3145790" cy="567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D9EDA5" w14:textId="2438742B" w:rsidR="00A53D62" w:rsidRPr="00E36A19" w:rsidRDefault="00E36A19" w:rsidP="00E36A19">
                            <w:pPr>
                              <w:pStyle w:val="TitreCover"/>
                              <w:rPr>
                                <w:smallCaps/>
                                <w:lang w:val="en-US"/>
                              </w:rPr>
                            </w:pPr>
                            <w:r w:rsidRPr="00E36A19">
                              <w:rPr>
                                <w:lang w:val="en-US"/>
                              </w:rPr>
                              <w:t>Reporting instructions on interest rate risk in th</w:t>
                            </w:r>
                            <w:r w:rsidR="00A817F6">
                              <w:rPr>
                                <w:lang w:val="en-US"/>
                              </w:rPr>
                              <w:t>e banking book (IRRBB)</w:t>
                            </w:r>
                            <w:r w:rsidRPr="00E36A19">
                              <w:rPr>
                                <w:lang w:val="en-US"/>
                              </w:rPr>
                              <w:t xml:space="preserve"> pursuant to circular CSSF 08/338 as amended</w:t>
                            </w:r>
                          </w:p>
                          <w:p w14:paraId="1A7EB639" w14:textId="77777777" w:rsidR="00A53D62" w:rsidRPr="00E36A19" w:rsidRDefault="00A53D62">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62126BD" id="_x0000_t202" coordsize="21600,21600" o:spt="202" path="m,l,21600r21600,l21600,xe">
                <v:stroke joinstyle="miter"/>
                <v:path gradientshapeok="t" o:connecttype="rect"/>
              </v:shapetype>
              <v:shape id="Text Box 5" o:spid="_x0000_s1026" type="#_x0000_t202" style="position:absolute;left:0;text-align:left;margin-left:146.4pt;margin-top:350.05pt;width:247.7pt;height:446.5pt;z-index:25166131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" filled="f" stroked="f" strokeweight=".5pt">
                <v:textbox>
                  <w:txbxContent>
                    <w:p w14:paraId="43D9EDA5" w14:textId="2438742B" w:rsidR="00A53D62" w:rsidRPr="00E36A19" w:rsidRDefault="00E36A19" w:rsidP="00E36A19">
                      <w:pPr>
                        <w:pStyle w:val="TitreCover"/>
                        <w:rPr>
                          <w:smallCaps/>
                          <w:lang w:val="en-US"/>
                        </w:rPr>
                      </w:pPr>
                      <w:r w:rsidRPr="00E36A19">
                        <w:rPr>
                          <w:lang w:val="en-US"/>
                        </w:rPr>
                        <w:t>Reporting instructions on interest rate risk in th</w:t>
                      </w:r>
                      <w:r w:rsidR="00A817F6">
                        <w:rPr>
                          <w:lang w:val="en-US"/>
                        </w:rPr>
                        <w:t>e banking book (IRRBB)</w:t>
                      </w:r>
                      <w:r w:rsidRPr="00E36A19">
                        <w:rPr>
                          <w:lang w:val="en-US"/>
                        </w:rPr>
                        <w:t xml:space="preserve"> pursuant to circular CSSF 08/338 as amended</w:t>
                      </w:r>
                    </w:p>
                    <w:p w14:paraId="1A7EB639" w14:textId="77777777" w:rsidR="00A53D62" w:rsidRPr="00E36A19" w:rsidRDefault="00A53D62">
                      <w:pPr>
                        <w:rPr>
                          <w:lang w:val="en-US"/>
                        </w:rPr>
                      </w:pPr>
                    </w:p>
                  </w:txbxContent>
                </v:textbox>
                <w10:wrap anchory="page"/>
              </v:shape>
            </w:pict>
          </mc:Fallback>
        </mc:AlternateContent>
      </w:r>
      <w:r w:rsidRPr="00A53D62">
        <w:rPr>
          <w:noProof/>
          <w:lang w:val="fr-LU" w:eastAsia="fr-LU"/>
        </w:rPr>
        <w:drawing>
          <wp:anchor distT="0" distB="0" distL="114300" distR="114300" simplePos="0" relativeHeight="251660288" behindDoc="1" locked="0" layoutInCell="1" allowOverlap="1" wp14:anchorId="345C4418" wp14:editId="52AD1194">
            <wp:simplePos x="0" y="0"/>
            <wp:positionH relativeFrom="page">
              <wp:posOffset>385587</wp:posOffset>
            </wp:positionH>
            <wp:positionV relativeFrom="page">
              <wp:posOffset>4328151</wp:posOffset>
            </wp:positionV>
            <wp:extent cx="1385570" cy="1079500"/>
            <wp:effectExtent l="0" t="0" r="5080" b="6350"/>
            <wp:wrapNone/>
            <wp:docPr id="4" name="Image 2" descr="Une image contenant dess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ssf_exe_logo_RVB-04_NEW sans marg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85570" cy="1079500"/>
                    </a:xfrm>
                    <a:prstGeom prst="rect">
                      <a:avLst/>
                    </a:prstGeom>
                  </pic:spPr>
                </pic:pic>
              </a:graphicData>
            </a:graphic>
            <wp14:sizeRelH relativeFrom="margin">
              <wp14:pctWidth>0</wp14:pctWidth>
            </wp14:sizeRelH>
            <wp14:sizeRelV relativeFrom="margin">
              <wp14:pctHeight>0</wp14:pctHeight>
            </wp14:sizeRelV>
          </wp:anchor>
        </w:drawing>
      </w:r>
    </w:p>
    <w:p w14:paraId="439128ED" w14:textId="0FD65210" w:rsidR="00E36A19" w:rsidRPr="00E36A19" w:rsidRDefault="00342063" w:rsidP="00E36A19">
      <w:pPr>
        <w:pStyle w:val="Title"/>
        <w:rPr>
          <w:lang w:val="en-US"/>
        </w:rPr>
      </w:pPr>
      <w:sdt>
        <w:sdtPr>
          <w:rPr>
            <w:lang w:val="en-US"/>
          </w:rPr>
          <w:alias w:val="Title"/>
          <w:tag w:val=""/>
          <w:id w:val="2030289214"/>
          <w:placeholder>
            <w:docPart w:val="C18490D5E284456D90B77F15639694DE"/>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84449C">
            <w:rPr>
              <w:lang w:val="en-US"/>
            </w:rPr>
            <w:t>Reporting instructions on interest rate risk in the</w:t>
          </w:r>
          <w:r w:rsidR="00A817F6">
            <w:rPr>
              <w:lang w:val="en-US"/>
            </w:rPr>
            <w:t xml:space="preserve"> banking book (IRRBB)</w:t>
          </w:r>
          <w:r w:rsidR="0084449C">
            <w:rPr>
              <w:lang w:val="en-US"/>
            </w:rPr>
            <w:t xml:space="preserve"> pursuant to circular CSSF 08/338 as amended</w:t>
          </w:r>
        </w:sdtContent>
      </w:sdt>
    </w:p>
    <w:p w14:paraId="32DBE603" w14:textId="33F2F7BC" w:rsidR="00E36A19" w:rsidRDefault="00E36A19" w:rsidP="00E36A19">
      <w:r>
        <w:t>To complete the IRRBB reporting template ESPREP-BNNNN-YYYY-MM-STT.xls and ESPREP-</w:t>
      </w:r>
      <w:r w:rsidR="00EE5464">
        <w:t>P</w:t>
      </w:r>
      <w:r>
        <w:t>NNNN-YYYY-MM-STT.xls institutions are requested to respect the following instructions.</w:t>
      </w:r>
    </w:p>
    <w:p w14:paraId="3913D9BB" w14:textId="77777777" w:rsidR="003B1F0A" w:rsidRDefault="00E36A19" w:rsidP="00E36A19">
      <w:r>
        <w:t>This document comprises the following sections:</w:t>
      </w:r>
    </w:p>
    <w:sdt>
      <w:sdtPr>
        <w:rPr>
          <w:rFonts w:cs="Times New Roman (Corps CS)"/>
          <w:b w:val="0"/>
          <w:caps w:val="0"/>
          <w:color w:val="auto"/>
        </w:rPr>
        <w:id w:val="358025447"/>
        <w:docPartObj>
          <w:docPartGallery w:val="Table of Contents"/>
          <w:docPartUnique/>
        </w:docPartObj>
      </w:sdtPr>
      <w:sdtEndPr>
        <w:rPr>
          <w:bCs/>
          <w:noProof/>
        </w:rPr>
      </w:sdtEndPr>
      <w:sdtContent>
        <w:p w14:paraId="4994B034" w14:textId="77777777" w:rsidR="00E70C71" w:rsidRDefault="00E70C71">
          <w:pPr>
            <w:pStyle w:val="TOCHeading"/>
          </w:pPr>
          <w:r>
            <w:t>Contents</w:t>
          </w:r>
        </w:p>
        <w:p w14:paraId="71187F44" w14:textId="77777777" w:rsidR="00A32D9E" w:rsidRDefault="00E70C71">
          <w:pPr>
            <w:pStyle w:val="TOC1"/>
            <w:rPr>
              <w:rFonts w:asciiTheme="minorHAnsi" w:eastAsiaTheme="minorEastAsia" w:hAnsiTheme="minorHAnsi" w:cstheme="minorBidi"/>
              <w:noProof/>
              <w:sz w:val="22"/>
              <w:szCs w:val="22"/>
              <w:lang w:val="fr-LU" w:eastAsia="fr-LU"/>
            </w:rPr>
          </w:pPr>
          <w:r>
            <w:rPr>
              <w:b/>
              <w:bCs/>
              <w:noProof/>
            </w:rPr>
            <w:fldChar w:fldCharType="begin"/>
          </w:r>
          <w:r>
            <w:rPr>
              <w:b/>
              <w:bCs/>
              <w:noProof/>
            </w:rPr>
            <w:instrText xml:space="preserve"> TOC \o "1-3" \h \z \u </w:instrText>
          </w:r>
          <w:r>
            <w:rPr>
              <w:b/>
              <w:bCs/>
              <w:noProof/>
            </w:rPr>
            <w:fldChar w:fldCharType="separate"/>
          </w:r>
          <w:hyperlink w:anchor="_Toc57976551" w:history="1">
            <w:r w:rsidR="00A32D9E" w:rsidRPr="00B10A36">
              <w:rPr>
                <w:rStyle w:val="Hyperlink"/>
                <w:rFonts w:asciiTheme="majorHAnsi" w:eastAsia="Times New Roman" w:hAnsiTheme="majorHAnsi" w:cs="Arial"/>
                <w:noProof/>
                <w:kern w:val="28"/>
                <w:lang w:eastAsia="en-GB"/>
              </w:rPr>
              <w:t>1.</w:t>
            </w:r>
            <w:r w:rsidR="00A32D9E">
              <w:rPr>
                <w:rFonts w:asciiTheme="minorHAnsi" w:eastAsiaTheme="minorEastAsia" w:hAnsiTheme="minorHAnsi" w:cstheme="minorBidi"/>
                <w:noProof/>
                <w:sz w:val="22"/>
                <w:szCs w:val="22"/>
                <w:lang w:val="fr-LU" w:eastAsia="fr-LU"/>
              </w:rPr>
              <w:tab/>
            </w:r>
            <w:r w:rsidR="00A32D9E" w:rsidRPr="00B10A36">
              <w:rPr>
                <w:rStyle w:val="Hyperlink"/>
                <w:rFonts w:asciiTheme="majorHAnsi" w:eastAsia="Times New Roman" w:hAnsiTheme="majorHAnsi" w:cs="Arial"/>
                <w:noProof/>
                <w:kern w:val="28"/>
                <w:lang w:eastAsia="en-GB"/>
              </w:rPr>
              <w:t>General instructions</w:t>
            </w:r>
            <w:r w:rsidR="00A32D9E">
              <w:rPr>
                <w:noProof/>
                <w:webHidden/>
              </w:rPr>
              <w:tab/>
            </w:r>
            <w:r w:rsidR="00A32D9E">
              <w:rPr>
                <w:noProof/>
                <w:webHidden/>
              </w:rPr>
              <w:fldChar w:fldCharType="begin"/>
            </w:r>
            <w:r w:rsidR="00A32D9E">
              <w:rPr>
                <w:noProof/>
                <w:webHidden/>
              </w:rPr>
              <w:instrText xml:space="preserve"> PAGEREF _Toc57976551 \h </w:instrText>
            </w:r>
            <w:r w:rsidR="00A32D9E">
              <w:rPr>
                <w:noProof/>
                <w:webHidden/>
              </w:rPr>
            </w:r>
            <w:r w:rsidR="00A32D9E">
              <w:rPr>
                <w:noProof/>
                <w:webHidden/>
              </w:rPr>
              <w:fldChar w:fldCharType="separate"/>
            </w:r>
            <w:r w:rsidR="00A32D9E">
              <w:rPr>
                <w:noProof/>
                <w:webHidden/>
              </w:rPr>
              <w:t>3</w:t>
            </w:r>
            <w:r w:rsidR="00A32D9E">
              <w:rPr>
                <w:noProof/>
                <w:webHidden/>
              </w:rPr>
              <w:fldChar w:fldCharType="end"/>
            </w:r>
          </w:hyperlink>
        </w:p>
        <w:p w14:paraId="53D738B5" w14:textId="77777777" w:rsidR="00A32D9E" w:rsidRDefault="00342063" w:rsidP="00A32D9E">
          <w:pPr>
            <w:pStyle w:val="TOC2"/>
            <w:rPr>
              <w:rFonts w:asciiTheme="minorHAnsi" w:eastAsiaTheme="minorEastAsia" w:hAnsiTheme="minorHAnsi" w:cstheme="minorBidi"/>
              <w:noProof/>
              <w:sz w:val="22"/>
              <w:szCs w:val="22"/>
              <w:lang w:val="fr-LU" w:eastAsia="fr-LU"/>
            </w:rPr>
          </w:pPr>
          <w:hyperlink w:anchor="_Toc57976552" w:history="1">
            <w:r w:rsidR="00A32D9E" w:rsidRPr="00B10A36">
              <w:rPr>
                <w:rStyle w:val="Hyperlink"/>
                <w:rFonts w:asciiTheme="majorHAnsi" w:hAnsiTheme="majorHAnsi" w:cs="Arial"/>
                <w:noProof/>
              </w:rPr>
              <w:t>Legal background</w:t>
            </w:r>
            <w:r w:rsidR="00A32D9E">
              <w:rPr>
                <w:noProof/>
                <w:webHidden/>
              </w:rPr>
              <w:tab/>
            </w:r>
            <w:r w:rsidR="00A32D9E">
              <w:rPr>
                <w:noProof/>
                <w:webHidden/>
              </w:rPr>
              <w:fldChar w:fldCharType="begin"/>
            </w:r>
            <w:r w:rsidR="00A32D9E">
              <w:rPr>
                <w:noProof/>
                <w:webHidden/>
              </w:rPr>
              <w:instrText xml:space="preserve"> PAGEREF _Toc57976552 \h </w:instrText>
            </w:r>
            <w:r w:rsidR="00A32D9E">
              <w:rPr>
                <w:noProof/>
                <w:webHidden/>
              </w:rPr>
            </w:r>
            <w:r w:rsidR="00A32D9E">
              <w:rPr>
                <w:noProof/>
                <w:webHidden/>
              </w:rPr>
              <w:fldChar w:fldCharType="separate"/>
            </w:r>
            <w:r w:rsidR="00A32D9E">
              <w:rPr>
                <w:noProof/>
                <w:webHidden/>
              </w:rPr>
              <w:t>3</w:t>
            </w:r>
            <w:r w:rsidR="00A32D9E">
              <w:rPr>
                <w:noProof/>
                <w:webHidden/>
              </w:rPr>
              <w:fldChar w:fldCharType="end"/>
            </w:r>
          </w:hyperlink>
        </w:p>
        <w:p w14:paraId="02A74BE7" w14:textId="77777777" w:rsidR="00A32D9E" w:rsidRDefault="00342063" w:rsidP="00A32D9E">
          <w:pPr>
            <w:pStyle w:val="TOC2"/>
            <w:rPr>
              <w:rFonts w:asciiTheme="minorHAnsi" w:eastAsiaTheme="minorEastAsia" w:hAnsiTheme="minorHAnsi" w:cstheme="minorBidi"/>
              <w:noProof/>
              <w:sz w:val="22"/>
              <w:szCs w:val="22"/>
              <w:lang w:val="fr-LU" w:eastAsia="fr-LU"/>
            </w:rPr>
          </w:pPr>
          <w:hyperlink w:anchor="_Toc57976553" w:history="1">
            <w:r w:rsidR="00A32D9E" w:rsidRPr="00B10A36">
              <w:rPr>
                <w:rStyle w:val="Hyperlink"/>
                <w:rFonts w:asciiTheme="majorHAnsi" w:hAnsiTheme="majorHAnsi" w:cs="Arial"/>
                <w:noProof/>
              </w:rPr>
              <w:t>Reference date</w:t>
            </w:r>
            <w:r w:rsidR="00A32D9E">
              <w:rPr>
                <w:noProof/>
                <w:webHidden/>
              </w:rPr>
              <w:tab/>
            </w:r>
            <w:r w:rsidR="00A32D9E">
              <w:rPr>
                <w:noProof/>
                <w:webHidden/>
              </w:rPr>
              <w:fldChar w:fldCharType="begin"/>
            </w:r>
            <w:r w:rsidR="00A32D9E">
              <w:rPr>
                <w:noProof/>
                <w:webHidden/>
              </w:rPr>
              <w:instrText xml:space="preserve"> PAGEREF _Toc57976553 \h </w:instrText>
            </w:r>
            <w:r w:rsidR="00A32D9E">
              <w:rPr>
                <w:noProof/>
                <w:webHidden/>
              </w:rPr>
            </w:r>
            <w:r w:rsidR="00A32D9E">
              <w:rPr>
                <w:noProof/>
                <w:webHidden/>
              </w:rPr>
              <w:fldChar w:fldCharType="separate"/>
            </w:r>
            <w:r w:rsidR="00A32D9E">
              <w:rPr>
                <w:noProof/>
                <w:webHidden/>
              </w:rPr>
              <w:t>4</w:t>
            </w:r>
            <w:r w:rsidR="00A32D9E">
              <w:rPr>
                <w:noProof/>
                <w:webHidden/>
              </w:rPr>
              <w:fldChar w:fldCharType="end"/>
            </w:r>
          </w:hyperlink>
        </w:p>
        <w:p w14:paraId="67178FB8" w14:textId="77777777" w:rsidR="00A32D9E" w:rsidRDefault="00342063" w:rsidP="00A32D9E">
          <w:pPr>
            <w:pStyle w:val="TOC2"/>
            <w:rPr>
              <w:rFonts w:asciiTheme="minorHAnsi" w:eastAsiaTheme="minorEastAsia" w:hAnsiTheme="minorHAnsi" w:cstheme="minorBidi"/>
              <w:noProof/>
              <w:sz w:val="22"/>
              <w:szCs w:val="22"/>
              <w:lang w:val="fr-LU" w:eastAsia="fr-LU"/>
            </w:rPr>
          </w:pPr>
          <w:hyperlink w:anchor="_Toc57976554" w:history="1">
            <w:r w:rsidR="00A32D9E" w:rsidRPr="00B10A36">
              <w:rPr>
                <w:rStyle w:val="Hyperlink"/>
                <w:rFonts w:asciiTheme="majorHAnsi" w:hAnsiTheme="majorHAnsi" w:cs="Arial"/>
                <w:noProof/>
              </w:rPr>
              <w:t>Data points and reporting units</w:t>
            </w:r>
            <w:r w:rsidR="00A32D9E">
              <w:rPr>
                <w:noProof/>
                <w:webHidden/>
              </w:rPr>
              <w:tab/>
            </w:r>
            <w:r w:rsidR="00A32D9E">
              <w:rPr>
                <w:noProof/>
                <w:webHidden/>
              </w:rPr>
              <w:fldChar w:fldCharType="begin"/>
            </w:r>
            <w:r w:rsidR="00A32D9E">
              <w:rPr>
                <w:noProof/>
                <w:webHidden/>
              </w:rPr>
              <w:instrText xml:space="preserve"> PAGEREF _Toc57976554 \h </w:instrText>
            </w:r>
            <w:r w:rsidR="00A32D9E">
              <w:rPr>
                <w:noProof/>
                <w:webHidden/>
              </w:rPr>
            </w:r>
            <w:r w:rsidR="00A32D9E">
              <w:rPr>
                <w:noProof/>
                <w:webHidden/>
              </w:rPr>
              <w:fldChar w:fldCharType="separate"/>
            </w:r>
            <w:r w:rsidR="00A32D9E">
              <w:rPr>
                <w:noProof/>
                <w:webHidden/>
              </w:rPr>
              <w:t>4</w:t>
            </w:r>
            <w:r w:rsidR="00A32D9E">
              <w:rPr>
                <w:noProof/>
                <w:webHidden/>
              </w:rPr>
              <w:fldChar w:fldCharType="end"/>
            </w:r>
          </w:hyperlink>
        </w:p>
        <w:p w14:paraId="0DF16588" w14:textId="77777777" w:rsidR="00A32D9E" w:rsidRDefault="00342063" w:rsidP="00A32D9E">
          <w:pPr>
            <w:pStyle w:val="TOC2"/>
            <w:rPr>
              <w:rFonts w:asciiTheme="minorHAnsi" w:eastAsiaTheme="minorEastAsia" w:hAnsiTheme="minorHAnsi" w:cstheme="minorBidi"/>
              <w:noProof/>
              <w:sz w:val="22"/>
              <w:szCs w:val="22"/>
              <w:lang w:val="fr-LU" w:eastAsia="fr-LU"/>
            </w:rPr>
          </w:pPr>
          <w:hyperlink w:anchor="_Toc57976555" w:history="1">
            <w:r w:rsidR="00A32D9E" w:rsidRPr="00B10A36">
              <w:rPr>
                <w:rStyle w:val="Hyperlink"/>
                <w:rFonts w:asciiTheme="majorHAnsi" w:hAnsiTheme="majorHAnsi" w:cs="Arial"/>
                <w:noProof/>
              </w:rPr>
              <w:t>Data and scope</w:t>
            </w:r>
            <w:r w:rsidR="00A32D9E">
              <w:rPr>
                <w:noProof/>
                <w:webHidden/>
              </w:rPr>
              <w:tab/>
            </w:r>
            <w:r w:rsidR="00A32D9E">
              <w:rPr>
                <w:noProof/>
                <w:webHidden/>
              </w:rPr>
              <w:fldChar w:fldCharType="begin"/>
            </w:r>
            <w:r w:rsidR="00A32D9E">
              <w:rPr>
                <w:noProof/>
                <w:webHidden/>
              </w:rPr>
              <w:instrText xml:space="preserve"> PAGEREF _Toc57976555 \h </w:instrText>
            </w:r>
            <w:r w:rsidR="00A32D9E">
              <w:rPr>
                <w:noProof/>
                <w:webHidden/>
              </w:rPr>
            </w:r>
            <w:r w:rsidR="00A32D9E">
              <w:rPr>
                <w:noProof/>
                <w:webHidden/>
              </w:rPr>
              <w:fldChar w:fldCharType="separate"/>
            </w:r>
            <w:r w:rsidR="00A32D9E">
              <w:rPr>
                <w:noProof/>
                <w:webHidden/>
              </w:rPr>
              <w:t>4</w:t>
            </w:r>
            <w:r w:rsidR="00A32D9E">
              <w:rPr>
                <w:noProof/>
                <w:webHidden/>
              </w:rPr>
              <w:fldChar w:fldCharType="end"/>
            </w:r>
          </w:hyperlink>
        </w:p>
        <w:p w14:paraId="00D0DB2A" w14:textId="77777777" w:rsidR="00A32D9E" w:rsidRDefault="00342063">
          <w:pPr>
            <w:pStyle w:val="TOC1"/>
            <w:rPr>
              <w:rFonts w:asciiTheme="minorHAnsi" w:eastAsiaTheme="minorEastAsia" w:hAnsiTheme="minorHAnsi" w:cstheme="minorBidi"/>
              <w:noProof/>
              <w:sz w:val="22"/>
              <w:szCs w:val="22"/>
              <w:lang w:val="fr-LU" w:eastAsia="fr-LU"/>
            </w:rPr>
          </w:pPr>
          <w:hyperlink w:anchor="_Toc57976556" w:history="1">
            <w:r w:rsidR="00A32D9E" w:rsidRPr="00B10A36">
              <w:rPr>
                <w:rStyle w:val="Hyperlink"/>
                <w:rFonts w:asciiTheme="majorHAnsi" w:eastAsia="Times New Roman" w:hAnsiTheme="majorHAnsi" w:cs="Arial"/>
                <w:noProof/>
                <w:kern w:val="28"/>
                <w:lang w:eastAsia="en-GB"/>
              </w:rPr>
              <w:t>2.</w:t>
            </w:r>
            <w:r w:rsidR="00A32D9E">
              <w:rPr>
                <w:rFonts w:asciiTheme="minorHAnsi" w:eastAsiaTheme="minorEastAsia" w:hAnsiTheme="minorHAnsi" w:cstheme="minorBidi"/>
                <w:noProof/>
                <w:sz w:val="22"/>
                <w:szCs w:val="22"/>
                <w:lang w:val="fr-LU" w:eastAsia="fr-LU"/>
              </w:rPr>
              <w:tab/>
            </w:r>
            <w:r w:rsidR="00A32D9E" w:rsidRPr="00B10A36">
              <w:rPr>
                <w:rStyle w:val="Hyperlink"/>
                <w:rFonts w:asciiTheme="majorHAnsi" w:eastAsia="Times New Roman" w:hAnsiTheme="majorHAnsi" w:cs="Arial"/>
                <w:noProof/>
                <w:kern w:val="28"/>
                <w:lang w:eastAsia="en-GB"/>
              </w:rPr>
              <w:t>Specific instructions</w:t>
            </w:r>
            <w:r w:rsidR="00A32D9E">
              <w:rPr>
                <w:noProof/>
                <w:webHidden/>
              </w:rPr>
              <w:tab/>
            </w:r>
            <w:r w:rsidR="00A32D9E">
              <w:rPr>
                <w:noProof/>
                <w:webHidden/>
              </w:rPr>
              <w:fldChar w:fldCharType="begin"/>
            </w:r>
            <w:r w:rsidR="00A32D9E">
              <w:rPr>
                <w:noProof/>
                <w:webHidden/>
              </w:rPr>
              <w:instrText xml:space="preserve"> PAGEREF _Toc57976556 \h </w:instrText>
            </w:r>
            <w:r w:rsidR="00A32D9E">
              <w:rPr>
                <w:noProof/>
                <w:webHidden/>
              </w:rPr>
            </w:r>
            <w:r w:rsidR="00A32D9E">
              <w:rPr>
                <w:noProof/>
                <w:webHidden/>
              </w:rPr>
              <w:fldChar w:fldCharType="separate"/>
            </w:r>
            <w:r w:rsidR="00A32D9E">
              <w:rPr>
                <w:noProof/>
                <w:webHidden/>
              </w:rPr>
              <w:t>5</w:t>
            </w:r>
            <w:r w:rsidR="00A32D9E">
              <w:rPr>
                <w:noProof/>
                <w:webHidden/>
              </w:rPr>
              <w:fldChar w:fldCharType="end"/>
            </w:r>
          </w:hyperlink>
        </w:p>
        <w:p w14:paraId="67749C0B" w14:textId="77777777" w:rsidR="00A32D9E" w:rsidRDefault="00342063" w:rsidP="00A32D9E">
          <w:pPr>
            <w:pStyle w:val="TOC2"/>
            <w:rPr>
              <w:rFonts w:asciiTheme="minorHAnsi" w:eastAsiaTheme="minorEastAsia" w:hAnsiTheme="minorHAnsi" w:cstheme="minorBidi"/>
              <w:noProof/>
              <w:sz w:val="22"/>
              <w:szCs w:val="22"/>
              <w:lang w:val="fr-LU" w:eastAsia="fr-LU"/>
            </w:rPr>
          </w:pPr>
          <w:hyperlink w:anchor="_Toc57976557" w:history="1">
            <w:r w:rsidR="00A32D9E" w:rsidRPr="00B10A36">
              <w:rPr>
                <w:rStyle w:val="Hyperlink"/>
                <w:rFonts w:asciiTheme="majorHAnsi" w:hAnsiTheme="majorHAnsi" w:cs="Arial"/>
                <w:noProof/>
              </w:rPr>
              <w:t>“Identification” worksheet</w:t>
            </w:r>
            <w:r w:rsidR="00A32D9E">
              <w:rPr>
                <w:noProof/>
                <w:webHidden/>
              </w:rPr>
              <w:tab/>
            </w:r>
            <w:r w:rsidR="00A32D9E">
              <w:rPr>
                <w:noProof/>
                <w:webHidden/>
              </w:rPr>
              <w:fldChar w:fldCharType="begin"/>
            </w:r>
            <w:r w:rsidR="00A32D9E">
              <w:rPr>
                <w:noProof/>
                <w:webHidden/>
              </w:rPr>
              <w:instrText xml:space="preserve"> PAGEREF _Toc57976557 \h </w:instrText>
            </w:r>
            <w:r w:rsidR="00A32D9E">
              <w:rPr>
                <w:noProof/>
                <w:webHidden/>
              </w:rPr>
            </w:r>
            <w:r w:rsidR="00A32D9E">
              <w:rPr>
                <w:noProof/>
                <w:webHidden/>
              </w:rPr>
              <w:fldChar w:fldCharType="separate"/>
            </w:r>
            <w:r w:rsidR="00A32D9E">
              <w:rPr>
                <w:noProof/>
                <w:webHidden/>
              </w:rPr>
              <w:t>5</w:t>
            </w:r>
            <w:r w:rsidR="00A32D9E">
              <w:rPr>
                <w:noProof/>
                <w:webHidden/>
              </w:rPr>
              <w:fldChar w:fldCharType="end"/>
            </w:r>
          </w:hyperlink>
        </w:p>
        <w:p w14:paraId="7F933E44" w14:textId="77777777" w:rsidR="00A32D9E" w:rsidRDefault="00342063" w:rsidP="00A32D9E">
          <w:pPr>
            <w:pStyle w:val="TOC2"/>
            <w:rPr>
              <w:rFonts w:asciiTheme="minorHAnsi" w:eastAsiaTheme="minorEastAsia" w:hAnsiTheme="minorHAnsi" w:cstheme="minorBidi"/>
              <w:noProof/>
              <w:sz w:val="22"/>
              <w:szCs w:val="22"/>
              <w:lang w:val="fr-LU" w:eastAsia="fr-LU"/>
            </w:rPr>
          </w:pPr>
          <w:hyperlink w:anchor="_Toc57976558" w:history="1">
            <w:r w:rsidR="00A32D9E" w:rsidRPr="00B10A36">
              <w:rPr>
                <w:rStyle w:val="Hyperlink"/>
                <w:rFonts w:asciiTheme="majorHAnsi" w:hAnsiTheme="majorHAnsi" w:cs="Arial"/>
                <w:noProof/>
              </w:rPr>
              <w:t>“IRRBB measures – N version” and “IRRBB measures – C version” worksheets</w:t>
            </w:r>
            <w:r w:rsidR="00A32D9E">
              <w:rPr>
                <w:noProof/>
                <w:webHidden/>
              </w:rPr>
              <w:tab/>
            </w:r>
            <w:r w:rsidR="00A32D9E">
              <w:rPr>
                <w:noProof/>
                <w:webHidden/>
              </w:rPr>
              <w:fldChar w:fldCharType="begin"/>
            </w:r>
            <w:r w:rsidR="00A32D9E">
              <w:rPr>
                <w:noProof/>
                <w:webHidden/>
              </w:rPr>
              <w:instrText xml:space="preserve"> PAGEREF _Toc57976558 \h </w:instrText>
            </w:r>
            <w:r w:rsidR="00A32D9E">
              <w:rPr>
                <w:noProof/>
                <w:webHidden/>
              </w:rPr>
            </w:r>
            <w:r w:rsidR="00A32D9E">
              <w:rPr>
                <w:noProof/>
                <w:webHidden/>
              </w:rPr>
              <w:fldChar w:fldCharType="separate"/>
            </w:r>
            <w:r w:rsidR="00A32D9E">
              <w:rPr>
                <w:noProof/>
                <w:webHidden/>
              </w:rPr>
              <w:t>8</w:t>
            </w:r>
            <w:r w:rsidR="00A32D9E">
              <w:rPr>
                <w:noProof/>
                <w:webHidden/>
              </w:rPr>
              <w:fldChar w:fldCharType="end"/>
            </w:r>
          </w:hyperlink>
        </w:p>
        <w:p w14:paraId="4EC8AE10" w14:textId="77777777" w:rsidR="00A32D9E" w:rsidRDefault="00342063" w:rsidP="00A32D9E">
          <w:pPr>
            <w:pStyle w:val="TOC2"/>
            <w:rPr>
              <w:rFonts w:asciiTheme="minorHAnsi" w:eastAsiaTheme="minorEastAsia" w:hAnsiTheme="minorHAnsi" w:cstheme="minorBidi"/>
              <w:noProof/>
              <w:sz w:val="22"/>
              <w:szCs w:val="22"/>
              <w:lang w:val="fr-LU" w:eastAsia="fr-LU"/>
            </w:rPr>
          </w:pPr>
          <w:hyperlink w:anchor="_Toc57976559" w:history="1">
            <w:r w:rsidR="00A32D9E" w:rsidRPr="00B10A36">
              <w:rPr>
                <w:rStyle w:val="Hyperlink"/>
                <w:rFonts w:asciiTheme="majorHAnsi" w:hAnsiTheme="majorHAnsi" w:cs="Arial"/>
                <w:noProof/>
              </w:rPr>
              <w:t>“IRRBB outlier questions - N” and “IRRBB outlier questions - C” worksheets</w:t>
            </w:r>
            <w:r w:rsidR="00A32D9E">
              <w:rPr>
                <w:noProof/>
                <w:webHidden/>
              </w:rPr>
              <w:tab/>
            </w:r>
            <w:r w:rsidR="00A32D9E">
              <w:rPr>
                <w:noProof/>
                <w:webHidden/>
              </w:rPr>
              <w:fldChar w:fldCharType="begin"/>
            </w:r>
            <w:r w:rsidR="00A32D9E">
              <w:rPr>
                <w:noProof/>
                <w:webHidden/>
              </w:rPr>
              <w:instrText xml:space="preserve"> PAGEREF _Toc57976559 \h </w:instrText>
            </w:r>
            <w:r w:rsidR="00A32D9E">
              <w:rPr>
                <w:noProof/>
                <w:webHidden/>
              </w:rPr>
            </w:r>
            <w:r w:rsidR="00A32D9E">
              <w:rPr>
                <w:noProof/>
                <w:webHidden/>
              </w:rPr>
              <w:fldChar w:fldCharType="separate"/>
            </w:r>
            <w:r w:rsidR="00A32D9E">
              <w:rPr>
                <w:noProof/>
                <w:webHidden/>
              </w:rPr>
              <w:t>15</w:t>
            </w:r>
            <w:r w:rsidR="00A32D9E">
              <w:rPr>
                <w:noProof/>
                <w:webHidden/>
              </w:rPr>
              <w:fldChar w:fldCharType="end"/>
            </w:r>
          </w:hyperlink>
        </w:p>
        <w:p w14:paraId="51FA89DB" w14:textId="77777777" w:rsidR="00E70C71" w:rsidRDefault="00E70C71">
          <w:r>
            <w:rPr>
              <w:b/>
              <w:bCs/>
              <w:noProof/>
            </w:rPr>
            <w:fldChar w:fldCharType="end"/>
          </w:r>
        </w:p>
      </w:sdtContent>
    </w:sdt>
    <w:p w14:paraId="138768D5" w14:textId="77777777" w:rsidR="0084449C" w:rsidRDefault="0084449C" w:rsidP="0084449C">
      <w:pPr>
        <w:rPr>
          <w:rFonts w:ascii="Arial" w:eastAsia="Times New Roman" w:hAnsi="Arial" w:cs="Arial"/>
          <w:kern w:val="28"/>
          <w:sz w:val="20"/>
          <w:szCs w:val="20"/>
          <w:highlight w:val="yellow"/>
          <w:lang w:eastAsia="en-GB"/>
        </w:rPr>
      </w:pPr>
    </w:p>
    <w:p w14:paraId="4CCD77CA" w14:textId="77777777" w:rsidR="0084449C" w:rsidRDefault="0084449C" w:rsidP="0084449C">
      <w:pPr>
        <w:rPr>
          <w:rFonts w:ascii="Arial" w:eastAsia="Times New Roman" w:hAnsi="Arial" w:cs="Arial"/>
          <w:kern w:val="28"/>
          <w:sz w:val="20"/>
          <w:szCs w:val="20"/>
          <w:highlight w:val="yellow"/>
          <w:lang w:eastAsia="en-GB"/>
        </w:rPr>
      </w:pPr>
    </w:p>
    <w:p w14:paraId="01795402" w14:textId="77777777" w:rsidR="0084449C" w:rsidRDefault="0084449C" w:rsidP="0084449C">
      <w:pPr>
        <w:rPr>
          <w:rFonts w:ascii="Arial" w:eastAsia="Times New Roman" w:hAnsi="Arial" w:cs="Arial"/>
          <w:kern w:val="28"/>
          <w:sz w:val="20"/>
          <w:szCs w:val="20"/>
          <w:highlight w:val="yellow"/>
          <w:lang w:eastAsia="en-GB"/>
        </w:rPr>
      </w:pPr>
    </w:p>
    <w:p w14:paraId="2698791D" w14:textId="77777777" w:rsidR="0084449C" w:rsidRDefault="0084449C" w:rsidP="0084449C">
      <w:pPr>
        <w:rPr>
          <w:rFonts w:ascii="Arial" w:eastAsia="Times New Roman" w:hAnsi="Arial" w:cs="Arial"/>
          <w:kern w:val="28"/>
          <w:sz w:val="20"/>
          <w:szCs w:val="20"/>
          <w:highlight w:val="yellow"/>
          <w:lang w:eastAsia="en-GB"/>
        </w:rPr>
      </w:pPr>
    </w:p>
    <w:p w14:paraId="426B23B4" w14:textId="77777777" w:rsidR="0084449C" w:rsidRDefault="0084449C" w:rsidP="0084449C">
      <w:pPr>
        <w:rPr>
          <w:rFonts w:ascii="Arial" w:eastAsia="Times New Roman" w:hAnsi="Arial" w:cs="Arial"/>
          <w:kern w:val="28"/>
          <w:sz w:val="20"/>
          <w:szCs w:val="20"/>
          <w:highlight w:val="yellow"/>
          <w:lang w:eastAsia="en-GB"/>
        </w:rPr>
      </w:pPr>
    </w:p>
    <w:p w14:paraId="23459163" w14:textId="77777777" w:rsidR="0084449C" w:rsidRDefault="0084449C" w:rsidP="0084449C">
      <w:pPr>
        <w:rPr>
          <w:rFonts w:ascii="Arial" w:eastAsia="Times New Roman" w:hAnsi="Arial" w:cs="Arial"/>
          <w:kern w:val="28"/>
          <w:sz w:val="20"/>
          <w:szCs w:val="20"/>
          <w:highlight w:val="yellow"/>
          <w:lang w:eastAsia="en-GB"/>
        </w:rPr>
      </w:pPr>
    </w:p>
    <w:p w14:paraId="3EE74ECB" w14:textId="77777777" w:rsidR="0084449C" w:rsidRDefault="0084449C" w:rsidP="0084449C">
      <w:pPr>
        <w:rPr>
          <w:rFonts w:ascii="Arial" w:eastAsia="Times New Roman" w:hAnsi="Arial" w:cs="Arial"/>
          <w:kern w:val="28"/>
          <w:sz w:val="20"/>
          <w:szCs w:val="20"/>
          <w:highlight w:val="yellow"/>
          <w:lang w:eastAsia="en-GB"/>
        </w:rPr>
      </w:pPr>
    </w:p>
    <w:p w14:paraId="4AC694B1" w14:textId="77777777" w:rsidR="0084449C" w:rsidRDefault="0084449C" w:rsidP="0084449C">
      <w:pPr>
        <w:rPr>
          <w:rFonts w:ascii="Arial" w:eastAsia="Times New Roman" w:hAnsi="Arial" w:cs="Arial"/>
          <w:kern w:val="28"/>
          <w:sz w:val="20"/>
          <w:szCs w:val="20"/>
          <w:highlight w:val="yellow"/>
          <w:lang w:eastAsia="en-GB"/>
        </w:rPr>
      </w:pPr>
    </w:p>
    <w:p w14:paraId="3F432710" w14:textId="77777777" w:rsidR="0084449C" w:rsidRDefault="0084449C" w:rsidP="0084449C">
      <w:pPr>
        <w:rPr>
          <w:rFonts w:ascii="Arial" w:eastAsia="Times New Roman" w:hAnsi="Arial" w:cs="Arial"/>
          <w:kern w:val="28"/>
          <w:sz w:val="20"/>
          <w:szCs w:val="20"/>
          <w:highlight w:val="yellow"/>
          <w:lang w:eastAsia="en-GB"/>
        </w:rPr>
      </w:pPr>
      <w:bookmarkStart w:id="0" w:name="_GoBack"/>
      <w:bookmarkEnd w:id="0"/>
    </w:p>
    <w:p w14:paraId="0E3E65B6" w14:textId="77777777" w:rsidR="0084449C" w:rsidRDefault="0084449C" w:rsidP="0084449C">
      <w:pPr>
        <w:rPr>
          <w:rFonts w:ascii="Arial" w:eastAsia="Times New Roman" w:hAnsi="Arial" w:cs="Arial"/>
          <w:kern w:val="28"/>
          <w:sz w:val="20"/>
          <w:szCs w:val="20"/>
          <w:highlight w:val="yellow"/>
          <w:lang w:eastAsia="en-GB"/>
        </w:rPr>
      </w:pPr>
    </w:p>
    <w:p w14:paraId="0AD0A2E1" w14:textId="77777777" w:rsidR="0084449C" w:rsidRDefault="0084449C" w:rsidP="0084449C">
      <w:pPr>
        <w:rPr>
          <w:rFonts w:ascii="Arial" w:eastAsia="Times New Roman" w:hAnsi="Arial" w:cs="Arial"/>
          <w:kern w:val="28"/>
          <w:sz w:val="20"/>
          <w:szCs w:val="20"/>
          <w:highlight w:val="yellow"/>
          <w:lang w:eastAsia="en-GB"/>
        </w:rPr>
      </w:pPr>
    </w:p>
    <w:p w14:paraId="01054837" w14:textId="39A50A80" w:rsidR="0084449C" w:rsidRPr="0084449C" w:rsidRDefault="0084449C" w:rsidP="0084449C">
      <w:pPr>
        <w:rPr>
          <w:rFonts w:ascii="Arial" w:eastAsia="Times New Roman" w:hAnsi="Arial" w:cs="Arial"/>
          <w:kern w:val="28"/>
          <w:sz w:val="20"/>
          <w:szCs w:val="20"/>
          <w:lang w:eastAsia="en-GB"/>
        </w:rPr>
      </w:pPr>
      <w:r w:rsidRPr="00342063">
        <w:rPr>
          <w:rFonts w:ascii="Arial" w:eastAsia="Times New Roman" w:hAnsi="Arial" w:cs="Arial"/>
          <w:kern w:val="28"/>
          <w:sz w:val="20"/>
          <w:szCs w:val="20"/>
          <w:lang w:eastAsia="en-GB"/>
        </w:rPr>
        <w:t xml:space="preserve">Date: </w:t>
      </w:r>
      <w:r w:rsidR="00342063" w:rsidRPr="00342063">
        <w:rPr>
          <w:rFonts w:ascii="Arial" w:eastAsia="Times New Roman" w:hAnsi="Arial" w:cs="Arial"/>
          <w:kern w:val="28"/>
          <w:sz w:val="20"/>
          <w:szCs w:val="20"/>
          <w:lang w:eastAsia="en-GB"/>
        </w:rPr>
        <w:t>11 December 2020</w:t>
      </w:r>
    </w:p>
    <w:p w14:paraId="42B01B7B" w14:textId="77777777" w:rsidR="00E36A19" w:rsidRPr="005A66EE" w:rsidRDefault="00E36A19" w:rsidP="00E36A19"/>
    <w:p w14:paraId="791B0BAF" w14:textId="77777777" w:rsidR="003B1F0A" w:rsidRPr="00E36A19" w:rsidRDefault="003B1F0A" w:rsidP="00960177">
      <w:pPr>
        <w:pStyle w:val="Title"/>
        <w:ind w:left="0"/>
        <w:rPr>
          <w:lang w:val="en-US"/>
        </w:rPr>
      </w:pPr>
    </w:p>
    <w:p w14:paraId="1D9C2140" w14:textId="77777777" w:rsidR="00E36A19" w:rsidRPr="00E36A19" w:rsidRDefault="00E36A19" w:rsidP="00E36A19">
      <w:pPr>
        <w:pStyle w:val="Heading1"/>
        <w:keepLines w:val="0"/>
        <w:numPr>
          <w:ilvl w:val="0"/>
          <w:numId w:val="3"/>
        </w:numPr>
        <w:tabs>
          <w:tab w:val="num" w:pos="567"/>
          <w:tab w:val="left" w:pos="851"/>
          <w:tab w:val="right" w:pos="9356"/>
        </w:tabs>
        <w:spacing w:before="120" w:line="360" w:lineRule="auto"/>
        <w:ind w:left="567" w:hanging="567"/>
        <w:jc w:val="both"/>
        <w:rPr>
          <w:rFonts w:asciiTheme="majorHAnsi" w:eastAsia="Times New Roman" w:hAnsiTheme="majorHAnsi" w:cs="Arial"/>
          <w:kern w:val="28"/>
          <w:sz w:val="18"/>
          <w:szCs w:val="18"/>
          <w:lang w:eastAsia="en-GB"/>
        </w:rPr>
      </w:pPr>
      <w:bookmarkStart w:id="1" w:name="_Toc518916485"/>
      <w:bookmarkStart w:id="2" w:name="_Toc57707658"/>
      <w:bookmarkStart w:id="3" w:name="_Toc57976551"/>
      <w:r w:rsidRPr="00E36A19">
        <w:rPr>
          <w:rFonts w:asciiTheme="majorHAnsi" w:eastAsia="Times New Roman" w:hAnsiTheme="majorHAnsi" w:cs="Arial"/>
          <w:kern w:val="28"/>
          <w:sz w:val="18"/>
          <w:szCs w:val="18"/>
          <w:lang w:eastAsia="en-GB"/>
        </w:rPr>
        <w:t>General instructions</w:t>
      </w:r>
      <w:bookmarkEnd w:id="1"/>
      <w:bookmarkEnd w:id="2"/>
      <w:bookmarkEnd w:id="3"/>
    </w:p>
    <w:p w14:paraId="09B464A7" w14:textId="77777777" w:rsidR="00E36A19" w:rsidRPr="00E36A19" w:rsidRDefault="00E36A19" w:rsidP="00A32D9E">
      <w:pPr>
        <w:pStyle w:val="Heading2"/>
        <w:numPr>
          <w:ilvl w:val="0"/>
          <w:numId w:val="0"/>
        </w:numPr>
        <w:spacing w:before="120" w:after="240" w:line="360" w:lineRule="auto"/>
        <w:ind w:left="720"/>
        <w:rPr>
          <w:rFonts w:asciiTheme="majorHAnsi" w:hAnsiTheme="majorHAnsi" w:cs="Arial"/>
          <w:sz w:val="18"/>
          <w:szCs w:val="18"/>
        </w:rPr>
      </w:pPr>
      <w:bookmarkStart w:id="4" w:name="_Toc518916486"/>
      <w:bookmarkStart w:id="5" w:name="_Toc57707659"/>
      <w:bookmarkStart w:id="6" w:name="_Toc57976552"/>
      <w:r w:rsidRPr="00E36A19">
        <w:rPr>
          <w:rFonts w:asciiTheme="majorHAnsi" w:hAnsiTheme="majorHAnsi" w:cs="Arial"/>
          <w:sz w:val="18"/>
          <w:szCs w:val="18"/>
        </w:rPr>
        <w:t>Legal background</w:t>
      </w:r>
      <w:bookmarkEnd w:id="4"/>
      <w:bookmarkEnd w:id="5"/>
      <w:bookmarkEnd w:id="6"/>
    </w:p>
    <w:p w14:paraId="68860A52"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In the preparation of the templates institutions should </w:t>
      </w:r>
      <w:proofErr w:type="gramStart"/>
      <w:r w:rsidRPr="00E36A19">
        <w:rPr>
          <w:rFonts w:asciiTheme="majorHAnsi" w:hAnsiTheme="majorHAnsi" w:cs="Arial"/>
          <w:szCs w:val="18"/>
        </w:rPr>
        <w:t>take into account</w:t>
      </w:r>
      <w:proofErr w:type="gramEnd"/>
      <w:r w:rsidRPr="00E36A19">
        <w:rPr>
          <w:rFonts w:asciiTheme="majorHAnsi" w:hAnsiTheme="majorHAnsi" w:cs="Arial"/>
          <w:szCs w:val="18"/>
        </w:rPr>
        <w:t xml:space="preserve"> the EBA Guidelines on the management of interest rate risk arising from non-trading book activities (EBA/GL/2018/02), which specify, among other things:</w:t>
      </w:r>
    </w:p>
    <w:p w14:paraId="7946D9B5" w14:textId="77777777" w:rsidR="00E36A19" w:rsidRPr="00E36A19" w:rsidRDefault="00E36A19" w:rsidP="00E36A19">
      <w:pPr>
        <w:pStyle w:val="ListParagraph"/>
        <w:keepLines w:val="0"/>
        <w:numPr>
          <w:ilvl w:val="1"/>
          <w:numId w:val="3"/>
        </w:numPr>
        <w:spacing w:before="120" w:after="200" w:line="360" w:lineRule="auto"/>
        <w:ind w:left="993"/>
        <w:rPr>
          <w:rFonts w:asciiTheme="majorHAnsi" w:hAnsiTheme="majorHAnsi" w:cs="Arial"/>
          <w:i/>
          <w:szCs w:val="18"/>
        </w:rPr>
      </w:pPr>
      <w:r w:rsidRPr="00E36A19">
        <w:rPr>
          <w:rFonts w:asciiTheme="majorHAnsi" w:hAnsiTheme="majorHAnsi" w:cs="Arial"/>
          <w:i/>
          <w:szCs w:val="18"/>
        </w:rPr>
        <w:t xml:space="preserve">“the systems to be implemented by institutions for the identification, evaluation and management (…) of IRRBB referred to in Article 84 of Directive 2013/36/EU </w:t>
      </w:r>
      <w:r w:rsidRPr="00E36A19">
        <w:rPr>
          <w:rFonts w:asciiTheme="majorHAnsi" w:hAnsiTheme="majorHAnsi" w:cs="Arial"/>
          <w:szCs w:val="18"/>
        </w:rPr>
        <w:t>[as transposed through Article 14 of Regulation CSSF N°15-02 (hereinafter “RCSSF 15-02”)]</w:t>
      </w:r>
      <w:r w:rsidRPr="00E36A19">
        <w:rPr>
          <w:rFonts w:asciiTheme="majorHAnsi" w:hAnsiTheme="majorHAnsi" w:cs="Arial"/>
          <w:i/>
          <w:szCs w:val="18"/>
        </w:rPr>
        <w:t>;</w:t>
      </w:r>
    </w:p>
    <w:p w14:paraId="2E1AE081" w14:textId="77777777" w:rsidR="00E36A19" w:rsidRPr="00E36A19" w:rsidRDefault="00E36A19" w:rsidP="00E36A19">
      <w:pPr>
        <w:pStyle w:val="ListParagraph"/>
        <w:keepLines w:val="0"/>
        <w:numPr>
          <w:ilvl w:val="1"/>
          <w:numId w:val="3"/>
        </w:numPr>
        <w:spacing w:before="120" w:after="200" w:line="360" w:lineRule="auto"/>
        <w:ind w:left="993"/>
        <w:rPr>
          <w:rFonts w:asciiTheme="majorHAnsi" w:hAnsiTheme="majorHAnsi" w:cs="Arial"/>
          <w:i/>
          <w:szCs w:val="18"/>
        </w:rPr>
      </w:pPr>
      <w:r w:rsidRPr="00E36A19">
        <w:rPr>
          <w:rFonts w:asciiTheme="majorHAnsi" w:hAnsiTheme="majorHAnsi" w:cs="Arial"/>
          <w:i/>
          <w:szCs w:val="18"/>
        </w:rPr>
        <w:t>institutions’ internal governance arrangements in relation to the management of IRRBB;</w:t>
      </w:r>
    </w:p>
    <w:p w14:paraId="58237021" w14:textId="77777777" w:rsidR="00E36A19" w:rsidRPr="00E36A19" w:rsidRDefault="00E36A19" w:rsidP="00E36A19">
      <w:pPr>
        <w:pStyle w:val="ListParagraph"/>
        <w:keepLines w:val="0"/>
        <w:numPr>
          <w:ilvl w:val="1"/>
          <w:numId w:val="3"/>
        </w:numPr>
        <w:spacing w:before="120" w:after="200" w:line="360" w:lineRule="auto"/>
        <w:ind w:left="993"/>
        <w:rPr>
          <w:rFonts w:asciiTheme="majorHAnsi" w:hAnsiTheme="majorHAnsi" w:cs="Arial"/>
          <w:i/>
          <w:szCs w:val="18"/>
        </w:rPr>
      </w:pPr>
      <w:r w:rsidRPr="00E36A19">
        <w:rPr>
          <w:rFonts w:asciiTheme="majorHAnsi" w:hAnsiTheme="majorHAnsi" w:cs="Arial"/>
          <w:i/>
          <w:szCs w:val="18"/>
        </w:rPr>
        <w:t xml:space="preserve">sudden and unexpected changes in the interest rates in accordance with Article 98(5) of Directive 2013/36/EU for the purposes of the review and evaluation performed by competent authorities </w:t>
      </w:r>
      <w:r w:rsidRPr="00E36A19">
        <w:rPr>
          <w:rFonts w:asciiTheme="majorHAnsi" w:hAnsiTheme="majorHAnsi" w:cs="Arial"/>
          <w:szCs w:val="18"/>
        </w:rPr>
        <w:t>[as transposed through Article 30(4) of RCSSF 15-02]</w:t>
      </w:r>
      <w:r w:rsidRPr="00E36A19">
        <w:rPr>
          <w:rFonts w:asciiTheme="majorHAnsi" w:hAnsiTheme="majorHAnsi" w:cs="Arial"/>
          <w:i/>
          <w:szCs w:val="18"/>
        </w:rPr>
        <w:t>.”</w:t>
      </w:r>
    </w:p>
    <w:p w14:paraId="629195D3"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Among other provisions, the EBA/GL/2018/02 state that when managing their interest rate risk arising from non-trading book (hereinafter: “banking book”) activities (IRRBB), institutions should:</w:t>
      </w:r>
    </w:p>
    <w:p w14:paraId="062DB8D1" w14:textId="77777777" w:rsidR="00E36A19" w:rsidRPr="00E36A19" w:rsidRDefault="00E36A19" w:rsidP="00E36A19">
      <w:pPr>
        <w:pStyle w:val="ListParagraph"/>
        <w:keepLines w:val="0"/>
        <w:numPr>
          <w:ilvl w:val="0"/>
          <w:numId w:val="5"/>
        </w:numPr>
        <w:spacing w:before="120" w:after="200" w:line="360" w:lineRule="auto"/>
        <w:ind w:left="993"/>
        <w:rPr>
          <w:rFonts w:asciiTheme="majorHAnsi" w:hAnsiTheme="majorHAnsi" w:cs="Arial"/>
          <w:i/>
          <w:szCs w:val="18"/>
        </w:rPr>
      </w:pPr>
      <w:r w:rsidRPr="00E36A19">
        <w:rPr>
          <w:rFonts w:asciiTheme="majorHAnsi" w:hAnsiTheme="majorHAnsi" w:cs="Arial"/>
          <w:i/>
          <w:szCs w:val="18"/>
        </w:rPr>
        <w:t xml:space="preserve">“measure their exposure to IRRBB in terms of potential changes to both the economic value (EV) and earnings” </w:t>
      </w:r>
      <w:r w:rsidRPr="00E36A19">
        <w:rPr>
          <w:rFonts w:asciiTheme="majorHAnsi" w:hAnsiTheme="majorHAnsi" w:cs="Arial"/>
          <w:szCs w:val="18"/>
        </w:rPr>
        <w:t>(paragraph 81)</w:t>
      </w:r>
      <w:r w:rsidRPr="00E36A19">
        <w:rPr>
          <w:rFonts w:asciiTheme="majorHAnsi" w:hAnsiTheme="majorHAnsi" w:cs="Arial"/>
          <w:i/>
          <w:szCs w:val="18"/>
        </w:rPr>
        <w:t>;</w:t>
      </w:r>
    </w:p>
    <w:p w14:paraId="2317D264" w14:textId="77777777" w:rsidR="00E36A19" w:rsidRPr="00E36A19" w:rsidRDefault="00E36A19" w:rsidP="00E36A19">
      <w:pPr>
        <w:pStyle w:val="ListParagraph"/>
        <w:keepLines w:val="0"/>
        <w:numPr>
          <w:ilvl w:val="0"/>
          <w:numId w:val="5"/>
        </w:numPr>
        <w:spacing w:before="120" w:after="200" w:line="360" w:lineRule="auto"/>
        <w:ind w:left="993"/>
        <w:rPr>
          <w:rFonts w:asciiTheme="majorHAnsi" w:hAnsiTheme="majorHAnsi" w:cs="Arial"/>
          <w:i/>
          <w:szCs w:val="18"/>
        </w:rPr>
      </w:pPr>
      <w:r w:rsidRPr="00E36A19">
        <w:rPr>
          <w:rFonts w:asciiTheme="majorHAnsi" w:hAnsiTheme="majorHAnsi" w:cs="Arial"/>
          <w:i/>
          <w:szCs w:val="18"/>
        </w:rPr>
        <w:t xml:space="preserve">“(…) regularly, at least quarterly, calculate the impact on their EVE of a sudden parallel +/-200 basis points shift of the yield curve” </w:t>
      </w:r>
      <w:r w:rsidRPr="00E36A19">
        <w:rPr>
          <w:rFonts w:asciiTheme="majorHAnsi" w:hAnsiTheme="majorHAnsi" w:cs="Arial"/>
          <w:szCs w:val="18"/>
        </w:rPr>
        <w:t>(paragraph 113)</w:t>
      </w:r>
      <w:r w:rsidRPr="00E36A19">
        <w:rPr>
          <w:rFonts w:asciiTheme="majorHAnsi" w:hAnsiTheme="majorHAnsi" w:cs="Arial"/>
          <w:i/>
          <w:szCs w:val="18"/>
        </w:rPr>
        <w:t>;</w:t>
      </w:r>
    </w:p>
    <w:p w14:paraId="63EEFD19" w14:textId="77777777" w:rsidR="00E36A19" w:rsidRPr="00E36A19" w:rsidRDefault="00E36A19" w:rsidP="00E36A19">
      <w:pPr>
        <w:pStyle w:val="ListParagraph"/>
        <w:keepLines w:val="0"/>
        <w:numPr>
          <w:ilvl w:val="0"/>
          <w:numId w:val="5"/>
        </w:numPr>
        <w:spacing w:before="120" w:after="200" w:line="360" w:lineRule="auto"/>
        <w:ind w:left="993"/>
        <w:rPr>
          <w:rFonts w:asciiTheme="majorHAnsi" w:hAnsiTheme="majorHAnsi" w:cs="Arial"/>
          <w:i/>
          <w:szCs w:val="18"/>
        </w:rPr>
      </w:pPr>
      <w:r w:rsidRPr="00E36A19">
        <w:rPr>
          <w:rFonts w:asciiTheme="majorHAnsi" w:hAnsiTheme="majorHAnsi" w:cs="Arial"/>
          <w:i/>
          <w:szCs w:val="18"/>
        </w:rPr>
        <w:t xml:space="preserve">“regularly, at least quarterly, calculate the impact on their EVE of interest rate shocks, applying scenarios 1 to 6 as set out in Annex III” </w:t>
      </w:r>
      <w:r w:rsidRPr="00E36A19">
        <w:rPr>
          <w:rFonts w:asciiTheme="majorHAnsi" w:hAnsiTheme="majorHAnsi" w:cs="Arial"/>
          <w:szCs w:val="18"/>
        </w:rPr>
        <w:t>(paragraph 114)</w:t>
      </w:r>
      <w:r w:rsidRPr="00E36A19">
        <w:rPr>
          <w:rFonts w:asciiTheme="majorHAnsi" w:hAnsiTheme="majorHAnsi" w:cs="Arial"/>
          <w:i/>
          <w:szCs w:val="18"/>
        </w:rPr>
        <w:t>;</w:t>
      </w:r>
    </w:p>
    <w:p w14:paraId="62709FD1"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The GL also state that “</w:t>
      </w:r>
      <w:r w:rsidRPr="00E36A19">
        <w:rPr>
          <w:rFonts w:asciiTheme="majorHAnsi" w:hAnsiTheme="majorHAnsi" w:cs="Arial"/>
          <w:i/>
          <w:szCs w:val="18"/>
        </w:rPr>
        <w:t>Institutions should demonstrate that their internal capital is commensurate with the level of the interest rate risk in their banking book</w:t>
      </w:r>
      <w:r w:rsidRPr="00E36A19">
        <w:rPr>
          <w:rFonts w:asciiTheme="majorHAnsi" w:hAnsiTheme="majorHAnsi" w:cs="Arial"/>
          <w:szCs w:val="18"/>
        </w:rPr>
        <w:t>” (paragraph 23).</w:t>
      </w:r>
    </w:p>
    <w:p w14:paraId="15AFF8CF"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Hence, the current reporting templates on interest rate risk arising from non-trading book activities (“interest rate risk in the banking book” or “IRRBB”) are designed for gathering information which institutions should routinely prepare, measure and/or mandatorily report to the CSSF.</w:t>
      </w:r>
    </w:p>
    <w:p w14:paraId="1AE8D58C"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The data points included in the IRRBB reporting templates data collection may arise from direct application of provisions included in the EBA/GL/2018/02 such </w:t>
      </w:r>
      <w:r w:rsidRPr="00E36A19">
        <w:rPr>
          <w:rFonts w:asciiTheme="majorHAnsi" w:hAnsiTheme="majorHAnsi" w:cs="Arial"/>
          <w:szCs w:val="18"/>
        </w:rPr>
        <w:lastRenderedPageBreak/>
        <w:t>as paragraphs 113 and 114 for the calculation of the change in economic value of equity (EVE), or from institutions’ own internal methodologies, e.g. for the impact in net interest income and in earnings.</w:t>
      </w:r>
    </w:p>
    <w:p w14:paraId="7155261C" w14:textId="77777777" w:rsidR="00E36A19" w:rsidRPr="00E36A19" w:rsidRDefault="00E36A19" w:rsidP="00A32D9E">
      <w:pPr>
        <w:pStyle w:val="Heading2"/>
        <w:numPr>
          <w:ilvl w:val="0"/>
          <w:numId w:val="0"/>
        </w:numPr>
        <w:spacing w:before="120" w:after="240" w:line="360" w:lineRule="auto"/>
        <w:ind w:left="720"/>
        <w:rPr>
          <w:rFonts w:asciiTheme="majorHAnsi" w:hAnsiTheme="majorHAnsi" w:cs="Arial"/>
          <w:sz w:val="18"/>
          <w:szCs w:val="18"/>
        </w:rPr>
      </w:pPr>
      <w:bookmarkStart w:id="7" w:name="_Toc518916487"/>
      <w:bookmarkStart w:id="8" w:name="_Toc57707660"/>
      <w:bookmarkStart w:id="9" w:name="_Toc57976553"/>
      <w:r w:rsidRPr="00E36A19">
        <w:rPr>
          <w:rFonts w:asciiTheme="majorHAnsi" w:hAnsiTheme="majorHAnsi" w:cs="Arial"/>
          <w:sz w:val="18"/>
          <w:szCs w:val="18"/>
        </w:rPr>
        <w:t>Reference date</w:t>
      </w:r>
      <w:bookmarkEnd w:id="7"/>
      <w:bookmarkEnd w:id="8"/>
      <w:bookmarkEnd w:id="9"/>
    </w:p>
    <w:p w14:paraId="6AA40099"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Reference date has to be indicated in cell C16 of the “Identification” worksheet.</w:t>
      </w:r>
    </w:p>
    <w:p w14:paraId="30B7D44F" w14:textId="77777777" w:rsidR="00E36A19" w:rsidRPr="00E36A19" w:rsidRDefault="00E36A19" w:rsidP="00A32D9E">
      <w:pPr>
        <w:pStyle w:val="Heading2"/>
        <w:numPr>
          <w:ilvl w:val="0"/>
          <w:numId w:val="0"/>
        </w:numPr>
        <w:spacing w:before="120" w:after="240" w:line="360" w:lineRule="auto"/>
        <w:ind w:left="720"/>
        <w:rPr>
          <w:rFonts w:asciiTheme="majorHAnsi" w:hAnsiTheme="majorHAnsi" w:cs="Arial"/>
          <w:sz w:val="18"/>
          <w:szCs w:val="18"/>
        </w:rPr>
      </w:pPr>
      <w:bookmarkStart w:id="10" w:name="_Toc518916488"/>
      <w:bookmarkStart w:id="11" w:name="_Toc57707661"/>
      <w:bookmarkStart w:id="12" w:name="_Toc57976554"/>
      <w:r w:rsidRPr="00E36A19">
        <w:rPr>
          <w:rFonts w:asciiTheme="majorHAnsi" w:hAnsiTheme="majorHAnsi" w:cs="Arial"/>
          <w:sz w:val="18"/>
          <w:szCs w:val="18"/>
        </w:rPr>
        <w:t>Data points and reporting units</w:t>
      </w:r>
      <w:bookmarkEnd w:id="10"/>
      <w:bookmarkEnd w:id="11"/>
      <w:bookmarkEnd w:id="12"/>
    </w:p>
    <w:p w14:paraId="1758B5AA"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The required data points may be qualitative or quantitative.</w:t>
      </w:r>
    </w:p>
    <w:p w14:paraId="413E01DD"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bookmarkStart w:id="13" w:name="_Ref25166018"/>
      <w:bookmarkStart w:id="14" w:name="_Ref25059678"/>
      <w:r w:rsidRPr="00E36A19">
        <w:rPr>
          <w:rFonts w:asciiTheme="majorHAnsi" w:hAnsiTheme="majorHAnsi" w:cs="Arial"/>
          <w:szCs w:val="18"/>
        </w:rPr>
        <w:t>The reporting currency should be the currency of the own funds of the institution</w:t>
      </w:r>
      <w:r w:rsidRPr="00E36A19">
        <w:rPr>
          <w:rStyle w:val="FootnoteReference"/>
          <w:rFonts w:asciiTheme="majorHAnsi" w:hAnsiTheme="majorHAnsi" w:cs="Arial"/>
          <w:sz w:val="18"/>
          <w:szCs w:val="18"/>
        </w:rPr>
        <w:footnoteReference w:id="1"/>
      </w:r>
      <w:r w:rsidRPr="00E36A19">
        <w:rPr>
          <w:rFonts w:asciiTheme="majorHAnsi" w:hAnsiTheme="majorHAnsi" w:cs="Arial"/>
          <w:szCs w:val="18"/>
        </w:rPr>
        <w:t xml:space="preserve"> and the single unit should be “1”. For example, if the reporting currency of an institution is the euro</w:t>
      </w:r>
      <w:r w:rsidR="00C86A36">
        <w:rPr>
          <w:rFonts w:asciiTheme="majorHAnsi" w:hAnsiTheme="majorHAnsi" w:cs="Arial"/>
          <w:szCs w:val="18"/>
        </w:rPr>
        <w:t xml:space="preserve"> (</w:t>
      </w:r>
      <w:r w:rsidR="00684D50">
        <w:rPr>
          <w:rFonts w:asciiTheme="majorHAnsi" w:hAnsiTheme="majorHAnsi" w:cs="Arial"/>
          <w:szCs w:val="18"/>
        </w:rPr>
        <w:t>or ISO Code “</w:t>
      </w:r>
      <w:r w:rsidR="00C86A36">
        <w:rPr>
          <w:rFonts w:asciiTheme="majorHAnsi" w:hAnsiTheme="majorHAnsi" w:cs="Arial"/>
          <w:szCs w:val="18"/>
        </w:rPr>
        <w:t>EUR</w:t>
      </w:r>
      <w:r w:rsidR="00684D50">
        <w:rPr>
          <w:rFonts w:asciiTheme="majorHAnsi" w:hAnsiTheme="majorHAnsi" w:cs="Arial"/>
          <w:szCs w:val="18"/>
        </w:rPr>
        <w:t>”</w:t>
      </w:r>
      <w:r w:rsidR="00C86A36">
        <w:rPr>
          <w:rFonts w:asciiTheme="majorHAnsi" w:hAnsiTheme="majorHAnsi" w:cs="Arial"/>
          <w:szCs w:val="18"/>
        </w:rPr>
        <w:t>)</w:t>
      </w:r>
      <w:r w:rsidRPr="00E36A19">
        <w:rPr>
          <w:rFonts w:asciiTheme="majorHAnsi" w:hAnsiTheme="majorHAnsi" w:cs="Arial"/>
          <w:szCs w:val="18"/>
        </w:rPr>
        <w:t>, then €1000 should be reported as “1000”.</w:t>
      </w:r>
      <w:bookmarkEnd w:id="13"/>
      <w:r w:rsidRPr="00E36A19">
        <w:rPr>
          <w:rFonts w:asciiTheme="majorHAnsi" w:hAnsiTheme="majorHAnsi" w:cs="Arial"/>
          <w:szCs w:val="18"/>
        </w:rPr>
        <w:t xml:space="preserve"> </w:t>
      </w:r>
    </w:p>
    <w:p w14:paraId="02DA6397"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bookmarkStart w:id="15" w:name="_Ref25165900"/>
      <w:bookmarkStart w:id="16" w:name="_Ref25166936"/>
      <w:r w:rsidRPr="00E36A19">
        <w:rPr>
          <w:rFonts w:asciiTheme="majorHAnsi" w:hAnsiTheme="majorHAnsi" w:cs="Arial"/>
          <w:szCs w:val="18"/>
        </w:rPr>
        <w:t xml:space="preserve">By way of derogation to paragraph </w:t>
      </w:r>
      <w:r w:rsidRPr="00E36A19">
        <w:rPr>
          <w:rFonts w:asciiTheme="majorHAnsi" w:hAnsiTheme="majorHAnsi" w:cs="Arial"/>
          <w:szCs w:val="18"/>
        </w:rPr>
        <w:fldChar w:fldCharType="begin"/>
      </w:r>
      <w:r w:rsidRPr="00E36A19">
        <w:rPr>
          <w:rFonts w:asciiTheme="majorHAnsi" w:hAnsiTheme="majorHAnsi" w:cs="Arial"/>
          <w:szCs w:val="18"/>
        </w:rPr>
        <w:instrText xml:space="preserve"> REF _Ref25166018 \r \h  \* MERGEFORMAT </w:instrText>
      </w:r>
      <w:r w:rsidRPr="00E36A19">
        <w:rPr>
          <w:rFonts w:asciiTheme="majorHAnsi" w:hAnsiTheme="majorHAnsi" w:cs="Arial"/>
          <w:szCs w:val="18"/>
        </w:rPr>
      </w:r>
      <w:r w:rsidRPr="00E36A19">
        <w:rPr>
          <w:rFonts w:asciiTheme="majorHAnsi" w:hAnsiTheme="majorHAnsi" w:cs="Arial"/>
          <w:szCs w:val="18"/>
        </w:rPr>
        <w:fldChar w:fldCharType="separate"/>
      </w:r>
      <w:r w:rsidRPr="00E36A19">
        <w:rPr>
          <w:rFonts w:asciiTheme="majorHAnsi" w:hAnsiTheme="majorHAnsi" w:cs="Arial"/>
          <w:szCs w:val="18"/>
        </w:rPr>
        <w:t>8</w:t>
      </w:r>
      <w:r w:rsidRPr="00E36A19">
        <w:rPr>
          <w:rFonts w:asciiTheme="majorHAnsi" w:hAnsiTheme="majorHAnsi" w:cs="Arial"/>
          <w:szCs w:val="18"/>
        </w:rPr>
        <w:fldChar w:fldCharType="end"/>
      </w:r>
      <w:r w:rsidRPr="00E36A19">
        <w:rPr>
          <w:rFonts w:asciiTheme="majorHAnsi" w:hAnsiTheme="majorHAnsi" w:cs="Arial"/>
          <w:szCs w:val="18"/>
        </w:rPr>
        <w:t xml:space="preserve">, institutions subject to reporting of the “Short-Term Exercise IRRBB” to the ECB referred to in paragraph 9 of circular CSSF 08/338 may use </w:t>
      </w:r>
      <w:bookmarkEnd w:id="14"/>
      <w:r w:rsidRPr="00E36A19">
        <w:rPr>
          <w:rFonts w:asciiTheme="majorHAnsi" w:hAnsiTheme="majorHAnsi" w:cs="Arial"/>
          <w:szCs w:val="18"/>
        </w:rPr>
        <w:t xml:space="preserve">the EUR as their reporting </w:t>
      </w:r>
      <w:bookmarkEnd w:id="15"/>
      <w:r w:rsidRPr="00E36A19">
        <w:rPr>
          <w:rFonts w:asciiTheme="majorHAnsi" w:hAnsiTheme="majorHAnsi" w:cs="Arial"/>
          <w:szCs w:val="18"/>
        </w:rPr>
        <w:t>currency irrespective of the currency of their own funds.</w:t>
      </w:r>
      <w:bookmarkEnd w:id="16"/>
    </w:p>
    <w:p w14:paraId="0F2B4557"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Other data points may be reported in percentage as an outcome of a formula. </w:t>
      </w:r>
    </w:p>
    <w:p w14:paraId="0A0FD7E7" w14:textId="77777777" w:rsidR="00E36A19" w:rsidRPr="00E36A19" w:rsidRDefault="00E36A19" w:rsidP="00A32D9E">
      <w:pPr>
        <w:pStyle w:val="Heading2"/>
        <w:numPr>
          <w:ilvl w:val="0"/>
          <w:numId w:val="0"/>
        </w:numPr>
        <w:spacing w:before="120" w:after="240" w:line="360" w:lineRule="auto"/>
        <w:ind w:left="720"/>
        <w:rPr>
          <w:rFonts w:asciiTheme="majorHAnsi" w:hAnsiTheme="majorHAnsi" w:cs="Arial"/>
          <w:sz w:val="18"/>
          <w:szCs w:val="18"/>
        </w:rPr>
      </w:pPr>
      <w:bookmarkStart w:id="17" w:name="_Toc518916489"/>
      <w:bookmarkStart w:id="18" w:name="_Toc57707662"/>
      <w:bookmarkStart w:id="19" w:name="_Toc57976555"/>
      <w:r w:rsidRPr="00E36A19">
        <w:rPr>
          <w:rFonts w:asciiTheme="majorHAnsi" w:hAnsiTheme="majorHAnsi" w:cs="Arial"/>
          <w:sz w:val="18"/>
          <w:szCs w:val="18"/>
        </w:rPr>
        <w:t>Data</w:t>
      </w:r>
      <w:bookmarkEnd w:id="17"/>
      <w:r w:rsidRPr="00E36A19">
        <w:rPr>
          <w:rFonts w:asciiTheme="majorHAnsi" w:hAnsiTheme="majorHAnsi" w:cs="Arial"/>
          <w:sz w:val="18"/>
          <w:szCs w:val="18"/>
        </w:rPr>
        <w:t xml:space="preserve"> and scope</w:t>
      </w:r>
      <w:bookmarkEnd w:id="18"/>
      <w:bookmarkEnd w:id="19"/>
    </w:p>
    <w:p w14:paraId="1CDA735D" w14:textId="39A96208"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This data request </w:t>
      </w:r>
      <w:r w:rsidR="00C86A36">
        <w:rPr>
          <w:rFonts w:asciiTheme="majorHAnsi" w:hAnsiTheme="majorHAnsi" w:cs="Arial"/>
          <w:szCs w:val="18"/>
        </w:rPr>
        <w:t xml:space="preserve">is </w:t>
      </w:r>
      <w:r w:rsidR="00C86A36" w:rsidRPr="00E36A19">
        <w:rPr>
          <w:rFonts w:asciiTheme="majorHAnsi" w:hAnsiTheme="majorHAnsi" w:cs="Arial"/>
          <w:szCs w:val="18"/>
        </w:rPr>
        <w:t>addresse</w:t>
      </w:r>
      <w:r w:rsidR="00C86A36">
        <w:rPr>
          <w:rFonts w:asciiTheme="majorHAnsi" w:hAnsiTheme="majorHAnsi" w:cs="Arial"/>
          <w:szCs w:val="18"/>
        </w:rPr>
        <w:t>d</w:t>
      </w:r>
      <w:r w:rsidR="00C86A36" w:rsidRPr="00E36A19">
        <w:rPr>
          <w:rFonts w:asciiTheme="majorHAnsi" w:hAnsiTheme="majorHAnsi" w:cs="Arial"/>
          <w:szCs w:val="18"/>
        </w:rPr>
        <w:t xml:space="preserve"> </w:t>
      </w:r>
      <w:r w:rsidR="00C86A36">
        <w:rPr>
          <w:rFonts w:asciiTheme="majorHAnsi" w:hAnsiTheme="majorHAnsi" w:cs="Arial"/>
          <w:szCs w:val="18"/>
        </w:rPr>
        <w:t xml:space="preserve">to </w:t>
      </w:r>
      <w:r w:rsidRPr="00E36A19">
        <w:rPr>
          <w:rFonts w:asciiTheme="majorHAnsi" w:hAnsiTheme="majorHAnsi" w:cs="Arial"/>
          <w:szCs w:val="18"/>
        </w:rPr>
        <w:t xml:space="preserve">all institutions on a ‘best effort basis’ but as a general rule, all </w:t>
      </w:r>
      <w:r w:rsidRPr="00E36A19">
        <w:rPr>
          <w:rFonts w:asciiTheme="majorHAnsi" w:hAnsiTheme="majorHAnsi" w:cs="Arial"/>
          <w:b/>
          <w:szCs w:val="18"/>
        </w:rPr>
        <w:t>yellow</w:t>
      </w:r>
      <w:r w:rsidRPr="00E36A19">
        <w:rPr>
          <w:rFonts w:asciiTheme="majorHAnsi" w:hAnsiTheme="majorHAnsi" w:cs="Arial"/>
          <w:szCs w:val="18"/>
        </w:rPr>
        <w:t xml:space="preserve"> cells should be filled </w:t>
      </w:r>
      <w:proofErr w:type="gramStart"/>
      <w:r w:rsidRPr="00E36A19">
        <w:rPr>
          <w:rFonts w:asciiTheme="majorHAnsi" w:hAnsiTheme="majorHAnsi" w:cs="Arial"/>
          <w:szCs w:val="18"/>
        </w:rPr>
        <w:t>taking into account</w:t>
      </w:r>
      <w:proofErr w:type="gramEnd"/>
      <w:r w:rsidRPr="00E36A19">
        <w:rPr>
          <w:rFonts w:asciiTheme="majorHAnsi" w:hAnsiTheme="majorHAnsi" w:cs="Arial"/>
          <w:szCs w:val="18"/>
        </w:rPr>
        <w:t xml:space="preserve"> the rules applicable to each template.</w:t>
      </w:r>
    </w:p>
    <w:p w14:paraId="03888457" w14:textId="728CC24A"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b/>
          <w:szCs w:val="18"/>
        </w:rPr>
      </w:pPr>
      <w:r w:rsidRPr="00E36A19">
        <w:rPr>
          <w:rFonts w:asciiTheme="majorHAnsi" w:hAnsiTheme="majorHAnsi" w:cs="Arial"/>
          <w:szCs w:val="18"/>
        </w:rPr>
        <w:t>For credit institutions, data should be reported in the templates within the Excel file ESPREP-BNNNN-YYYY-MM-STT.xls. For investment firms, data should be reported in the templates within the Excel file ESPREP-PNNNN-YYYY-MM-STT.xls.</w:t>
      </w:r>
    </w:p>
    <w:p w14:paraId="2749B102"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szCs w:val="18"/>
        </w:rPr>
      </w:pPr>
      <w:r w:rsidRPr="00E36A19">
        <w:rPr>
          <w:rFonts w:asciiTheme="majorHAnsi" w:hAnsiTheme="majorHAnsi" w:cs="Arial"/>
          <w:szCs w:val="18"/>
        </w:rPr>
        <w:t xml:space="preserve">Only the </w:t>
      </w:r>
      <w:r w:rsidRPr="00E36A19">
        <w:rPr>
          <w:rFonts w:asciiTheme="majorHAnsi" w:hAnsiTheme="majorHAnsi" w:cs="Arial"/>
          <w:b/>
          <w:szCs w:val="18"/>
        </w:rPr>
        <w:t>cells</w:t>
      </w:r>
      <w:r w:rsidRPr="00E36A19">
        <w:rPr>
          <w:rFonts w:asciiTheme="majorHAnsi" w:hAnsiTheme="majorHAnsi" w:cs="Arial"/>
          <w:szCs w:val="18"/>
        </w:rPr>
        <w:t xml:space="preserve"> marked in </w:t>
      </w:r>
      <w:r w:rsidRPr="00E36A19">
        <w:rPr>
          <w:rFonts w:asciiTheme="majorHAnsi" w:hAnsiTheme="majorHAnsi" w:cs="Arial"/>
          <w:b/>
          <w:szCs w:val="18"/>
        </w:rPr>
        <w:t>yellow</w:t>
      </w:r>
      <w:r w:rsidRPr="00E36A19">
        <w:rPr>
          <w:rFonts w:asciiTheme="majorHAnsi" w:hAnsiTheme="majorHAnsi" w:cs="Arial"/>
          <w:szCs w:val="18"/>
        </w:rPr>
        <w:t xml:space="preserve"> should be filled. None of the yellow cells should be left blank and zeros (“0”) are reported only when the underlying value actually is zero.</w:t>
      </w:r>
    </w:p>
    <w:p w14:paraId="5118646E" w14:textId="77777777" w:rsid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Therefore, whenever a certain phenomenon or data point:</w:t>
      </w:r>
    </w:p>
    <w:p w14:paraId="2FD1AD79" w14:textId="77777777" w:rsidR="00E36A19" w:rsidRPr="00E36A19" w:rsidRDefault="00E36A19" w:rsidP="00E36A19">
      <w:pPr>
        <w:pStyle w:val="ListParagraph"/>
        <w:keepLines w:val="0"/>
        <w:numPr>
          <w:ilvl w:val="1"/>
          <w:numId w:val="4"/>
        </w:numPr>
        <w:spacing w:before="120" w:after="200" w:line="360" w:lineRule="auto"/>
        <w:ind w:left="993"/>
        <w:rPr>
          <w:rFonts w:asciiTheme="majorHAnsi" w:hAnsiTheme="majorHAnsi" w:cs="Arial"/>
          <w:szCs w:val="18"/>
        </w:rPr>
      </w:pPr>
      <w:r w:rsidRPr="00E36A19">
        <w:rPr>
          <w:rFonts w:asciiTheme="majorHAnsi" w:hAnsiTheme="majorHAnsi" w:cs="Arial"/>
          <w:szCs w:val="18"/>
          <w:u w:val="single"/>
        </w:rPr>
        <w:lastRenderedPageBreak/>
        <w:t>is not applicable to the institution</w:t>
      </w:r>
      <w:r w:rsidRPr="00E36A19">
        <w:rPr>
          <w:rFonts w:asciiTheme="majorHAnsi" w:hAnsiTheme="majorHAnsi" w:cs="Arial"/>
          <w:szCs w:val="18"/>
        </w:rPr>
        <w:t xml:space="preserve">, it should fill in the respective data point the value </w:t>
      </w:r>
      <w:proofErr w:type="gramStart"/>
      <w:r w:rsidRPr="00E36A19">
        <w:rPr>
          <w:rFonts w:asciiTheme="majorHAnsi" w:hAnsiTheme="majorHAnsi" w:cs="Arial"/>
          <w:szCs w:val="18"/>
        </w:rPr>
        <w:t>“</w:t>
      </w:r>
      <w:r w:rsidRPr="00E36A19">
        <w:rPr>
          <w:rFonts w:asciiTheme="majorHAnsi" w:hAnsiTheme="majorHAnsi" w:cs="Arial"/>
          <w:b/>
          <w:szCs w:val="18"/>
        </w:rPr>
        <w:t>.p</w:t>
      </w:r>
      <w:proofErr w:type="gramEnd"/>
      <w:r w:rsidRPr="00E36A19">
        <w:rPr>
          <w:rFonts w:asciiTheme="majorHAnsi" w:hAnsiTheme="majorHAnsi" w:cs="Arial"/>
          <w:szCs w:val="18"/>
        </w:rPr>
        <w:t>” (a period followed by the character p);</w:t>
      </w:r>
    </w:p>
    <w:p w14:paraId="6DCDE451" w14:textId="14E6ACFE" w:rsidR="0080619F" w:rsidRDefault="00E36A19" w:rsidP="0080619F">
      <w:pPr>
        <w:pStyle w:val="ListParagraph"/>
        <w:keepLines w:val="0"/>
        <w:numPr>
          <w:ilvl w:val="1"/>
          <w:numId w:val="4"/>
        </w:numPr>
        <w:spacing w:before="120" w:after="200" w:line="360" w:lineRule="auto"/>
        <w:ind w:left="993"/>
        <w:rPr>
          <w:rFonts w:asciiTheme="majorHAnsi" w:hAnsiTheme="majorHAnsi" w:cs="Arial"/>
          <w:szCs w:val="18"/>
        </w:rPr>
      </w:pPr>
      <w:r w:rsidRPr="00E36A19">
        <w:rPr>
          <w:rFonts w:asciiTheme="majorHAnsi" w:hAnsiTheme="majorHAnsi" w:cs="Arial"/>
          <w:szCs w:val="18"/>
          <w:u w:val="single"/>
        </w:rPr>
        <w:t>is applicable to the institution but not reported in the current template</w:t>
      </w:r>
      <w:r w:rsidRPr="00E36A19">
        <w:rPr>
          <w:rFonts w:asciiTheme="majorHAnsi" w:hAnsiTheme="majorHAnsi" w:cs="Arial"/>
          <w:szCs w:val="18"/>
        </w:rPr>
        <w:t xml:space="preserve">, it should fill in the respective data point the value </w:t>
      </w:r>
      <w:proofErr w:type="gramStart"/>
      <w:r w:rsidRPr="00E36A19">
        <w:rPr>
          <w:rFonts w:asciiTheme="majorHAnsi" w:hAnsiTheme="majorHAnsi" w:cs="Arial"/>
          <w:szCs w:val="18"/>
        </w:rPr>
        <w:t>“</w:t>
      </w:r>
      <w:r w:rsidRPr="00E36A19">
        <w:rPr>
          <w:rFonts w:asciiTheme="majorHAnsi" w:hAnsiTheme="majorHAnsi" w:cs="Arial"/>
          <w:b/>
          <w:szCs w:val="18"/>
        </w:rPr>
        <w:t>.v</w:t>
      </w:r>
      <w:proofErr w:type="gramEnd"/>
      <w:r w:rsidRPr="00E36A19">
        <w:rPr>
          <w:rFonts w:asciiTheme="majorHAnsi" w:hAnsiTheme="majorHAnsi" w:cs="Arial"/>
          <w:szCs w:val="18"/>
        </w:rPr>
        <w:t xml:space="preserve">” (a period followed by the character </w:t>
      </w:r>
      <w:r w:rsidRPr="00E36A19">
        <w:rPr>
          <w:rFonts w:asciiTheme="majorHAnsi" w:hAnsiTheme="majorHAnsi" w:cs="Arial"/>
          <w:b/>
          <w:szCs w:val="18"/>
        </w:rPr>
        <w:t>v</w:t>
      </w:r>
      <w:r w:rsidRPr="00E36A19">
        <w:rPr>
          <w:rFonts w:asciiTheme="majorHAnsi" w:hAnsiTheme="majorHAnsi" w:cs="Arial"/>
          <w:szCs w:val="18"/>
        </w:rPr>
        <w:t xml:space="preserve">) and include a justification in </w:t>
      </w:r>
      <w:r w:rsidRPr="00E36A19">
        <w:rPr>
          <w:rFonts w:asciiTheme="majorHAnsi" w:hAnsiTheme="majorHAnsi" w:cs="Arial"/>
          <w:b/>
          <w:szCs w:val="18"/>
        </w:rPr>
        <w:t xml:space="preserve">“Identification” </w:t>
      </w:r>
      <w:r w:rsidRPr="00E36A19">
        <w:rPr>
          <w:rFonts w:asciiTheme="majorHAnsi" w:hAnsiTheme="majorHAnsi" w:cs="Arial"/>
          <w:szCs w:val="18"/>
        </w:rPr>
        <w:t>worksheet in the box additional comments.</w:t>
      </w:r>
    </w:p>
    <w:p w14:paraId="729B810E" w14:textId="77777777" w:rsidR="008A4F10" w:rsidRDefault="0080619F" w:rsidP="008A4F10">
      <w:pPr>
        <w:pStyle w:val="ListParagraph"/>
        <w:keepLines w:val="0"/>
        <w:numPr>
          <w:ilvl w:val="0"/>
          <w:numId w:val="4"/>
        </w:numPr>
        <w:spacing w:before="120" w:after="200" w:line="360" w:lineRule="auto"/>
        <w:ind w:left="426"/>
        <w:rPr>
          <w:rFonts w:asciiTheme="majorHAnsi" w:hAnsiTheme="majorHAnsi" w:cs="Arial"/>
          <w:szCs w:val="18"/>
        </w:rPr>
      </w:pPr>
      <w:r>
        <w:rPr>
          <w:rFonts w:asciiTheme="majorHAnsi" w:hAnsiTheme="majorHAnsi" w:cs="Arial"/>
          <w:szCs w:val="18"/>
        </w:rPr>
        <w:t>Institutions should</w:t>
      </w:r>
      <w:r w:rsidR="00314F67">
        <w:rPr>
          <w:rFonts w:asciiTheme="majorHAnsi" w:hAnsiTheme="majorHAnsi" w:cs="Arial"/>
          <w:szCs w:val="18"/>
        </w:rPr>
        <w:t xml:space="preserve"> first</w:t>
      </w:r>
      <w:r>
        <w:rPr>
          <w:rFonts w:asciiTheme="majorHAnsi" w:hAnsiTheme="majorHAnsi" w:cs="Arial"/>
          <w:szCs w:val="18"/>
        </w:rPr>
        <w:t xml:space="preserve"> report general information on the “Identification” worksheet.</w:t>
      </w:r>
    </w:p>
    <w:p w14:paraId="3DA65D0D" w14:textId="52B2EC79" w:rsidR="008A4F10" w:rsidRDefault="008A4F10" w:rsidP="008A4F10">
      <w:pPr>
        <w:pStyle w:val="ListParagraph"/>
        <w:keepLines w:val="0"/>
        <w:spacing w:before="120" w:after="200" w:line="360" w:lineRule="auto"/>
        <w:ind w:left="426"/>
        <w:rPr>
          <w:rFonts w:asciiTheme="majorHAnsi" w:hAnsiTheme="majorHAnsi" w:cs="Arial"/>
          <w:szCs w:val="18"/>
        </w:rPr>
      </w:pPr>
      <w:r>
        <w:rPr>
          <w:rFonts w:asciiTheme="majorHAnsi" w:hAnsiTheme="majorHAnsi" w:cs="Arial"/>
          <w:szCs w:val="18"/>
        </w:rPr>
        <w:t xml:space="preserve">The </w:t>
      </w:r>
      <w:r w:rsidRPr="00E36A19">
        <w:rPr>
          <w:rFonts w:asciiTheme="majorHAnsi" w:hAnsiTheme="majorHAnsi" w:cs="Arial"/>
          <w:szCs w:val="18"/>
        </w:rPr>
        <w:t xml:space="preserve">worksheets </w:t>
      </w:r>
      <w:r w:rsidRPr="008A4F10">
        <w:rPr>
          <w:rFonts w:asciiTheme="majorHAnsi" w:hAnsiTheme="majorHAnsi" w:cs="Arial"/>
          <w:szCs w:val="18"/>
        </w:rPr>
        <w:t>“IRRBB measures – N</w:t>
      </w:r>
      <w:r>
        <w:rPr>
          <w:rFonts w:asciiTheme="majorHAnsi" w:hAnsiTheme="majorHAnsi" w:cs="Arial"/>
          <w:szCs w:val="18"/>
        </w:rPr>
        <w:t xml:space="preserve"> version”</w:t>
      </w:r>
      <w:r w:rsidRPr="008A4F10">
        <w:rPr>
          <w:rFonts w:asciiTheme="majorHAnsi" w:hAnsiTheme="majorHAnsi" w:cs="Arial"/>
          <w:szCs w:val="18"/>
        </w:rPr>
        <w:t xml:space="preserve"> and “IRRBB measures – C version”</w:t>
      </w:r>
      <w:r>
        <w:rPr>
          <w:rFonts w:asciiTheme="majorHAnsi" w:hAnsiTheme="majorHAnsi" w:cs="Arial"/>
          <w:szCs w:val="18"/>
        </w:rPr>
        <w:t xml:space="preserve"> </w:t>
      </w:r>
      <w:r w:rsidRPr="00E36A19">
        <w:rPr>
          <w:rFonts w:asciiTheme="majorHAnsi" w:hAnsiTheme="majorHAnsi" w:cs="Arial"/>
          <w:szCs w:val="18"/>
        </w:rPr>
        <w:t xml:space="preserve">are used for gathering information regarding the institution’s IRRBB measures. </w:t>
      </w:r>
      <w:r w:rsidRPr="008A4F10">
        <w:rPr>
          <w:rFonts w:asciiTheme="majorHAnsi" w:hAnsiTheme="majorHAnsi" w:cs="Arial"/>
          <w:szCs w:val="18"/>
        </w:rPr>
        <w:t>For institutions reporting to the CSSF on an individual basis, the data should only be reported in the worksheet “IRRBB measures – N version”. For institutions reporting to the CSSF also on a consolidated basis, the corresponding data should be reported in both the worksheet “IRRBB measures – N version” and the worksheet “IRRBB measures – C version” respectively.</w:t>
      </w:r>
    </w:p>
    <w:p w14:paraId="463937A5" w14:textId="2BB39F84" w:rsidR="0080619F" w:rsidRPr="00FF1079" w:rsidRDefault="00FF1079" w:rsidP="00FF1079">
      <w:pPr>
        <w:pStyle w:val="ListParagraph"/>
        <w:keepLines w:val="0"/>
        <w:spacing w:before="120" w:after="200" w:line="360" w:lineRule="auto"/>
        <w:ind w:left="426"/>
        <w:rPr>
          <w:rFonts w:asciiTheme="majorHAnsi" w:hAnsiTheme="majorHAnsi" w:cs="Arial"/>
          <w:szCs w:val="18"/>
        </w:rPr>
      </w:pPr>
      <w:r>
        <w:rPr>
          <w:rFonts w:asciiTheme="majorHAnsi" w:hAnsiTheme="majorHAnsi" w:cs="Arial"/>
          <w:szCs w:val="18"/>
        </w:rPr>
        <w:t>O</w:t>
      </w:r>
      <w:r w:rsidR="00E22C64" w:rsidRPr="00E22C64">
        <w:rPr>
          <w:rFonts w:asciiTheme="majorHAnsi" w:hAnsiTheme="majorHAnsi" w:cs="Arial"/>
          <w:szCs w:val="18"/>
        </w:rPr>
        <w:t>utlier institutions are required to answer a few questions included in the templates “IRRBB outlier questions - N” on an individual basis and “IRRBB outlier questions - C” on a consolidated basis</w:t>
      </w:r>
      <w:r>
        <w:rPr>
          <w:rFonts w:asciiTheme="majorHAnsi" w:hAnsiTheme="majorHAnsi" w:cs="Arial"/>
          <w:szCs w:val="18"/>
        </w:rPr>
        <w:t>, as described in the paragraph 56 of these instructions</w:t>
      </w:r>
      <w:r w:rsidR="00E22C64" w:rsidRPr="00E22C64">
        <w:rPr>
          <w:rFonts w:asciiTheme="majorHAnsi" w:hAnsiTheme="majorHAnsi" w:cs="Arial"/>
          <w:szCs w:val="18"/>
        </w:rPr>
        <w:t>.</w:t>
      </w:r>
      <w:r>
        <w:rPr>
          <w:rFonts w:asciiTheme="majorHAnsi" w:hAnsiTheme="majorHAnsi" w:cs="Arial"/>
          <w:szCs w:val="18"/>
        </w:rPr>
        <w:t xml:space="preserve"> </w:t>
      </w:r>
      <w:r w:rsidRPr="00E36A19">
        <w:rPr>
          <w:rFonts w:asciiTheme="majorHAnsi" w:hAnsiTheme="majorHAnsi" w:cs="Arial"/>
          <w:szCs w:val="18"/>
        </w:rPr>
        <w:t>Non-outlier institutions could a</w:t>
      </w:r>
      <w:r>
        <w:rPr>
          <w:rFonts w:asciiTheme="majorHAnsi" w:hAnsiTheme="majorHAnsi" w:cs="Arial"/>
          <w:szCs w:val="18"/>
        </w:rPr>
        <w:t>lso be requested to complete this</w:t>
      </w:r>
      <w:r w:rsidRPr="00E36A19">
        <w:rPr>
          <w:rFonts w:asciiTheme="majorHAnsi" w:hAnsiTheme="majorHAnsi" w:cs="Arial"/>
          <w:szCs w:val="18"/>
        </w:rPr>
        <w:t xml:space="preserve"> te</w:t>
      </w:r>
      <w:r>
        <w:rPr>
          <w:rFonts w:asciiTheme="majorHAnsi" w:hAnsiTheme="majorHAnsi" w:cs="Arial"/>
          <w:szCs w:val="18"/>
        </w:rPr>
        <w:t>mplate</w:t>
      </w:r>
      <w:r w:rsidRPr="00E36A19">
        <w:rPr>
          <w:rFonts w:asciiTheme="majorHAnsi" w:hAnsiTheme="majorHAnsi" w:cs="Arial"/>
          <w:szCs w:val="18"/>
        </w:rPr>
        <w:t xml:space="preserve"> on an individual basis or on a consolidated basis upon a specific request from the CSSF.</w:t>
      </w:r>
    </w:p>
    <w:p w14:paraId="783C7C78" w14:textId="77777777" w:rsidR="00E36A19" w:rsidRPr="00E36A19" w:rsidRDefault="00E36A19" w:rsidP="00E36A19">
      <w:pPr>
        <w:rPr>
          <w:rFonts w:asciiTheme="majorHAnsi" w:hAnsiTheme="majorHAnsi" w:cs="Arial"/>
          <w:szCs w:val="18"/>
        </w:rPr>
      </w:pPr>
    </w:p>
    <w:p w14:paraId="43800E8A" w14:textId="58E899EF" w:rsidR="00E36A19" w:rsidRPr="00E36A19" w:rsidRDefault="00E36A19" w:rsidP="00E36A19">
      <w:pPr>
        <w:pStyle w:val="Heading1"/>
        <w:keepLines w:val="0"/>
        <w:numPr>
          <w:ilvl w:val="0"/>
          <w:numId w:val="3"/>
        </w:numPr>
        <w:tabs>
          <w:tab w:val="num" w:pos="567"/>
          <w:tab w:val="left" w:pos="851"/>
          <w:tab w:val="right" w:pos="9356"/>
        </w:tabs>
        <w:spacing w:before="120" w:line="360" w:lineRule="auto"/>
        <w:ind w:left="567" w:hanging="567"/>
        <w:jc w:val="both"/>
        <w:rPr>
          <w:rFonts w:asciiTheme="majorHAnsi" w:eastAsia="Times New Roman" w:hAnsiTheme="majorHAnsi" w:cs="Arial"/>
          <w:kern w:val="28"/>
          <w:sz w:val="18"/>
          <w:szCs w:val="18"/>
          <w:lang w:eastAsia="en-GB"/>
        </w:rPr>
      </w:pPr>
      <w:bookmarkStart w:id="20" w:name="_Toc518916491"/>
      <w:bookmarkStart w:id="21" w:name="_Toc57707663"/>
      <w:bookmarkStart w:id="22" w:name="_Toc57976556"/>
      <w:proofErr w:type="spellStart"/>
      <w:r w:rsidRPr="00E36A19">
        <w:rPr>
          <w:rFonts w:asciiTheme="majorHAnsi" w:eastAsia="Times New Roman" w:hAnsiTheme="majorHAnsi" w:cs="Arial"/>
          <w:kern w:val="28"/>
          <w:sz w:val="18"/>
          <w:szCs w:val="18"/>
          <w:lang w:eastAsia="en-GB"/>
        </w:rPr>
        <w:t>Specific</w:t>
      </w:r>
      <w:proofErr w:type="spellEnd"/>
      <w:r w:rsidRPr="00E36A19">
        <w:rPr>
          <w:rFonts w:asciiTheme="majorHAnsi" w:eastAsia="Times New Roman" w:hAnsiTheme="majorHAnsi" w:cs="Arial"/>
          <w:kern w:val="28"/>
          <w:sz w:val="18"/>
          <w:szCs w:val="18"/>
          <w:lang w:eastAsia="en-GB"/>
        </w:rPr>
        <w:t xml:space="preserve"> instructions</w:t>
      </w:r>
      <w:bookmarkEnd w:id="20"/>
      <w:bookmarkEnd w:id="21"/>
      <w:bookmarkEnd w:id="22"/>
    </w:p>
    <w:p w14:paraId="22BAA338" w14:textId="77777777" w:rsidR="00E36A19" w:rsidRPr="00FF1079" w:rsidRDefault="00E36A19" w:rsidP="00A32D9E">
      <w:pPr>
        <w:pStyle w:val="Heading2"/>
        <w:numPr>
          <w:ilvl w:val="0"/>
          <w:numId w:val="0"/>
        </w:numPr>
        <w:spacing w:before="120" w:line="360" w:lineRule="auto"/>
        <w:ind w:left="680"/>
        <w:rPr>
          <w:rFonts w:asciiTheme="majorHAnsi" w:hAnsiTheme="majorHAnsi" w:cs="Arial"/>
          <w:sz w:val="18"/>
          <w:szCs w:val="18"/>
        </w:rPr>
      </w:pPr>
      <w:bookmarkStart w:id="23" w:name="_Toc518916492"/>
      <w:bookmarkStart w:id="24" w:name="_Toc57707664"/>
      <w:bookmarkStart w:id="25" w:name="_Toc57976557"/>
      <w:r w:rsidRPr="00FF1079">
        <w:rPr>
          <w:rFonts w:asciiTheme="majorHAnsi" w:hAnsiTheme="majorHAnsi" w:cs="Arial"/>
          <w:sz w:val="18"/>
          <w:szCs w:val="18"/>
        </w:rPr>
        <w:t>“Identification”</w:t>
      </w:r>
      <w:bookmarkEnd w:id="23"/>
      <w:r w:rsidRPr="00FF1079">
        <w:rPr>
          <w:rFonts w:asciiTheme="majorHAnsi" w:hAnsiTheme="majorHAnsi" w:cs="Arial"/>
          <w:sz w:val="18"/>
          <w:szCs w:val="18"/>
        </w:rPr>
        <w:t xml:space="preserve"> worksheet</w:t>
      </w:r>
      <w:bookmarkEnd w:id="24"/>
      <w:bookmarkEnd w:id="25"/>
    </w:p>
    <w:p w14:paraId="6D146213"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This worksheet is used for the identification of the institution and associated general information necessary on the reporting data conventions. All yellow cells should be filled with the relevant data. None of the yellow cells should be left blank and zeros (“0”) are reported only when the underlying value actually is zero.</w:t>
      </w:r>
    </w:p>
    <w:p w14:paraId="42035EB9"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The following cells are to be completed with the following information:</w:t>
      </w:r>
    </w:p>
    <w:p w14:paraId="1655C7BC" w14:textId="77777777" w:rsidR="00E36A19" w:rsidRPr="00E36A19" w:rsidRDefault="00E36A19" w:rsidP="00E36A19">
      <w:pPr>
        <w:pStyle w:val="ListParagraph"/>
        <w:keepLines w:val="0"/>
        <w:numPr>
          <w:ilvl w:val="1"/>
          <w:numId w:val="4"/>
        </w:numPr>
        <w:spacing w:before="120" w:after="200" w:line="360" w:lineRule="auto"/>
        <w:rPr>
          <w:rFonts w:asciiTheme="majorHAnsi" w:hAnsiTheme="majorHAnsi" w:cs="Arial"/>
          <w:szCs w:val="18"/>
        </w:rPr>
      </w:pPr>
      <w:r w:rsidRPr="00E36A19">
        <w:rPr>
          <w:rFonts w:asciiTheme="majorHAnsi" w:hAnsiTheme="majorHAnsi" w:cs="Arial"/>
          <w:szCs w:val="18"/>
        </w:rPr>
        <w:t>Cell C6: “Institution identifier code: (NOSIG)”; the identifier code (NOSIG) should be reported with four digits (e.g. institution number “999” should be reported as “0999”);</w:t>
      </w:r>
    </w:p>
    <w:p w14:paraId="73DC39AE" w14:textId="77777777" w:rsidR="00E36A19" w:rsidRPr="00E36A19" w:rsidRDefault="00E36A19" w:rsidP="00E36A19">
      <w:pPr>
        <w:pStyle w:val="ListParagraph"/>
        <w:keepLines w:val="0"/>
        <w:numPr>
          <w:ilvl w:val="1"/>
          <w:numId w:val="4"/>
        </w:numPr>
        <w:spacing w:before="120" w:after="200" w:line="360" w:lineRule="auto"/>
        <w:rPr>
          <w:rFonts w:asciiTheme="majorHAnsi" w:hAnsiTheme="majorHAnsi" w:cs="Arial"/>
          <w:szCs w:val="18"/>
        </w:rPr>
      </w:pPr>
      <w:r w:rsidRPr="00E36A19">
        <w:rPr>
          <w:rFonts w:asciiTheme="majorHAnsi" w:hAnsiTheme="majorHAnsi" w:cs="Arial"/>
          <w:szCs w:val="18"/>
        </w:rPr>
        <w:t>Cell C8: “Institution: (name)”; the full name of the institution should be reported;</w:t>
      </w:r>
    </w:p>
    <w:p w14:paraId="629DC5DD" w14:textId="77777777" w:rsidR="00E36A19" w:rsidRPr="00E36A19" w:rsidRDefault="00E36A19" w:rsidP="00E36A19">
      <w:pPr>
        <w:pStyle w:val="ListParagraph"/>
        <w:keepLines w:val="0"/>
        <w:numPr>
          <w:ilvl w:val="1"/>
          <w:numId w:val="4"/>
        </w:numPr>
        <w:spacing w:before="120" w:after="200" w:line="360" w:lineRule="auto"/>
        <w:rPr>
          <w:rFonts w:asciiTheme="majorHAnsi" w:hAnsiTheme="majorHAnsi" w:cs="Arial"/>
          <w:szCs w:val="18"/>
        </w:rPr>
      </w:pPr>
      <w:r w:rsidRPr="00E36A19">
        <w:rPr>
          <w:rFonts w:asciiTheme="majorHAnsi" w:hAnsiTheme="majorHAnsi" w:cs="Arial"/>
          <w:szCs w:val="18"/>
        </w:rPr>
        <w:lastRenderedPageBreak/>
        <w:t>Cell C10: “Contact person: (name)”; first name and family name of the contact person responsible for the IRRBB reporting worksheet at the reporting institution;</w:t>
      </w:r>
    </w:p>
    <w:p w14:paraId="59BCA0A7" w14:textId="77777777" w:rsidR="00E36A19" w:rsidRPr="00E36A19" w:rsidRDefault="00E36A19" w:rsidP="00E36A19">
      <w:pPr>
        <w:pStyle w:val="ListParagraph"/>
        <w:keepLines w:val="0"/>
        <w:numPr>
          <w:ilvl w:val="1"/>
          <w:numId w:val="4"/>
        </w:numPr>
        <w:spacing w:before="120" w:after="200" w:line="360" w:lineRule="auto"/>
        <w:rPr>
          <w:rFonts w:asciiTheme="majorHAnsi" w:hAnsiTheme="majorHAnsi" w:cs="Arial"/>
          <w:szCs w:val="18"/>
        </w:rPr>
      </w:pPr>
      <w:r w:rsidRPr="00E36A19">
        <w:rPr>
          <w:rFonts w:asciiTheme="majorHAnsi" w:hAnsiTheme="majorHAnsi" w:cs="Arial"/>
          <w:szCs w:val="18"/>
        </w:rPr>
        <w:t>Cell C12: “Contact person: (phone number)”; the contact person’s (as reported in C10) phone number should include the country code (i.e. “+352”) and the full extension (with separator or hyphenation);</w:t>
      </w:r>
    </w:p>
    <w:p w14:paraId="346BF9B1" w14:textId="77777777" w:rsidR="00E36A19" w:rsidRPr="00E36A19" w:rsidRDefault="00E36A19" w:rsidP="00E36A19">
      <w:pPr>
        <w:pStyle w:val="ListParagraph"/>
        <w:keepLines w:val="0"/>
        <w:numPr>
          <w:ilvl w:val="1"/>
          <w:numId w:val="4"/>
        </w:numPr>
        <w:spacing w:before="120" w:after="200" w:line="360" w:lineRule="auto"/>
        <w:rPr>
          <w:rFonts w:asciiTheme="majorHAnsi" w:hAnsiTheme="majorHAnsi" w:cs="Arial"/>
          <w:szCs w:val="18"/>
        </w:rPr>
      </w:pPr>
      <w:r w:rsidRPr="00E36A19">
        <w:rPr>
          <w:rFonts w:asciiTheme="majorHAnsi" w:hAnsiTheme="majorHAnsi" w:cs="Arial"/>
          <w:szCs w:val="18"/>
        </w:rPr>
        <w:t>Cell C14: “Contact person: (email)”; the contact person’s (as reported in C10) email address;</w:t>
      </w:r>
    </w:p>
    <w:p w14:paraId="2D56B8AB" w14:textId="77777777" w:rsidR="00E36A19" w:rsidRPr="00E36A19" w:rsidRDefault="00E36A19" w:rsidP="00E36A19">
      <w:pPr>
        <w:pStyle w:val="ListParagraph"/>
        <w:keepLines w:val="0"/>
        <w:numPr>
          <w:ilvl w:val="1"/>
          <w:numId w:val="4"/>
        </w:numPr>
        <w:spacing w:before="120" w:after="200" w:line="360" w:lineRule="auto"/>
        <w:rPr>
          <w:rFonts w:asciiTheme="majorHAnsi" w:hAnsiTheme="majorHAnsi" w:cs="Arial"/>
          <w:szCs w:val="18"/>
        </w:rPr>
      </w:pPr>
      <w:r w:rsidRPr="00E36A19">
        <w:rPr>
          <w:rFonts w:asciiTheme="majorHAnsi" w:hAnsiTheme="majorHAnsi" w:cs="Arial"/>
          <w:szCs w:val="18"/>
        </w:rPr>
        <w:t>Cell C16: “Reference date: T (dd/mm/</w:t>
      </w:r>
      <w:proofErr w:type="spellStart"/>
      <w:r w:rsidRPr="00E36A19">
        <w:rPr>
          <w:rFonts w:asciiTheme="majorHAnsi" w:hAnsiTheme="majorHAnsi" w:cs="Arial"/>
          <w:szCs w:val="18"/>
        </w:rPr>
        <w:t>yyyy</w:t>
      </w:r>
      <w:proofErr w:type="spellEnd"/>
      <w:r w:rsidRPr="00E36A19">
        <w:rPr>
          <w:rFonts w:asciiTheme="majorHAnsi" w:hAnsiTheme="majorHAnsi" w:cs="Arial"/>
          <w:szCs w:val="18"/>
        </w:rPr>
        <w:t>)”; the reporting reference data should be reported using the convention “dd/mm/</w:t>
      </w:r>
      <w:proofErr w:type="spellStart"/>
      <w:r w:rsidRPr="00E36A19">
        <w:rPr>
          <w:rFonts w:asciiTheme="majorHAnsi" w:hAnsiTheme="majorHAnsi" w:cs="Arial"/>
          <w:szCs w:val="18"/>
        </w:rPr>
        <w:t>yyyy</w:t>
      </w:r>
      <w:proofErr w:type="spellEnd"/>
      <w:r w:rsidRPr="00E36A19">
        <w:rPr>
          <w:rFonts w:asciiTheme="majorHAnsi" w:hAnsiTheme="majorHAnsi" w:cs="Arial"/>
          <w:szCs w:val="18"/>
        </w:rPr>
        <w:t>”, where “dd” (two digits) is the day of the month; “mm” (two digits) the month; and “</w:t>
      </w:r>
      <w:proofErr w:type="spellStart"/>
      <w:r w:rsidRPr="00E36A19">
        <w:rPr>
          <w:rFonts w:asciiTheme="majorHAnsi" w:hAnsiTheme="majorHAnsi" w:cs="Arial"/>
          <w:szCs w:val="18"/>
        </w:rPr>
        <w:t>yyyy</w:t>
      </w:r>
      <w:proofErr w:type="spellEnd"/>
      <w:r w:rsidRPr="00E36A19">
        <w:rPr>
          <w:rFonts w:asciiTheme="majorHAnsi" w:hAnsiTheme="majorHAnsi" w:cs="Arial"/>
          <w:szCs w:val="18"/>
        </w:rPr>
        <w:t>” (four digits) the reporting year; e.g. if the reference date is 31 December 2020, cell C16 should be reported as “31/12/2020”;</w:t>
      </w:r>
    </w:p>
    <w:p w14:paraId="72F748E4" w14:textId="77777777" w:rsidR="00E36A19" w:rsidRPr="00E36A19" w:rsidRDefault="00E36A19" w:rsidP="00E36A19">
      <w:pPr>
        <w:pStyle w:val="ListParagraph"/>
        <w:keepLines w:val="0"/>
        <w:numPr>
          <w:ilvl w:val="1"/>
          <w:numId w:val="4"/>
        </w:numPr>
        <w:spacing w:before="120" w:after="200" w:line="360" w:lineRule="auto"/>
        <w:rPr>
          <w:rFonts w:asciiTheme="majorHAnsi" w:hAnsiTheme="majorHAnsi" w:cs="Arial"/>
          <w:szCs w:val="18"/>
        </w:rPr>
      </w:pPr>
      <w:r w:rsidRPr="00E36A19">
        <w:rPr>
          <w:rFonts w:asciiTheme="majorHAnsi" w:hAnsiTheme="majorHAnsi" w:cs="Arial"/>
          <w:szCs w:val="18"/>
        </w:rPr>
        <w:t>Cell C18: “Level of consolidation”: the level of consolidation should be “C” for institutions which report to the CSSF on a consolidated basis and “N” for institutions which report to the CSSF on an individual basis only.</w:t>
      </w:r>
    </w:p>
    <w:p w14:paraId="13B44BB1" w14:textId="77777777" w:rsidR="00E36A19" w:rsidRPr="00E36A19" w:rsidRDefault="00E36A19" w:rsidP="00E36A19">
      <w:pPr>
        <w:pStyle w:val="ListParagraph"/>
        <w:keepLines w:val="0"/>
        <w:numPr>
          <w:ilvl w:val="1"/>
          <w:numId w:val="4"/>
        </w:numPr>
        <w:spacing w:before="120" w:after="200" w:line="360" w:lineRule="auto"/>
        <w:rPr>
          <w:rFonts w:asciiTheme="majorHAnsi" w:hAnsiTheme="majorHAnsi" w:cs="Arial"/>
          <w:szCs w:val="18"/>
        </w:rPr>
      </w:pPr>
      <w:r w:rsidRPr="00E36A19">
        <w:rPr>
          <w:rFonts w:asciiTheme="majorHAnsi" w:hAnsiTheme="majorHAnsi" w:cs="Arial"/>
          <w:szCs w:val="18"/>
        </w:rPr>
        <w:t xml:space="preserve">Cell C20; “Reporting currency”: the reporting currency as defined in paragraph </w:t>
      </w:r>
      <w:r w:rsidRPr="00E36A19">
        <w:rPr>
          <w:rFonts w:asciiTheme="majorHAnsi" w:hAnsiTheme="majorHAnsi" w:cs="Arial"/>
          <w:szCs w:val="18"/>
        </w:rPr>
        <w:fldChar w:fldCharType="begin"/>
      </w:r>
      <w:r w:rsidRPr="00E36A19">
        <w:rPr>
          <w:rFonts w:asciiTheme="majorHAnsi" w:hAnsiTheme="majorHAnsi" w:cs="Arial"/>
          <w:szCs w:val="18"/>
        </w:rPr>
        <w:instrText xml:space="preserve"> REF _Ref25059678 \r \h  \* MERGEFORMAT </w:instrText>
      </w:r>
      <w:r w:rsidRPr="00E36A19">
        <w:rPr>
          <w:rFonts w:asciiTheme="majorHAnsi" w:hAnsiTheme="majorHAnsi" w:cs="Arial"/>
          <w:szCs w:val="18"/>
        </w:rPr>
      </w:r>
      <w:r w:rsidRPr="00E36A19">
        <w:rPr>
          <w:rFonts w:asciiTheme="majorHAnsi" w:hAnsiTheme="majorHAnsi" w:cs="Arial"/>
          <w:szCs w:val="18"/>
        </w:rPr>
        <w:fldChar w:fldCharType="separate"/>
      </w:r>
      <w:r w:rsidRPr="00E36A19">
        <w:rPr>
          <w:rFonts w:asciiTheme="majorHAnsi" w:hAnsiTheme="majorHAnsi" w:cs="Arial"/>
          <w:szCs w:val="18"/>
        </w:rPr>
        <w:t>8</w:t>
      </w:r>
      <w:r w:rsidRPr="00E36A19">
        <w:rPr>
          <w:rFonts w:asciiTheme="majorHAnsi" w:hAnsiTheme="majorHAnsi" w:cs="Arial"/>
          <w:szCs w:val="18"/>
        </w:rPr>
        <w:fldChar w:fldCharType="end"/>
      </w:r>
      <w:r w:rsidRPr="00E36A19">
        <w:rPr>
          <w:rFonts w:asciiTheme="majorHAnsi" w:hAnsiTheme="majorHAnsi" w:cs="Arial"/>
          <w:szCs w:val="18"/>
        </w:rPr>
        <w:t xml:space="preserve"> using the corresponding ISO codes.</w:t>
      </w:r>
    </w:p>
    <w:p w14:paraId="06C87855"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This worksheet also includes an overview on the material currencies for which the institution has interest-rate sensitive banking book items. EBA/GL/2018/02 refers in paragraph 92 that “</w:t>
      </w:r>
      <w:r w:rsidRPr="00E36A19">
        <w:rPr>
          <w:rFonts w:asciiTheme="majorHAnsi" w:hAnsiTheme="majorHAnsi" w:cs="Arial"/>
          <w:i/>
          <w:szCs w:val="18"/>
        </w:rPr>
        <w:t>Institutions should assess exposures in each currency in which they have positions</w:t>
      </w:r>
      <w:r w:rsidRPr="00E36A19">
        <w:rPr>
          <w:rFonts w:asciiTheme="majorHAnsi" w:hAnsiTheme="majorHAnsi" w:cs="Arial"/>
          <w:szCs w:val="18"/>
        </w:rPr>
        <w:t>”. Regarding the computation of the supervisory outlier test in paragraphs 113 and 114, paragraph 115(l) of the EBA/GL/2018/02 states, that “</w:t>
      </w:r>
      <w:r w:rsidRPr="00E36A19">
        <w:rPr>
          <w:rFonts w:asciiTheme="majorHAnsi" w:hAnsiTheme="majorHAnsi" w:cs="Arial"/>
          <w:i/>
          <w:szCs w:val="18"/>
        </w:rPr>
        <w:t>institutions should calculate the change in EVE at least for each currency where the assets or liabilities denominated in that currency amount to 5% or more of the total non-trading book financial assets (excluding tangible assets) or liabilities, or less than 5% if the sum of assets or liabilities included in the calculation is lower than 90% of total non-trading book financial assets (excluding tangible assets) or liabilities (material positions)</w:t>
      </w:r>
      <w:r w:rsidRPr="00E36A19">
        <w:rPr>
          <w:rFonts w:asciiTheme="majorHAnsi" w:hAnsiTheme="majorHAnsi" w:cs="Arial"/>
          <w:szCs w:val="18"/>
        </w:rPr>
        <w:t>”. For the purpose of the IRRBB reporting template, a currency is thus considered material if an institution computes the change in EVE for the exposures denominated in that currency according to the paragraph 115(l) of the EBA/GL/2018/02.</w:t>
      </w:r>
    </w:p>
    <w:p w14:paraId="53BCFCBD" w14:textId="1D067D88"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Consequently, institutions should first identify their respective four most material currencies to be reported in cells C22 to C25 (using the dropdown list with the currency ISO codes), ranked in accordance with the formula set out in paragraph </w:t>
      </w:r>
      <w:r w:rsidRPr="00E36A19">
        <w:rPr>
          <w:rFonts w:asciiTheme="majorHAnsi" w:hAnsiTheme="majorHAnsi" w:cs="Arial"/>
          <w:szCs w:val="18"/>
        </w:rPr>
        <w:lastRenderedPageBreak/>
        <w:fldChar w:fldCharType="begin"/>
      </w:r>
      <w:r w:rsidRPr="00E36A19">
        <w:rPr>
          <w:rFonts w:asciiTheme="majorHAnsi" w:hAnsiTheme="majorHAnsi" w:cs="Arial"/>
          <w:szCs w:val="18"/>
        </w:rPr>
        <w:instrText xml:space="preserve"> REF _Ref24984909 \r \h  \* MERGEFORMAT </w:instrText>
      </w:r>
      <w:r w:rsidRPr="00E36A19">
        <w:rPr>
          <w:rFonts w:asciiTheme="majorHAnsi" w:hAnsiTheme="majorHAnsi" w:cs="Arial"/>
          <w:szCs w:val="18"/>
        </w:rPr>
      </w:r>
      <w:r w:rsidRPr="00E36A19">
        <w:rPr>
          <w:rFonts w:asciiTheme="majorHAnsi" w:hAnsiTheme="majorHAnsi" w:cs="Arial"/>
          <w:szCs w:val="18"/>
        </w:rPr>
        <w:fldChar w:fldCharType="separate"/>
      </w:r>
      <w:r w:rsidRPr="00E36A19">
        <w:rPr>
          <w:rFonts w:asciiTheme="majorHAnsi" w:hAnsiTheme="majorHAnsi" w:cs="Arial"/>
          <w:szCs w:val="18"/>
        </w:rPr>
        <w:t>19</w:t>
      </w:r>
      <w:r w:rsidRPr="00E36A19">
        <w:rPr>
          <w:rFonts w:asciiTheme="majorHAnsi" w:hAnsiTheme="majorHAnsi" w:cs="Arial"/>
          <w:szCs w:val="18"/>
        </w:rPr>
        <w:fldChar w:fldCharType="end"/>
      </w:r>
      <w:r w:rsidRPr="00E36A19">
        <w:rPr>
          <w:rFonts w:asciiTheme="majorHAnsi" w:hAnsiTheme="majorHAnsi" w:cs="Arial"/>
          <w:szCs w:val="18"/>
        </w:rPr>
        <w:t>; the respective shares of those currencies in the banking book should be reported in cells D22 to D25 in per cent. If an institution has more than four material currencies, it should select “Other” in the dropdown list in cell C26 and report the aggregate share in per cent of the banking book in cell D26 by summing the outcome of the formula set out in the next paragraph for the material currencies that were not already included in cells C22 to C25.</w:t>
      </w:r>
      <w:r w:rsidRPr="00E36A19">
        <w:rPr>
          <w:rStyle w:val="FootnoteReference"/>
          <w:rFonts w:asciiTheme="majorHAnsi" w:hAnsiTheme="majorHAnsi" w:cs="Arial"/>
          <w:sz w:val="18"/>
          <w:szCs w:val="18"/>
        </w:rPr>
        <w:footnoteReference w:id="2"/>
      </w:r>
      <w:r w:rsidRPr="00E36A19">
        <w:rPr>
          <w:rFonts w:asciiTheme="majorHAnsi" w:hAnsiTheme="majorHAnsi" w:cs="Arial"/>
          <w:szCs w:val="18"/>
        </w:rPr>
        <w:t xml:space="preserve"> If institutions have less than four material currencies, they should apply the “-” option, which is the first item in the dropdown list. As an example, if an institution only has one material currency (e.g. EUR), it should select “EUR” in cell C22 for the Material Currency 1 and its respective share in the banking book (cell D22), and select “-” in the cells C23 to </w:t>
      </w:r>
      <w:r w:rsidR="00684D50" w:rsidRPr="00E36A19">
        <w:rPr>
          <w:rFonts w:asciiTheme="majorHAnsi" w:hAnsiTheme="majorHAnsi" w:cs="Arial"/>
          <w:szCs w:val="18"/>
        </w:rPr>
        <w:t>C2</w:t>
      </w:r>
      <w:r w:rsidR="00684D50">
        <w:rPr>
          <w:rFonts w:asciiTheme="majorHAnsi" w:hAnsiTheme="majorHAnsi" w:cs="Arial"/>
          <w:szCs w:val="18"/>
        </w:rPr>
        <w:t>6</w:t>
      </w:r>
      <w:r w:rsidRPr="00E36A19">
        <w:rPr>
          <w:rFonts w:asciiTheme="majorHAnsi" w:hAnsiTheme="majorHAnsi" w:cs="Arial"/>
          <w:szCs w:val="18"/>
        </w:rPr>
        <w:t>. The corresponding cells in the D column will be automatically blocked (grey cell formatting).</w:t>
      </w:r>
    </w:p>
    <w:p w14:paraId="1438D0C7"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bookmarkStart w:id="26" w:name="_Ref24984909"/>
      <w:r w:rsidRPr="00E36A19">
        <w:rPr>
          <w:rFonts w:asciiTheme="majorHAnsi" w:hAnsiTheme="majorHAnsi" w:cs="Arial"/>
          <w:szCs w:val="18"/>
        </w:rPr>
        <w:t>In order to compute the share of banking book covered under the specific currency, the formula below must be applied (where BB=interest-rate sensitive banking book elements):</w:t>
      </w:r>
      <w:bookmarkEnd w:id="26"/>
    </w:p>
    <w:p w14:paraId="62AE2E45" w14:textId="77777777" w:rsidR="00E36A19" w:rsidRPr="00E36A19" w:rsidRDefault="00342063" w:rsidP="00E36A19">
      <w:pPr>
        <w:spacing w:before="120" w:line="360" w:lineRule="auto"/>
        <w:rPr>
          <w:rFonts w:asciiTheme="majorHAnsi" w:hAnsiTheme="majorHAnsi" w:cs="Arial"/>
          <w:szCs w:val="18"/>
        </w:rPr>
      </w:pPr>
      <m:oMathPara>
        <m:oMath>
          <m:f>
            <m:fPr>
              <m:ctrlPr>
                <w:rPr>
                  <w:rFonts w:ascii="Cambria Math" w:hAnsi="Cambria Math" w:cs="Arial"/>
                  <w:i/>
                  <w:szCs w:val="18"/>
                </w:rPr>
              </m:ctrlPr>
            </m:fPr>
            <m:num>
              <m:r>
                <w:rPr>
                  <w:rFonts w:ascii="Cambria Math" w:hAnsi="Cambria Math" w:cs="Arial"/>
                  <w:szCs w:val="18"/>
                </w:rPr>
                <m:t xml:space="preserve">BB  assets and liabilities denominated in material currency </m:t>
              </m:r>
              <m:r>
                <w:rPr>
                  <w:rStyle w:val="FootnoteReference"/>
                  <w:rFonts w:ascii="Cambria Math" w:hAnsi="Cambria Math" w:cs="Arial"/>
                  <w:i/>
                  <w:sz w:val="18"/>
                  <w:szCs w:val="18"/>
                </w:rPr>
                <w:footnoteReference w:id="3"/>
              </m:r>
              <m:r>
                <w:rPr>
                  <w:rFonts w:ascii="Cambria Math" w:hAnsi="Cambria Math" w:cs="Arial"/>
                  <w:szCs w:val="18"/>
                </w:rPr>
                <m:t xml:space="preserve"> </m:t>
              </m:r>
            </m:num>
            <m:den>
              <m:r>
                <w:rPr>
                  <w:rFonts w:ascii="Cambria Math" w:hAnsi="Cambria Math" w:cs="Arial"/>
                  <w:szCs w:val="18"/>
                </w:rPr>
                <m:t xml:space="preserve">Total BB assets and liabilites </m:t>
              </m:r>
            </m:den>
          </m:f>
        </m:oMath>
      </m:oMathPara>
    </w:p>
    <w:p w14:paraId="4F31EDF3"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This worksheet also includes a text box “Additional comments” in cell C31 which institutions should use to include comments on the following:</w:t>
      </w:r>
    </w:p>
    <w:p w14:paraId="498257CC" w14:textId="77777777" w:rsidR="00E36A19" w:rsidRPr="00E36A19" w:rsidRDefault="00E36A19" w:rsidP="00E36A19">
      <w:pPr>
        <w:pStyle w:val="ListParagraph"/>
        <w:keepLines w:val="0"/>
        <w:numPr>
          <w:ilvl w:val="1"/>
          <w:numId w:val="8"/>
        </w:numPr>
        <w:spacing w:before="120" w:after="200" w:line="360" w:lineRule="auto"/>
        <w:rPr>
          <w:rFonts w:asciiTheme="majorHAnsi" w:hAnsiTheme="majorHAnsi" w:cs="Arial"/>
          <w:szCs w:val="18"/>
        </w:rPr>
      </w:pPr>
      <w:r w:rsidRPr="00E36A19">
        <w:rPr>
          <w:rFonts w:asciiTheme="majorHAnsi" w:hAnsiTheme="majorHAnsi" w:cs="Arial"/>
          <w:szCs w:val="18"/>
        </w:rPr>
        <w:t>treatment of commercial margins: institutions should clarify if commercial margins and other spread components have been excluded in the computation of the</w:t>
      </w:r>
      <w:r w:rsidRPr="00E36A19">
        <w:rPr>
          <w:rFonts w:asciiTheme="majorHAnsi" w:hAnsiTheme="majorHAnsi"/>
          <w:szCs w:val="18"/>
        </w:rPr>
        <w:t xml:space="preserve"> </w:t>
      </w:r>
      <w:r w:rsidRPr="00E36A19">
        <w:rPr>
          <w:rFonts w:asciiTheme="majorHAnsi" w:hAnsiTheme="majorHAnsi" w:cs="Arial"/>
          <w:szCs w:val="18"/>
        </w:rPr>
        <w:t>interest rate payments for the change in EVE;</w:t>
      </w:r>
    </w:p>
    <w:p w14:paraId="286F02C1" w14:textId="77777777" w:rsidR="00E36A19" w:rsidRPr="00E36A19" w:rsidRDefault="00E36A19" w:rsidP="00E36A19">
      <w:pPr>
        <w:pStyle w:val="ListParagraph"/>
        <w:keepLines w:val="0"/>
        <w:numPr>
          <w:ilvl w:val="1"/>
          <w:numId w:val="8"/>
        </w:numPr>
        <w:spacing w:before="120" w:after="200" w:line="360" w:lineRule="auto"/>
        <w:rPr>
          <w:rFonts w:asciiTheme="majorHAnsi" w:hAnsiTheme="majorHAnsi" w:cs="Arial"/>
          <w:szCs w:val="18"/>
        </w:rPr>
      </w:pPr>
      <w:r w:rsidRPr="00E36A19">
        <w:rPr>
          <w:rFonts w:asciiTheme="majorHAnsi" w:hAnsiTheme="majorHAnsi" w:cs="Arial"/>
          <w:szCs w:val="18"/>
        </w:rPr>
        <w:t>when any section of the instructions requires the institutions to do so (e.g. benchmark rates used);</w:t>
      </w:r>
    </w:p>
    <w:p w14:paraId="435DAAFE" w14:textId="66A350B4" w:rsidR="00E36A19" w:rsidRPr="00960177" w:rsidRDefault="00E36A19" w:rsidP="00960177">
      <w:pPr>
        <w:pStyle w:val="ListParagraph"/>
        <w:keepLines w:val="0"/>
        <w:numPr>
          <w:ilvl w:val="1"/>
          <w:numId w:val="8"/>
        </w:numPr>
        <w:spacing w:before="120" w:after="200" w:line="360" w:lineRule="auto"/>
        <w:rPr>
          <w:rFonts w:asciiTheme="majorHAnsi" w:hAnsiTheme="majorHAnsi" w:cs="Arial"/>
          <w:szCs w:val="18"/>
        </w:rPr>
      </w:pPr>
      <w:r w:rsidRPr="00E36A19">
        <w:rPr>
          <w:rFonts w:asciiTheme="majorHAnsi" w:hAnsiTheme="majorHAnsi" w:cs="Arial"/>
          <w:szCs w:val="18"/>
        </w:rPr>
        <w:t>where relevant, to provide any additional material information regarding IRRBB and which have not been captured/included by the current reporting templates (e.g. inclusion of interest payments, etc.).</w:t>
      </w:r>
    </w:p>
    <w:p w14:paraId="7B75A36B" w14:textId="77777777" w:rsidR="00E36A19" w:rsidRPr="00E36A19" w:rsidRDefault="00E36A19" w:rsidP="00A32D9E">
      <w:pPr>
        <w:pStyle w:val="Heading2"/>
        <w:numPr>
          <w:ilvl w:val="0"/>
          <w:numId w:val="0"/>
        </w:numPr>
        <w:spacing w:before="120" w:line="360" w:lineRule="auto"/>
        <w:ind w:left="720"/>
        <w:rPr>
          <w:rFonts w:asciiTheme="majorHAnsi" w:hAnsiTheme="majorHAnsi" w:cs="Arial"/>
          <w:sz w:val="18"/>
          <w:szCs w:val="18"/>
        </w:rPr>
      </w:pPr>
      <w:bookmarkStart w:id="27" w:name="_Ref459821134"/>
      <w:bookmarkStart w:id="28" w:name="_Ref459877467"/>
      <w:bookmarkStart w:id="29" w:name="_Ref459877469"/>
      <w:bookmarkStart w:id="30" w:name="_Toc518916495"/>
      <w:bookmarkStart w:id="31" w:name="_Toc57707665"/>
      <w:bookmarkStart w:id="32" w:name="_Toc57976558"/>
      <w:r w:rsidRPr="00E36A19">
        <w:rPr>
          <w:rFonts w:asciiTheme="majorHAnsi" w:hAnsiTheme="majorHAnsi" w:cs="Arial"/>
          <w:sz w:val="18"/>
          <w:szCs w:val="18"/>
        </w:rPr>
        <w:lastRenderedPageBreak/>
        <w:t>“IRRBB measures – N version”</w:t>
      </w:r>
      <w:bookmarkEnd w:id="27"/>
      <w:bookmarkEnd w:id="28"/>
      <w:bookmarkEnd w:id="29"/>
      <w:bookmarkEnd w:id="30"/>
      <w:r w:rsidRPr="00E36A19">
        <w:rPr>
          <w:rFonts w:asciiTheme="majorHAnsi" w:hAnsiTheme="majorHAnsi" w:cs="Arial"/>
          <w:sz w:val="18"/>
          <w:szCs w:val="18"/>
        </w:rPr>
        <w:t xml:space="preserve"> and “IRRBB measures – C version” worksheets</w:t>
      </w:r>
      <w:bookmarkEnd w:id="31"/>
      <w:bookmarkEnd w:id="32"/>
    </w:p>
    <w:p w14:paraId="6B0B3535"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These worksheets are used for gathering information regarding the institution’s IRRBB measures. </w:t>
      </w:r>
    </w:p>
    <w:p w14:paraId="28051D7A" w14:textId="1D0A8C92" w:rsidR="00E36A19" w:rsidRPr="00E36A19" w:rsidRDefault="00E36A19" w:rsidP="00E36A19">
      <w:pPr>
        <w:pStyle w:val="ListParagraph"/>
        <w:spacing w:before="120" w:line="360" w:lineRule="auto"/>
        <w:ind w:left="426"/>
        <w:rPr>
          <w:rFonts w:asciiTheme="majorHAnsi" w:hAnsiTheme="majorHAnsi" w:cs="Arial"/>
          <w:szCs w:val="18"/>
        </w:rPr>
      </w:pPr>
      <w:r w:rsidRPr="00E36A19">
        <w:rPr>
          <w:rFonts w:asciiTheme="majorHAnsi" w:hAnsiTheme="majorHAnsi" w:cs="Arial"/>
          <w:szCs w:val="18"/>
        </w:rPr>
        <w:t>The data should be reported in the worksheet “IRRBB measures – N version” on an individual basis and “IRRBB measures – C version” on a consolidated basis for institutions which report to the CSSF on a consolidated basis. For institutions report</w:t>
      </w:r>
      <w:r w:rsidR="00F23EF9">
        <w:rPr>
          <w:rFonts w:asciiTheme="majorHAnsi" w:hAnsiTheme="majorHAnsi" w:cs="Arial"/>
          <w:szCs w:val="18"/>
        </w:rPr>
        <w:t>ing</w:t>
      </w:r>
      <w:r w:rsidRPr="00E36A19">
        <w:rPr>
          <w:rFonts w:asciiTheme="majorHAnsi" w:hAnsiTheme="majorHAnsi" w:cs="Arial"/>
          <w:szCs w:val="18"/>
        </w:rPr>
        <w:t xml:space="preserve"> to the CSSF on an individual basis, the data should only be reported in the worksheet “IRRBB measures – N version”.</w:t>
      </w:r>
      <w:r w:rsidR="00F23EF9">
        <w:rPr>
          <w:rFonts w:asciiTheme="majorHAnsi" w:hAnsiTheme="majorHAnsi" w:cs="Arial"/>
          <w:szCs w:val="18"/>
        </w:rPr>
        <w:t xml:space="preserve"> For institutions reporting </w:t>
      </w:r>
      <w:r w:rsidR="00F23EF9" w:rsidRPr="00E36A19">
        <w:rPr>
          <w:rFonts w:asciiTheme="majorHAnsi" w:hAnsiTheme="majorHAnsi" w:cs="Arial"/>
          <w:szCs w:val="18"/>
        </w:rPr>
        <w:t xml:space="preserve">to the CSSF </w:t>
      </w:r>
      <w:r w:rsidR="00F23EF9">
        <w:rPr>
          <w:rFonts w:asciiTheme="majorHAnsi" w:hAnsiTheme="majorHAnsi" w:cs="Arial"/>
          <w:szCs w:val="18"/>
        </w:rPr>
        <w:t xml:space="preserve">also </w:t>
      </w:r>
      <w:r w:rsidR="00F23EF9" w:rsidRPr="00E36A19">
        <w:rPr>
          <w:rFonts w:asciiTheme="majorHAnsi" w:hAnsiTheme="majorHAnsi" w:cs="Arial"/>
          <w:szCs w:val="18"/>
        </w:rPr>
        <w:t xml:space="preserve">on a </w:t>
      </w:r>
      <w:r w:rsidR="00F23EF9">
        <w:rPr>
          <w:rFonts w:asciiTheme="majorHAnsi" w:hAnsiTheme="majorHAnsi" w:cs="Arial"/>
          <w:szCs w:val="18"/>
        </w:rPr>
        <w:t>consolidated</w:t>
      </w:r>
      <w:r w:rsidR="00F23EF9" w:rsidRPr="00E36A19">
        <w:rPr>
          <w:rFonts w:asciiTheme="majorHAnsi" w:hAnsiTheme="majorHAnsi" w:cs="Arial"/>
          <w:szCs w:val="18"/>
        </w:rPr>
        <w:t xml:space="preserve"> basis, the </w:t>
      </w:r>
      <w:r w:rsidR="00F23EF9">
        <w:rPr>
          <w:rFonts w:asciiTheme="majorHAnsi" w:hAnsiTheme="majorHAnsi" w:cs="Arial"/>
          <w:szCs w:val="18"/>
        </w:rPr>
        <w:t xml:space="preserve">corresponding </w:t>
      </w:r>
      <w:r w:rsidR="00F23EF9" w:rsidRPr="00E36A19">
        <w:rPr>
          <w:rFonts w:asciiTheme="majorHAnsi" w:hAnsiTheme="majorHAnsi" w:cs="Arial"/>
          <w:szCs w:val="18"/>
        </w:rPr>
        <w:t xml:space="preserve">data should be reported in </w:t>
      </w:r>
      <w:r w:rsidR="00F23EF9">
        <w:rPr>
          <w:rFonts w:asciiTheme="majorHAnsi" w:hAnsiTheme="majorHAnsi" w:cs="Arial"/>
          <w:szCs w:val="18"/>
        </w:rPr>
        <w:t xml:space="preserve">both </w:t>
      </w:r>
      <w:r w:rsidR="00F23EF9" w:rsidRPr="00E36A19">
        <w:rPr>
          <w:rFonts w:asciiTheme="majorHAnsi" w:hAnsiTheme="majorHAnsi" w:cs="Arial"/>
          <w:szCs w:val="18"/>
        </w:rPr>
        <w:t>the worksheet “IRRBB measures – N version”</w:t>
      </w:r>
      <w:r w:rsidR="00F23EF9">
        <w:rPr>
          <w:rFonts w:asciiTheme="majorHAnsi" w:hAnsiTheme="majorHAnsi" w:cs="Arial"/>
          <w:szCs w:val="18"/>
        </w:rPr>
        <w:t xml:space="preserve"> and the worksheet </w:t>
      </w:r>
      <w:r w:rsidR="00F23EF9" w:rsidRPr="00E36A19">
        <w:rPr>
          <w:rFonts w:asciiTheme="majorHAnsi" w:hAnsiTheme="majorHAnsi" w:cs="Arial"/>
          <w:szCs w:val="18"/>
        </w:rPr>
        <w:t>“IRRBB measures – C version”</w:t>
      </w:r>
      <w:r w:rsidR="00F23EF9">
        <w:rPr>
          <w:rFonts w:asciiTheme="majorHAnsi" w:hAnsiTheme="majorHAnsi" w:cs="Arial"/>
          <w:szCs w:val="18"/>
        </w:rPr>
        <w:t xml:space="preserve"> respectively.</w:t>
      </w:r>
    </w:p>
    <w:p w14:paraId="6748A876"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More specifically, the data points in these worksheets intend to provide an overview of:</w:t>
      </w:r>
    </w:p>
    <w:p w14:paraId="69739A38" w14:textId="77777777" w:rsidR="00E36A19" w:rsidRPr="00E36A19" w:rsidRDefault="00E36A19" w:rsidP="00E36A19">
      <w:pPr>
        <w:pStyle w:val="ListParagraph"/>
        <w:keepLines w:val="0"/>
        <w:numPr>
          <w:ilvl w:val="0"/>
          <w:numId w:val="6"/>
        </w:numPr>
        <w:spacing w:before="120" w:after="200" w:line="360" w:lineRule="auto"/>
        <w:ind w:left="993"/>
        <w:rPr>
          <w:rFonts w:asciiTheme="majorHAnsi" w:hAnsiTheme="majorHAnsi" w:cs="Arial"/>
          <w:szCs w:val="18"/>
        </w:rPr>
      </w:pPr>
      <w:r w:rsidRPr="00E36A19">
        <w:rPr>
          <w:rFonts w:asciiTheme="majorHAnsi" w:hAnsiTheme="majorHAnsi" w:cs="Arial"/>
          <w:szCs w:val="18"/>
        </w:rPr>
        <w:t>The impact of the two parallel shock scenarios set out in paragraph 113 of the EBA/GL/2018/02 on institutions’:</w:t>
      </w:r>
    </w:p>
    <w:p w14:paraId="12F05101" w14:textId="77777777" w:rsidR="00E36A19" w:rsidRPr="00E36A19" w:rsidRDefault="00E36A19" w:rsidP="00E36A19">
      <w:pPr>
        <w:pStyle w:val="ListParagraph"/>
        <w:keepLines w:val="0"/>
        <w:numPr>
          <w:ilvl w:val="2"/>
          <w:numId w:val="7"/>
        </w:numPr>
        <w:spacing w:before="120" w:after="200" w:line="360" w:lineRule="auto"/>
        <w:ind w:left="1843" w:hanging="317"/>
        <w:rPr>
          <w:rFonts w:asciiTheme="majorHAnsi" w:hAnsiTheme="majorHAnsi" w:cs="Arial"/>
          <w:szCs w:val="18"/>
        </w:rPr>
      </w:pPr>
      <w:r w:rsidRPr="00E36A19">
        <w:rPr>
          <w:rFonts w:asciiTheme="majorHAnsi" w:hAnsiTheme="majorHAnsi" w:cs="Arial"/>
          <w:szCs w:val="18"/>
        </w:rPr>
        <w:t>economic value of equity or “EVE” (calculation based on internal models applying the principles laid down in paragraph 115 of the EBA/GL/2018/02) – items 1 to 3: institutions should report the impact on EVE by material currency reported in the “Identification” worksheet in columns E to I; the aggregated EVE change is automatically calculated in columns D following the principle set out in paragraph 115(m) of EBA/GL/2018/02; for column I institutions should themselves compute the aggregated EVE change for the ‘other material currencies’ reported in row 26 of the “Identification” worksheet following the principles set out in paragraph 115(m) of EBA/GL/2018/02;</w:t>
      </w:r>
    </w:p>
    <w:p w14:paraId="2860541A" w14:textId="77777777" w:rsidR="00E36A19" w:rsidRPr="00E36A19" w:rsidRDefault="00E36A19" w:rsidP="00E36A19">
      <w:pPr>
        <w:pStyle w:val="ListParagraph"/>
        <w:keepLines w:val="0"/>
        <w:numPr>
          <w:ilvl w:val="2"/>
          <w:numId w:val="7"/>
        </w:numPr>
        <w:spacing w:before="120" w:after="200" w:line="360" w:lineRule="auto"/>
        <w:ind w:left="1843" w:hanging="317"/>
        <w:rPr>
          <w:rFonts w:asciiTheme="majorHAnsi" w:hAnsiTheme="majorHAnsi" w:cs="Arial"/>
          <w:szCs w:val="18"/>
        </w:rPr>
      </w:pPr>
      <w:r w:rsidRPr="00E36A19">
        <w:rPr>
          <w:rFonts w:asciiTheme="majorHAnsi" w:hAnsiTheme="majorHAnsi" w:cs="Arial"/>
          <w:szCs w:val="18"/>
        </w:rPr>
        <w:t>forecasted net interest income for a period of 12 months (according to own internal models) aggregated across the material currency reported in the “Identification” worksheet – items 11-13;</w:t>
      </w:r>
    </w:p>
    <w:p w14:paraId="128740E4" w14:textId="77777777" w:rsidR="00E36A19" w:rsidRPr="00E36A19" w:rsidRDefault="00E36A19" w:rsidP="00E36A19">
      <w:pPr>
        <w:pStyle w:val="ListParagraph"/>
        <w:keepLines w:val="0"/>
        <w:numPr>
          <w:ilvl w:val="2"/>
          <w:numId w:val="7"/>
        </w:numPr>
        <w:spacing w:before="120" w:after="200" w:line="360" w:lineRule="auto"/>
        <w:ind w:left="1843" w:hanging="317"/>
        <w:rPr>
          <w:rFonts w:asciiTheme="majorHAnsi" w:hAnsiTheme="majorHAnsi" w:cs="Arial"/>
          <w:szCs w:val="18"/>
        </w:rPr>
      </w:pPr>
      <w:r w:rsidRPr="00E36A19">
        <w:rPr>
          <w:rFonts w:asciiTheme="majorHAnsi" w:hAnsiTheme="majorHAnsi" w:cs="Arial"/>
          <w:szCs w:val="18"/>
        </w:rPr>
        <w:t>forecasted earnings for a period of 12 months (according to own internal models) aggregated across the material currency reported in the “Identification” worksheet – items 14 to 16.</w:t>
      </w:r>
    </w:p>
    <w:p w14:paraId="69D11D54" w14:textId="77777777" w:rsidR="00E36A19" w:rsidRPr="00E36A19" w:rsidRDefault="00E36A19" w:rsidP="00E36A19">
      <w:pPr>
        <w:pStyle w:val="ListParagraph"/>
        <w:keepLines w:val="0"/>
        <w:numPr>
          <w:ilvl w:val="0"/>
          <w:numId w:val="6"/>
        </w:numPr>
        <w:spacing w:before="120" w:after="200" w:line="360" w:lineRule="auto"/>
        <w:ind w:left="993"/>
        <w:rPr>
          <w:rFonts w:asciiTheme="majorHAnsi" w:hAnsiTheme="majorHAnsi" w:cs="Arial"/>
          <w:szCs w:val="18"/>
        </w:rPr>
      </w:pPr>
      <w:r w:rsidRPr="00E36A19">
        <w:rPr>
          <w:rFonts w:asciiTheme="majorHAnsi" w:hAnsiTheme="majorHAnsi" w:cs="Arial"/>
          <w:szCs w:val="18"/>
        </w:rPr>
        <w:t xml:space="preserve">The impact of the six additional scenarios according to paragraph 114 of the EBA/GL/2018/02 and further set out in Annex III on EVE (calculation based on internal models applying the principles laid down in paragraph </w:t>
      </w:r>
      <w:r w:rsidRPr="00E36A19">
        <w:rPr>
          <w:rFonts w:asciiTheme="majorHAnsi" w:hAnsiTheme="majorHAnsi" w:cs="Arial"/>
          <w:szCs w:val="18"/>
        </w:rPr>
        <w:lastRenderedPageBreak/>
        <w:t>115 of the EBA/GL/2018/02) – items 4 to 10: institutions should report the impact on EVE by material currency reported in the “Identification” worksheet in columns E to I; the aggregated EVE change is automatically calculated in columns D following the principle set out in paragraph 115(m) of EBA/GL/2018/02; for column I institutions should themselves compute the aggregated EVE change for the ‘other material currencies’ reported in row 26 of the “Identification” worksheet following the principles set out in paragraph 115(m) of EBA/GL/2018/02.</w:t>
      </w:r>
    </w:p>
    <w:p w14:paraId="165F09B1"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bookmarkStart w:id="33" w:name="_Ref25159459"/>
      <w:r w:rsidRPr="00E36A19">
        <w:rPr>
          <w:rFonts w:asciiTheme="majorHAnsi" w:hAnsiTheme="majorHAnsi" w:cs="Arial"/>
          <w:szCs w:val="18"/>
        </w:rPr>
        <w:t>Institutions should report ‘Yes’ using the dropdown menu in (</w:t>
      </w:r>
      <w:proofErr w:type="spellStart"/>
      <w:r w:rsidRPr="00E36A19">
        <w:rPr>
          <w:rFonts w:asciiTheme="majorHAnsi" w:hAnsiTheme="majorHAnsi" w:cs="Arial"/>
          <w:szCs w:val="18"/>
        </w:rPr>
        <w:t>i</w:t>
      </w:r>
      <w:proofErr w:type="spellEnd"/>
      <w:r w:rsidRPr="00E36A19">
        <w:rPr>
          <w:rFonts w:asciiTheme="majorHAnsi" w:hAnsiTheme="majorHAnsi" w:cs="Arial"/>
          <w:szCs w:val="18"/>
        </w:rPr>
        <w:t>) cell K12 if the amount in cell D12 exceeds 20% of the total own funds as defined in Article 72 of Regulation (EU) No 575/2013 (hereinafter “CRR”); and (ii) cell K17 if the amount in cell D17 exceeds 15% of Tier 1 own funds as defined in Article 25 of the CRR.</w:t>
      </w:r>
      <w:bookmarkEnd w:id="33"/>
      <w:r w:rsidRPr="00E36A19">
        <w:rPr>
          <w:rFonts w:asciiTheme="majorHAnsi" w:hAnsiTheme="majorHAnsi" w:cs="Arial"/>
          <w:szCs w:val="18"/>
        </w:rPr>
        <w:t xml:space="preserve"> Institutions making use of the derogation set out in paragraph </w:t>
      </w:r>
      <w:r w:rsidRPr="00E36A19">
        <w:rPr>
          <w:rFonts w:asciiTheme="majorHAnsi" w:hAnsiTheme="majorHAnsi" w:cs="Arial"/>
          <w:szCs w:val="18"/>
        </w:rPr>
        <w:fldChar w:fldCharType="begin"/>
      </w:r>
      <w:r w:rsidRPr="00E36A19">
        <w:rPr>
          <w:rFonts w:asciiTheme="majorHAnsi" w:hAnsiTheme="majorHAnsi" w:cs="Arial"/>
          <w:szCs w:val="18"/>
        </w:rPr>
        <w:instrText xml:space="preserve"> REF _Ref25166936 \r \h  \* MERGEFORMAT </w:instrText>
      </w:r>
      <w:r w:rsidRPr="00E36A19">
        <w:rPr>
          <w:rFonts w:asciiTheme="majorHAnsi" w:hAnsiTheme="majorHAnsi" w:cs="Arial"/>
          <w:szCs w:val="18"/>
        </w:rPr>
      </w:r>
      <w:r w:rsidRPr="00E36A19">
        <w:rPr>
          <w:rFonts w:asciiTheme="majorHAnsi" w:hAnsiTheme="majorHAnsi" w:cs="Arial"/>
          <w:szCs w:val="18"/>
        </w:rPr>
        <w:fldChar w:fldCharType="separate"/>
      </w:r>
      <w:r w:rsidRPr="00E36A19">
        <w:rPr>
          <w:rFonts w:asciiTheme="majorHAnsi" w:hAnsiTheme="majorHAnsi" w:cs="Arial"/>
          <w:szCs w:val="18"/>
        </w:rPr>
        <w:t>9</w:t>
      </w:r>
      <w:r w:rsidRPr="00E36A19">
        <w:rPr>
          <w:rFonts w:asciiTheme="majorHAnsi" w:hAnsiTheme="majorHAnsi" w:cs="Arial"/>
          <w:szCs w:val="18"/>
        </w:rPr>
        <w:fldChar w:fldCharType="end"/>
      </w:r>
      <w:r w:rsidRPr="00E36A19">
        <w:rPr>
          <w:rFonts w:asciiTheme="majorHAnsi" w:hAnsiTheme="majorHAnsi" w:cs="Arial"/>
          <w:szCs w:val="18"/>
        </w:rPr>
        <w:t xml:space="preserve"> should convert the amount of total or Tier 1 own funds into the reporting currency as reported in cell C20 of the “Identification” worksheet using the exchange rate at the reference date reported in cell C16 of the “Identification” worksheet before calculating these “outlier tests”.</w:t>
      </w:r>
    </w:p>
    <w:p w14:paraId="57038D89"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The proportion of assets and liabilities with automatic and embedded behavioural optionality in the banking book – (according to own internal models) should be reported in items 17 to 20 respectively.</w:t>
      </w:r>
    </w:p>
    <w:p w14:paraId="3E59B07D"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Importantly, all items in this template should be converted into the reporting currency as reported in cell C20 of the “Identification” worksheet.</w:t>
      </w:r>
    </w:p>
    <w:p w14:paraId="11D47E95"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Please </w:t>
      </w:r>
      <w:proofErr w:type="gramStart"/>
      <w:r w:rsidRPr="00E36A19">
        <w:rPr>
          <w:rFonts w:asciiTheme="majorHAnsi" w:hAnsiTheme="majorHAnsi" w:cs="Arial"/>
          <w:szCs w:val="18"/>
        </w:rPr>
        <w:t>take into account</w:t>
      </w:r>
      <w:proofErr w:type="gramEnd"/>
      <w:r w:rsidRPr="00E36A19">
        <w:rPr>
          <w:rFonts w:asciiTheme="majorHAnsi" w:hAnsiTheme="majorHAnsi" w:cs="Arial"/>
          <w:szCs w:val="18"/>
        </w:rPr>
        <w:t xml:space="preserve"> the following instructions regarding the calculation of the data points included in the template.</w:t>
      </w:r>
    </w:p>
    <w:p w14:paraId="2008E56F" w14:textId="77777777" w:rsidR="00E36A19" w:rsidRPr="00E36A19" w:rsidRDefault="00E36A19" w:rsidP="00E36A19">
      <w:pPr>
        <w:pStyle w:val="ListParagraph"/>
        <w:spacing w:before="120" w:line="360" w:lineRule="auto"/>
        <w:ind w:left="426"/>
        <w:rPr>
          <w:rFonts w:asciiTheme="majorHAnsi" w:hAnsiTheme="majorHAnsi" w:cs="Arial"/>
          <w:szCs w:val="18"/>
        </w:rPr>
      </w:pPr>
    </w:p>
    <w:p w14:paraId="10569BDC" w14:textId="77777777" w:rsidR="00E36A19" w:rsidRPr="00E36A19" w:rsidRDefault="00E36A19" w:rsidP="00E36A19">
      <w:pPr>
        <w:pStyle w:val="ListParagraph"/>
        <w:spacing w:before="120" w:line="360" w:lineRule="auto"/>
        <w:ind w:left="426"/>
        <w:rPr>
          <w:rFonts w:asciiTheme="majorHAnsi" w:hAnsiTheme="majorHAnsi" w:cs="Arial"/>
          <w:b/>
          <w:szCs w:val="18"/>
          <w:u w:val="single"/>
        </w:rPr>
      </w:pPr>
      <w:r w:rsidRPr="00E36A19">
        <w:rPr>
          <w:rFonts w:asciiTheme="majorHAnsi" w:hAnsiTheme="majorHAnsi" w:cs="Arial"/>
          <w:b/>
          <w:szCs w:val="18"/>
          <w:u w:val="single"/>
        </w:rPr>
        <w:t>Economic value of equity</w:t>
      </w:r>
    </w:p>
    <w:p w14:paraId="65A5F3CD"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Item 1 – Outcome of the supervisory outlier test according to paragraph 113 of the EBA/GL/2018/02</w:t>
      </w:r>
    </w:p>
    <w:p w14:paraId="2A86F81C"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This should reflect the outcome of the supervisory outlier test as per paragraph 113 of the EBA/GL/2018/02. It is computed automatically, based on items 2 and 3 filled in according to the instructions below.</w:t>
      </w:r>
    </w:p>
    <w:p w14:paraId="16E90E96"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Institutions have to select in the dropdown menu in cell K12, if they are outlier or not according to paragraph 113 of the EBA/GL/2018/02. Institutions making use of the derogation set out in paragraph </w:t>
      </w:r>
      <w:r w:rsidRPr="00E36A19">
        <w:rPr>
          <w:rFonts w:asciiTheme="majorHAnsi" w:hAnsiTheme="majorHAnsi" w:cs="Arial"/>
          <w:szCs w:val="18"/>
        </w:rPr>
        <w:fldChar w:fldCharType="begin"/>
      </w:r>
      <w:r w:rsidRPr="00E36A19">
        <w:rPr>
          <w:rFonts w:asciiTheme="majorHAnsi" w:hAnsiTheme="majorHAnsi" w:cs="Arial"/>
          <w:szCs w:val="18"/>
        </w:rPr>
        <w:instrText xml:space="preserve"> REF _Ref25166936 \r \h  \* MERGEFORMAT </w:instrText>
      </w:r>
      <w:r w:rsidRPr="00E36A19">
        <w:rPr>
          <w:rFonts w:asciiTheme="majorHAnsi" w:hAnsiTheme="majorHAnsi" w:cs="Arial"/>
          <w:szCs w:val="18"/>
        </w:rPr>
      </w:r>
      <w:r w:rsidRPr="00E36A19">
        <w:rPr>
          <w:rFonts w:asciiTheme="majorHAnsi" w:hAnsiTheme="majorHAnsi" w:cs="Arial"/>
          <w:szCs w:val="18"/>
        </w:rPr>
        <w:fldChar w:fldCharType="separate"/>
      </w:r>
      <w:r w:rsidRPr="00E36A19">
        <w:rPr>
          <w:rFonts w:asciiTheme="majorHAnsi" w:hAnsiTheme="majorHAnsi" w:cs="Arial"/>
          <w:szCs w:val="18"/>
        </w:rPr>
        <w:t>9</w:t>
      </w:r>
      <w:r w:rsidRPr="00E36A19">
        <w:rPr>
          <w:rFonts w:asciiTheme="majorHAnsi" w:hAnsiTheme="majorHAnsi" w:cs="Arial"/>
          <w:szCs w:val="18"/>
        </w:rPr>
        <w:fldChar w:fldCharType="end"/>
      </w:r>
      <w:r w:rsidRPr="00E36A19">
        <w:rPr>
          <w:rFonts w:asciiTheme="majorHAnsi" w:hAnsiTheme="majorHAnsi" w:cs="Arial"/>
          <w:szCs w:val="18"/>
        </w:rPr>
        <w:t xml:space="preserve"> of the current instructions should convert the amount of total own funds into the reporting currency as reported in cell C20 of the “Identification” worksheet using the exchange rate at the reference date </w:t>
      </w:r>
      <w:r w:rsidRPr="00E36A19">
        <w:rPr>
          <w:rFonts w:asciiTheme="majorHAnsi" w:hAnsiTheme="majorHAnsi" w:cs="Arial"/>
          <w:szCs w:val="18"/>
        </w:rPr>
        <w:lastRenderedPageBreak/>
        <w:t>reported in cell C16 of the “Identification” worksheet before calculating this “outlier test”.</w:t>
      </w:r>
    </w:p>
    <w:p w14:paraId="05E13DC1"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Item 2 - Change in the economic value of equity (∆EVE) of the banking book under a parallel shock down following paragraph 113 of the EBA/GL/2018/02</w:t>
      </w:r>
    </w:p>
    <w:p w14:paraId="2D0ABD80"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In cells E13 to I13, institutions should report the total change (shock) in the EVE of the banking book under a parallel shock down following paragraph 113 of the EBA/GL/2018/02 for each material currency as reported in cell C20 of the “Identification” worksheet. The value reported in column D should result as the aggregation of shocks being applied to all currency exposures in the banking book, following the rule of paragraph 115(m) of the EBA/GL/2018/02 from column E to H, while the value reported in column I should be added linearly according to the same principles. The value reported in column I should already reflect the rule of paragraph 115(m) of the EBA/GL/2018/02 for the subset of ‘other material currencies’ as reported in row 26 of the “Identification” worksheet.</w:t>
      </w:r>
    </w:p>
    <w:p w14:paraId="1014ADAC"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Institutions are reminded that they should apply the set of principles described in paragraph 115 of the EBA/GL/2018/02 in the calculation of the supervisory outlier test for the purposes of paragraph 113. In particular, the maturity-dependent post shock interest rate floor should be applied for each material currency as referred to in paragraph 115(k) of the EBA/GL/2018/02.</w:t>
      </w:r>
    </w:p>
    <w:p w14:paraId="04574E9E"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The effects of the shock on automatic interest rate options, whether explicit or embedded, needs to be included in the calculation (as these options are interest-rate sensitive).</w:t>
      </w:r>
    </w:p>
    <w:p w14:paraId="246FC08B"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Item 3 - Change in the EVE of the banking book under a parallel shock up following paragraph 113 of the EBA/GL/2018/02</w:t>
      </w:r>
    </w:p>
    <w:p w14:paraId="6E3A505C"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The rules applicable to item 2 should be applied to item 3 as well, but under a parallel shock up following paragraph 113 of the EBA/GL/2018/02 for each material currency.</w:t>
      </w:r>
    </w:p>
    <w:p w14:paraId="4E29DEA5"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Item 4 – Outcome of the supervisory outlier test according to paragraph 114 of the EBA/GL/2018/02</w:t>
      </w:r>
    </w:p>
    <w:p w14:paraId="374F3848" w14:textId="1A31D498"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This should reflect the outcome of the supervisory outlier test as per paragraph 114 of the EBA/GL/2018/02. It is computed automatically, based on items 5 to 10, following the instructions set out in paragraphs </w:t>
      </w:r>
      <w:r w:rsidRPr="00E36A19">
        <w:rPr>
          <w:rFonts w:asciiTheme="majorHAnsi" w:hAnsiTheme="majorHAnsi" w:cs="Arial"/>
          <w:szCs w:val="18"/>
        </w:rPr>
        <w:fldChar w:fldCharType="begin"/>
      </w:r>
      <w:r w:rsidRPr="00E36A19">
        <w:rPr>
          <w:rFonts w:asciiTheme="majorHAnsi" w:hAnsiTheme="majorHAnsi" w:cs="Arial"/>
          <w:szCs w:val="18"/>
        </w:rPr>
        <w:instrText xml:space="preserve"> REF _Ref25099641 \r \h  \* MERGEFORMAT </w:instrText>
      </w:r>
      <w:r w:rsidRPr="00E36A19">
        <w:rPr>
          <w:rFonts w:asciiTheme="majorHAnsi" w:hAnsiTheme="majorHAnsi" w:cs="Arial"/>
          <w:szCs w:val="18"/>
        </w:rPr>
      </w:r>
      <w:r w:rsidRPr="00E36A19">
        <w:rPr>
          <w:rFonts w:asciiTheme="majorHAnsi" w:hAnsiTheme="majorHAnsi" w:cs="Arial"/>
          <w:szCs w:val="18"/>
        </w:rPr>
        <w:fldChar w:fldCharType="separate"/>
      </w:r>
      <w:r w:rsidR="00482FCE">
        <w:rPr>
          <w:rFonts w:asciiTheme="majorHAnsi" w:hAnsiTheme="majorHAnsi" w:cs="Arial"/>
          <w:szCs w:val="18"/>
        </w:rPr>
        <w:t>3</w:t>
      </w:r>
      <w:r w:rsidRPr="00E36A19">
        <w:rPr>
          <w:rFonts w:asciiTheme="majorHAnsi" w:hAnsiTheme="majorHAnsi" w:cs="Arial"/>
          <w:szCs w:val="18"/>
        </w:rPr>
        <w:t>6</w:t>
      </w:r>
      <w:r w:rsidRPr="00E36A19">
        <w:rPr>
          <w:rFonts w:asciiTheme="majorHAnsi" w:hAnsiTheme="majorHAnsi" w:cs="Arial"/>
          <w:szCs w:val="18"/>
        </w:rPr>
        <w:fldChar w:fldCharType="end"/>
      </w:r>
      <w:r w:rsidRPr="00E36A19">
        <w:rPr>
          <w:rFonts w:asciiTheme="majorHAnsi" w:hAnsiTheme="majorHAnsi" w:cs="Arial"/>
          <w:szCs w:val="18"/>
        </w:rPr>
        <w:t xml:space="preserve"> to </w:t>
      </w:r>
      <w:r w:rsidRPr="00E36A19">
        <w:rPr>
          <w:rFonts w:asciiTheme="majorHAnsi" w:hAnsiTheme="majorHAnsi" w:cs="Arial"/>
          <w:szCs w:val="18"/>
        </w:rPr>
        <w:fldChar w:fldCharType="begin"/>
      </w:r>
      <w:r w:rsidRPr="00E36A19">
        <w:rPr>
          <w:rFonts w:asciiTheme="majorHAnsi" w:hAnsiTheme="majorHAnsi" w:cs="Arial"/>
          <w:szCs w:val="18"/>
        </w:rPr>
        <w:instrText xml:space="preserve"> REF _Ref25099649 \r \h  \* MERGEFORMAT </w:instrText>
      </w:r>
      <w:r w:rsidRPr="00E36A19">
        <w:rPr>
          <w:rFonts w:asciiTheme="majorHAnsi" w:hAnsiTheme="majorHAnsi" w:cs="Arial"/>
          <w:szCs w:val="18"/>
        </w:rPr>
      </w:r>
      <w:r w:rsidRPr="00E36A19">
        <w:rPr>
          <w:rFonts w:asciiTheme="majorHAnsi" w:hAnsiTheme="majorHAnsi" w:cs="Arial"/>
          <w:szCs w:val="18"/>
        </w:rPr>
        <w:fldChar w:fldCharType="separate"/>
      </w:r>
      <w:r w:rsidR="00482FCE">
        <w:rPr>
          <w:rFonts w:asciiTheme="majorHAnsi" w:hAnsiTheme="majorHAnsi" w:cs="Arial"/>
          <w:szCs w:val="18"/>
        </w:rPr>
        <w:t>3</w:t>
      </w:r>
      <w:r w:rsidRPr="00E36A19">
        <w:rPr>
          <w:rFonts w:asciiTheme="majorHAnsi" w:hAnsiTheme="majorHAnsi" w:cs="Arial"/>
          <w:szCs w:val="18"/>
        </w:rPr>
        <w:t>8</w:t>
      </w:r>
      <w:r w:rsidRPr="00E36A19">
        <w:rPr>
          <w:rFonts w:asciiTheme="majorHAnsi" w:hAnsiTheme="majorHAnsi" w:cs="Arial"/>
          <w:szCs w:val="18"/>
        </w:rPr>
        <w:fldChar w:fldCharType="end"/>
      </w:r>
      <w:r w:rsidRPr="00E36A19">
        <w:rPr>
          <w:rFonts w:asciiTheme="majorHAnsi" w:hAnsiTheme="majorHAnsi" w:cs="Arial"/>
          <w:szCs w:val="18"/>
        </w:rPr>
        <w:t>.</w:t>
      </w:r>
    </w:p>
    <w:p w14:paraId="752F01E9" w14:textId="23B8D719"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Institutions have to select in the dropdown menu in cell K17 if they are outlier or not according to paragraph 114 of the EBA/GL/2018/02. Institutions making use </w:t>
      </w:r>
      <w:r w:rsidRPr="00E36A19">
        <w:rPr>
          <w:rFonts w:asciiTheme="majorHAnsi" w:hAnsiTheme="majorHAnsi" w:cs="Arial"/>
          <w:szCs w:val="18"/>
        </w:rPr>
        <w:lastRenderedPageBreak/>
        <w:t xml:space="preserve">of the derogation set out in paragraph </w:t>
      </w:r>
      <w:r w:rsidRPr="00E36A19">
        <w:rPr>
          <w:rFonts w:asciiTheme="majorHAnsi" w:hAnsiTheme="majorHAnsi" w:cs="Arial"/>
          <w:szCs w:val="18"/>
        </w:rPr>
        <w:fldChar w:fldCharType="begin"/>
      </w:r>
      <w:r w:rsidRPr="00E36A19">
        <w:rPr>
          <w:rFonts w:asciiTheme="majorHAnsi" w:hAnsiTheme="majorHAnsi" w:cs="Arial"/>
          <w:szCs w:val="18"/>
        </w:rPr>
        <w:instrText xml:space="preserve"> REF _Ref25166936 \r \h  \* MERGEFORMAT </w:instrText>
      </w:r>
      <w:r w:rsidRPr="00E36A19">
        <w:rPr>
          <w:rFonts w:asciiTheme="majorHAnsi" w:hAnsiTheme="majorHAnsi" w:cs="Arial"/>
          <w:szCs w:val="18"/>
        </w:rPr>
      </w:r>
      <w:r w:rsidRPr="00E36A19">
        <w:rPr>
          <w:rFonts w:asciiTheme="majorHAnsi" w:hAnsiTheme="majorHAnsi" w:cs="Arial"/>
          <w:szCs w:val="18"/>
        </w:rPr>
        <w:fldChar w:fldCharType="separate"/>
      </w:r>
      <w:r w:rsidRPr="00E36A19">
        <w:rPr>
          <w:rFonts w:asciiTheme="majorHAnsi" w:hAnsiTheme="majorHAnsi" w:cs="Arial"/>
          <w:szCs w:val="18"/>
        </w:rPr>
        <w:t>9</w:t>
      </w:r>
      <w:r w:rsidRPr="00E36A19">
        <w:rPr>
          <w:rFonts w:asciiTheme="majorHAnsi" w:hAnsiTheme="majorHAnsi" w:cs="Arial"/>
          <w:szCs w:val="18"/>
        </w:rPr>
        <w:fldChar w:fldCharType="end"/>
      </w:r>
      <w:r w:rsidRPr="00E36A19">
        <w:rPr>
          <w:rFonts w:asciiTheme="majorHAnsi" w:hAnsiTheme="majorHAnsi" w:cs="Arial"/>
          <w:szCs w:val="18"/>
        </w:rPr>
        <w:t xml:space="preserve"> </w:t>
      </w:r>
      <w:r w:rsidR="00482FCE">
        <w:rPr>
          <w:rFonts w:asciiTheme="majorHAnsi" w:hAnsiTheme="majorHAnsi" w:cs="Arial"/>
          <w:szCs w:val="18"/>
        </w:rPr>
        <w:t xml:space="preserve">of these instructions </w:t>
      </w:r>
      <w:r w:rsidRPr="00E36A19">
        <w:rPr>
          <w:rFonts w:asciiTheme="majorHAnsi" w:hAnsiTheme="majorHAnsi" w:cs="Arial"/>
          <w:szCs w:val="18"/>
        </w:rPr>
        <w:t>should convert the amount of Tier 1 own funds into the reporting currency as reported in cell C20 of the “Identification” worksheet using the exchange rate at the reference date reported in cell C16 of the “Identification” worksheet before calculating this “outlier test”.</w:t>
      </w:r>
    </w:p>
    <w:p w14:paraId="27694D18"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 xml:space="preserve">Items 5 to 10 – Change in the EVE of the banking book under the six additional interest rate scenarios, according to paragraph 114 of the EBA/GL/2018/02 </w:t>
      </w:r>
    </w:p>
    <w:p w14:paraId="0DBF5888"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bookmarkStart w:id="34" w:name="_Ref25099641"/>
      <w:r w:rsidRPr="00E36A19">
        <w:rPr>
          <w:rFonts w:asciiTheme="majorHAnsi" w:hAnsiTheme="majorHAnsi" w:cs="Arial"/>
          <w:szCs w:val="18"/>
        </w:rPr>
        <w:t>Institutions should report the total change (shock) in the EVE of the banking book under the six additional scenarios following paragraph 114 of the EBA/GL/2018/02 for each material currency. The value reported in column D is the aggregation of the impact of the shocks applied to all material currency exposures in the banking book, following the principle set out in paragraph 115(m) of the EBA/GL/2018/02. The value reported in column I should already reflect the rule of paragraph 115(m) of the EBA/GL/2018/02 for the subset of other material currencies.</w:t>
      </w:r>
      <w:bookmarkEnd w:id="34"/>
    </w:p>
    <w:p w14:paraId="00B3FF79"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Institutions are reminded that they should apply the set of principles described in paragraph 115 of the EBA/GL/2018/02 in the calculation of the supervisory outlier test for the purposes of paragraph 114. In particular, the maturity-dependent post shock interest rate floor should be applied for each currency as referred to in paragraph 115(k) of the EBA/GL/2018/02.</w:t>
      </w:r>
    </w:p>
    <w:p w14:paraId="145C82ED"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bookmarkStart w:id="35" w:name="_Ref25099649"/>
      <w:r w:rsidRPr="00E36A19">
        <w:rPr>
          <w:rFonts w:asciiTheme="majorHAnsi" w:hAnsiTheme="majorHAnsi" w:cs="Arial"/>
          <w:szCs w:val="18"/>
        </w:rPr>
        <w:t>The effects of the shock on automatic interest rate options, whether explicit or embedded, needs to be included in the calculation (as these options are interest-rate sensitive).</w:t>
      </w:r>
      <w:bookmarkEnd w:id="35"/>
    </w:p>
    <w:p w14:paraId="3C1779E4" w14:textId="77777777" w:rsidR="00E36A19" w:rsidRPr="00E36A19" w:rsidRDefault="00E36A19" w:rsidP="00E36A19">
      <w:pPr>
        <w:pStyle w:val="ListParagraph"/>
        <w:spacing w:before="120" w:line="360" w:lineRule="auto"/>
        <w:ind w:left="426"/>
        <w:rPr>
          <w:rFonts w:asciiTheme="majorHAnsi" w:hAnsiTheme="majorHAnsi" w:cs="Arial"/>
          <w:szCs w:val="18"/>
        </w:rPr>
      </w:pPr>
    </w:p>
    <w:p w14:paraId="6BAC0338" w14:textId="77777777" w:rsidR="00E36A19" w:rsidRPr="00E36A19" w:rsidRDefault="00E36A19" w:rsidP="00E36A19">
      <w:pPr>
        <w:pStyle w:val="ListParagraph"/>
        <w:spacing w:before="120" w:line="360" w:lineRule="auto"/>
        <w:ind w:left="426"/>
        <w:rPr>
          <w:rFonts w:asciiTheme="majorHAnsi" w:hAnsiTheme="majorHAnsi" w:cs="Arial"/>
          <w:b/>
          <w:szCs w:val="18"/>
          <w:u w:val="single"/>
        </w:rPr>
      </w:pPr>
      <w:r w:rsidRPr="00E36A19">
        <w:rPr>
          <w:rFonts w:asciiTheme="majorHAnsi" w:hAnsiTheme="majorHAnsi" w:cs="Arial"/>
          <w:b/>
          <w:szCs w:val="18"/>
          <w:u w:val="single"/>
        </w:rPr>
        <w:t>Change in net interest income and earnings</w:t>
      </w:r>
    </w:p>
    <w:p w14:paraId="41046657" w14:textId="77777777" w:rsidR="00E36A19" w:rsidRPr="00E36A19" w:rsidRDefault="00E36A19" w:rsidP="00E36A19">
      <w:pPr>
        <w:pStyle w:val="ListParagraph"/>
        <w:spacing w:before="120" w:line="360" w:lineRule="auto"/>
        <w:ind w:left="426"/>
        <w:rPr>
          <w:rFonts w:asciiTheme="majorHAnsi" w:hAnsiTheme="majorHAnsi" w:cs="Arial"/>
          <w:b/>
          <w:szCs w:val="18"/>
          <w:u w:val="single"/>
        </w:rPr>
      </w:pPr>
    </w:p>
    <w:p w14:paraId="60D70021"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In line with paragraph 13 of the EBA/GL/2018/02, institutions should manage and mitigate risks arising from their IRRBB exposures that affect both their earnings and their economic value. Institutions should at least report one earnings metric, i.e. either the NII (items 11, 12 and 13) or the earnings (items 14, 15 and 16) or both.</w:t>
      </w:r>
    </w:p>
    <w:p w14:paraId="332CDABD"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According to the paragraph 14 of the EBA/GL/2018/02, when “</w:t>
      </w:r>
      <w:r w:rsidRPr="00E36A19">
        <w:rPr>
          <w:rFonts w:asciiTheme="majorHAnsi" w:hAnsiTheme="majorHAnsi" w:cs="Arial"/>
          <w:i/>
          <w:szCs w:val="18"/>
        </w:rPr>
        <w:t>calculating the impact of interest rate movements in the earnings perspective, institutions should consider not only the effects on interest income and expenses, but also the effects of the market value changes of instruments — depending on accounting treatment — either shown in the profit and loss account or directly in equity (e.g. via other comprehensive income or “OCI”).</w:t>
      </w:r>
      <w:r w:rsidRPr="00E36A19">
        <w:rPr>
          <w:rFonts w:asciiTheme="majorHAnsi" w:hAnsiTheme="majorHAnsi" w:cs="Arial"/>
          <w:szCs w:val="18"/>
        </w:rPr>
        <w:t xml:space="preserve">” Moreover, according to paragraph 43(c) of the EBA/GL/2018/02, </w:t>
      </w:r>
      <w:r w:rsidRPr="00E36A19">
        <w:rPr>
          <w:rFonts w:asciiTheme="majorHAnsi" w:hAnsiTheme="majorHAnsi" w:cs="Arial"/>
          <w:i/>
          <w:szCs w:val="18"/>
        </w:rPr>
        <w:t xml:space="preserve">“The risk to earnings may not be limited to interest income and </w:t>
      </w:r>
      <w:r w:rsidRPr="00E36A19">
        <w:rPr>
          <w:rFonts w:asciiTheme="majorHAnsi" w:hAnsiTheme="majorHAnsi" w:cs="Arial"/>
          <w:i/>
          <w:szCs w:val="18"/>
        </w:rPr>
        <w:lastRenderedPageBreak/>
        <w:t>expenses: the effects of changes in interest rates on the market value of instruments that, depending on accounting treatment, are reflected either through the profit and loss account or directly in equity (e.g. via OCI), should be taken into account separately”.</w:t>
      </w:r>
    </w:p>
    <w:p w14:paraId="5AD05BF3"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Regarding the currency aggregation criteria, in line with paragraph 92 of the EBA/GL/2018/02, “</w:t>
      </w:r>
      <w:r w:rsidRPr="00E36A19">
        <w:rPr>
          <w:rFonts w:asciiTheme="majorHAnsi" w:hAnsiTheme="majorHAnsi" w:cs="Arial"/>
          <w:i/>
          <w:szCs w:val="18"/>
        </w:rPr>
        <w:t>institutions should include in their internal measurement systems methods to aggregate their IRRBB across different currencies</w:t>
      </w:r>
      <w:r w:rsidRPr="00E36A19">
        <w:rPr>
          <w:rFonts w:asciiTheme="majorHAnsi" w:hAnsiTheme="majorHAnsi" w:cs="Arial"/>
          <w:szCs w:val="18"/>
        </w:rPr>
        <w:t>” and “</w:t>
      </w:r>
      <w:r w:rsidRPr="00E36A19">
        <w:rPr>
          <w:rFonts w:asciiTheme="majorHAnsi" w:hAnsiTheme="majorHAnsi" w:cs="Arial"/>
          <w:i/>
          <w:szCs w:val="18"/>
        </w:rPr>
        <w:t xml:space="preserve">institutions should </w:t>
      </w:r>
      <w:proofErr w:type="gramStart"/>
      <w:r w:rsidRPr="00E36A19">
        <w:rPr>
          <w:rFonts w:asciiTheme="majorHAnsi" w:hAnsiTheme="majorHAnsi" w:cs="Arial"/>
          <w:i/>
          <w:szCs w:val="18"/>
        </w:rPr>
        <w:t>take into account</w:t>
      </w:r>
      <w:proofErr w:type="gramEnd"/>
      <w:r w:rsidRPr="00E36A19">
        <w:rPr>
          <w:rFonts w:asciiTheme="majorHAnsi" w:hAnsiTheme="majorHAnsi" w:cs="Arial"/>
          <w:i/>
          <w:szCs w:val="18"/>
        </w:rPr>
        <w:t xml:space="preserve"> the impact of assumptions regarding dependencies between interest rates across different currencies</w:t>
      </w:r>
      <w:r w:rsidRPr="00E36A19">
        <w:rPr>
          <w:rFonts w:asciiTheme="majorHAnsi" w:hAnsiTheme="majorHAnsi" w:cs="Arial"/>
          <w:szCs w:val="18"/>
        </w:rPr>
        <w:t>”.</w:t>
      </w:r>
    </w:p>
    <w:p w14:paraId="06646A93"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To compute the change in the forecasted net interest income (NII) and earnings metrics, institutions should use the same parallel shock up and down scenarios applied for computing the change in EVE set out in paragraph 113 of the EBA/GL/2018/02.</w:t>
      </w:r>
    </w:p>
    <w:p w14:paraId="55592F17"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In principle, institutions should strive for the scope of instruments present in the change in EVE metrics to be applied consistently in the NII/earnings metrics, and in particular in relation with the principles set out in paragraphs 115(b) and 115(e).</w:t>
      </w:r>
    </w:p>
    <w:p w14:paraId="59706D34"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It is reminded that according to paragraph 83 of the EBA/GL/2018/02, when calculating earnings measures, institutions should include commercial margins.</w:t>
      </w:r>
    </w:p>
    <w:p w14:paraId="491A5AA7" w14:textId="77777777" w:rsidR="00E36A19" w:rsidRPr="00E36A19" w:rsidRDefault="00E36A19" w:rsidP="00E36A19">
      <w:pPr>
        <w:spacing w:before="120" w:line="360" w:lineRule="auto"/>
        <w:rPr>
          <w:rFonts w:asciiTheme="majorHAnsi" w:hAnsiTheme="majorHAnsi" w:cs="Arial"/>
          <w:b/>
          <w:szCs w:val="18"/>
        </w:rPr>
      </w:pPr>
    </w:p>
    <w:p w14:paraId="13148EB0"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Item 11 - Forecasted net interest income (NII) expected within 12 months under the current baseline interest rate scenario</w:t>
      </w:r>
    </w:p>
    <w:p w14:paraId="16B2BD7F"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In the calculation of item 11, institutions should forecast their NII for a timeframe of 12 months using the current baseline interest rate scenario, i.e. the interest rates used to calculate future cash flows in the baseline scenario are derived from forward rates, appropriate spreads or market expected rates for different instruments.</w:t>
      </w:r>
    </w:p>
    <w:p w14:paraId="621C7685"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Items 12 and 13 – Change in the forecasted net interest income expected within 12 months under a parallel shock down/up</w:t>
      </w:r>
    </w:p>
    <w:p w14:paraId="78FBADCC"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In the calculation of items 12 and 13, institutions should apply respectively the downward and upward parallel shock to interest rates to the forecasted NII reported in item 11.</w:t>
      </w:r>
    </w:p>
    <w:p w14:paraId="6A475102"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The shift (shock) should be applied only to interest-rate sensitive on- and off-balance sheet items in the banking book.</w:t>
      </w:r>
    </w:p>
    <w:p w14:paraId="4CFBBB21"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lastRenderedPageBreak/>
        <w:t>Item 14 - Forecasted earnings expected within 12 months under the current baseline interest rate scenario</w:t>
      </w:r>
    </w:p>
    <w:p w14:paraId="7046AF10"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In the calculation of item 14, institutions should forecast their earnings for a timeframe of 12 months using the current baseline interest rate scenario, i.e. the interest rates used to calculate future cash flows in the baseline scenario are derived from forward rates, appropriate spreads or market expected rates for different instruments.</w:t>
      </w:r>
    </w:p>
    <w:p w14:paraId="62B6DCFD" w14:textId="77777777" w:rsidR="00E36A19" w:rsidRPr="00E36A19" w:rsidRDefault="00E36A19" w:rsidP="00E36A19">
      <w:pPr>
        <w:spacing w:before="120" w:line="360" w:lineRule="auto"/>
        <w:rPr>
          <w:rFonts w:asciiTheme="majorHAnsi" w:hAnsiTheme="majorHAnsi" w:cs="Arial"/>
          <w:szCs w:val="18"/>
        </w:rPr>
      </w:pPr>
      <w:r w:rsidRPr="00E36A19">
        <w:rPr>
          <w:rFonts w:asciiTheme="majorHAnsi" w:hAnsiTheme="majorHAnsi" w:cs="Arial"/>
          <w:b/>
          <w:szCs w:val="18"/>
        </w:rPr>
        <w:t>Items 15 and 16</w:t>
      </w:r>
      <w:r w:rsidRPr="00E36A19">
        <w:rPr>
          <w:rFonts w:asciiTheme="majorHAnsi" w:hAnsiTheme="majorHAnsi" w:cs="Arial"/>
          <w:szCs w:val="18"/>
        </w:rPr>
        <w:t xml:space="preserve"> - </w:t>
      </w:r>
      <w:r w:rsidRPr="00E36A19">
        <w:rPr>
          <w:rFonts w:asciiTheme="majorHAnsi" w:hAnsiTheme="majorHAnsi" w:cs="Arial"/>
          <w:b/>
          <w:szCs w:val="18"/>
        </w:rPr>
        <w:t xml:space="preserve">Change in the forecasted earnings expected within 12 months under a parallel shock down/up </w:t>
      </w:r>
    </w:p>
    <w:p w14:paraId="1C48D092" w14:textId="22ECEAA0"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In the calculation of items 15 and 16, institutions should apply the </w:t>
      </w:r>
      <w:r w:rsidR="003D2F6E">
        <w:rPr>
          <w:rFonts w:asciiTheme="majorHAnsi" w:hAnsiTheme="majorHAnsi" w:cs="Arial"/>
          <w:szCs w:val="18"/>
        </w:rPr>
        <w:t xml:space="preserve">respective </w:t>
      </w:r>
      <w:r w:rsidRPr="00E36A19">
        <w:rPr>
          <w:rFonts w:asciiTheme="majorHAnsi" w:hAnsiTheme="majorHAnsi" w:cs="Arial"/>
          <w:szCs w:val="18"/>
        </w:rPr>
        <w:t>downward and upward parallel interest rate shift to the forecasted earnings reported in item 14.</w:t>
      </w:r>
    </w:p>
    <w:p w14:paraId="307631C7"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This includes at least, according to paragraphs 14 and 43(c) of the EBA/GL/2018/02, the change in NII already reflected in items 12 and 13 and the market value changes of instruments — depending on accounting treatment — either shown in the profit and loss account or directly through equity (e.g. via OCI).</w:t>
      </w:r>
    </w:p>
    <w:p w14:paraId="416076BC"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The shift (shock) should be applied only to interest-rate sensitive on- and off-balance sheet items in the banking book.</w:t>
      </w:r>
    </w:p>
    <w:p w14:paraId="2CB7E32A" w14:textId="796DA8C1" w:rsid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Institutions should include the effect of the forecasted impact on fair value instruments (including derivatives) net of hedging interest rate derivatives after applying the scenarios described in the paragraph above. Economic hedge derivatives whose fair value changes are recognised through the income statement should be included into the earnings measure.</w:t>
      </w:r>
    </w:p>
    <w:p w14:paraId="172CDC4E" w14:textId="77777777" w:rsidR="00FE6210" w:rsidRPr="00DC3B39" w:rsidRDefault="00FE6210" w:rsidP="00DC3B39">
      <w:pPr>
        <w:spacing w:before="120" w:line="360" w:lineRule="auto"/>
        <w:rPr>
          <w:rFonts w:asciiTheme="majorHAnsi" w:hAnsiTheme="majorHAnsi" w:cs="Arial"/>
          <w:b/>
          <w:szCs w:val="18"/>
        </w:rPr>
      </w:pPr>
    </w:p>
    <w:p w14:paraId="2F0C4B78" w14:textId="225BECBF" w:rsidR="00FE6210" w:rsidRPr="00960177" w:rsidRDefault="00E36A19" w:rsidP="00960177">
      <w:pPr>
        <w:pStyle w:val="ListParagraph"/>
        <w:spacing w:before="120" w:line="360" w:lineRule="auto"/>
        <w:ind w:left="426"/>
        <w:rPr>
          <w:rFonts w:asciiTheme="majorHAnsi" w:hAnsiTheme="majorHAnsi" w:cs="Arial"/>
          <w:b/>
          <w:szCs w:val="18"/>
          <w:u w:val="single"/>
        </w:rPr>
      </w:pPr>
      <w:r w:rsidRPr="00DC3B39">
        <w:rPr>
          <w:rFonts w:asciiTheme="majorHAnsi" w:hAnsiTheme="majorHAnsi" w:cs="Arial"/>
          <w:b/>
          <w:szCs w:val="18"/>
          <w:u w:val="single"/>
        </w:rPr>
        <w:t>Information</w:t>
      </w:r>
      <w:r w:rsidR="00FE6210" w:rsidRPr="00DC3B39">
        <w:rPr>
          <w:rFonts w:asciiTheme="majorHAnsi" w:hAnsiTheme="majorHAnsi" w:cs="Arial"/>
          <w:b/>
          <w:szCs w:val="18"/>
          <w:u w:val="single"/>
        </w:rPr>
        <w:t xml:space="preserve"> on </w:t>
      </w:r>
      <w:proofErr w:type="spellStart"/>
      <w:r w:rsidR="00FE6210" w:rsidRPr="00DC3B39">
        <w:rPr>
          <w:rFonts w:asciiTheme="majorHAnsi" w:hAnsiTheme="majorHAnsi" w:cs="Arial"/>
          <w:b/>
          <w:szCs w:val="18"/>
          <w:u w:val="single"/>
        </w:rPr>
        <w:t>optionalities</w:t>
      </w:r>
      <w:proofErr w:type="spellEnd"/>
    </w:p>
    <w:p w14:paraId="012E22C8"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Items 17 to 20 – Quantitative information on assets and liabilities with automatic optionality and embedded behavioural optionality</w:t>
      </w:r>
    </w:p>
    <w:p w14:paraId="61F8F5A5"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According to paragraph 115(d) of the EBA/GL/2018/02, institutions should reflect automatic and behavioural options in the calculation of the supervisory outlier tests. </w:t>
      </w:r>
    </w:p>
    <w:p w14:paraId="26F4B47A"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lastRenderedPageBreak/>
        <w:t>In items 17 to 20, institutions should provide the proportion of assets and liabilities in the banking book</w:t>
      </w:r>
      <w:r w:rsidRPr="00E36A19">
        <w:rPr>
          <w:rStyle w:val="FootnoteReference"/>
          <w:rFonts w:asciiTheme="majorHAnsi" w:hAnsiTheme="majorHAnsi"/>
          <w:sz w:val="18"/>
          <w:szCs w:val="18"/>
        </w:rPr>
        <w:footnoteReference w:id="4"/>
      </w:r>
      <w:r w:rsidRPr="00E36A19">
        <w:rPr>
          <w:rFonts w:asciiTheme="majorHAnsi" w:hAnsiTheme="majorHAnsi" w:cs="Arial"/>
          <w:szCs w:val="18"/>
        </w:rPr>
        <w:t xml:space="preserve"> subject to automatic and embedded behavioural optionality respectively according to the formulas provided below. Institutions should consider the instruments referred in paragraph 88 of the EBA/GL/2018/02 as examples of instruments with automatic optionality and embedded behavioural optionality respectively. For the computation of these ratios, institutions should:</w:t>
      </w:r>
    </w:p>
    <w:p w14:paraId="14BC8317" w14:textId="7DEB6341" w:rsidR="00E36A19" w:rsidRPr="00E36A19" w:rsidRDefault="00E36A19" w:rsidP="00E36A19">
      <w:pPr>
        <w:pStyle w:val="ListParagraph"/>
        <w:keepLines w:val="0"/>
        <w:numPr>
          <w:ilvl w:val="0"/>
          <w:numId w:val="10"/>
        </w:numPr>
        <w:spacing w:before="120" w:after="200" w:line="360" w:lineRule="auto"/>
        <w:rPr>
          <w:rFonts w:asciiTheme="majorHAnsi" w:hAnsiTheme="majorHAnsi" w:cs="Arial"/>
          <w:szCs w:val="18"/>
        </w:rPr>
      </w:pPr>
      <w:r w:rsidRPr="00E36A19">
        <w:rPr>
          <w:rFonts w:asciiTheme="majorHAnsi" w:hAnsiTheme="majorHAnsi" w:cs="Arial"/>
          <w:szCs w:val="18"/>
        </w:rPr>
        <w:t>use nominal</w:t>
      </w:r>
      <w:r w:rsidR="00812A7B" w:rsidRPr="00CB499E">
        <w:rPr>
          <w:rFonts w:asciiTheme="majorHAnsi" w:hAnsiTheme="majorHAnsi" w:cs="Arial"/>
          <w:szCs w:val="18"/>
        </w:rPr>
        <w:t xml:space="preserve">, respectively </w:t>
      </w:r>
      <w:r w:rsidR="00812A7B">
        <w:rPr>
          <w:rFonts w:asciiTheme="majorHAnsi" w:hAnsiTheme="majorHAnsi" w:cs="Arial"/>
          <w:szCs w:val="18"/>
        </w:rPr>
        <w:t>(for the derivatives)</w:t>
      </w:r>
      <w:r w:rsidR="00812A7B" w:rsidRPr="00812A7B">
        <w:rPr>
          <w:rFonts w:asciiTheme="majorHAnsi" w:hAnsiTheme="majorHAnsi" w:cs="Arial"/>
          <w:szCs w:val="18"/>
        </w:rPr>
        <w:t xml:space="preserve"> </w:t>
      </w:r>
      <w:r w:rsidR="00812A7B" w:rsidRPr="00CB499E">
        <w:rPr>
          <w:rFonts w:asciiTheme="majorHAnsi" w:hAnsiTheme="majorHAnsi" w:cs="Arial"/>
          <w:szCs w:val="18"/>
        </w:rPr>
        <w:t>notional a</w:t>
      </w:r>
      <w:r w:rsidRPr="00E36A19">
        <w:rPr>
          <w:rFonts w:asciiTheme="majorHAnsi" w:hAnsiTheme="majorHAnsi" w:cs="Arial"/>
          <w:szCs w:val="18"/>
        </w:rPr>
        <w:t>mounts; and</w:t>
      </w:r>
    </w:p>
    <w:p w14:paraId="1EFDC9DF" w14:textId="77777777" w:rsidR="00E36A19" w:rsidRPr="00E36A19" w:rsidRDefault="00E36A19" w:rsidP="00E36A19">
      <w:pPr>
        <w:pStyle w:val="ListParagraph"/>
        <w:keepLines w:val="0"/>
        <w:numPr>
          <w:ilvl w:val="0"/>
          <w:numId w:val="10"/>
        </w:numPr>
        <w:spacing w:before="120" w:after="200" w:line="360" w:lineRule="auto"/>
        <w:rPr>
          <w:rFonts w:asciiTheme="majorHAnsi" w:hAnsiTheme="majorHAnsi" w:cs="Arial"/>
          <w:szCs w:val="18"/>
        </w:rPr>
      </w:pPr>
      <w:r w:rsidRPr="00E36A19">
        <w:rPr>
          <w:rFonts w:asciiTheme="majorHAnsi" w:hAnsiTheme="majorHAnsi" w:cs="Arial"/>
          <w:szCs w:val="18"/>
        </w:rPr>
        <w:t>include on- and off-balance sheet items associated with the banking book.</w:t>
      </w:r>
    </w:p>
    <w:p w14:paraId="0936328D" w14:textId="77777777" w:rsidR="00E36A19" w:rsidRPr="00E36A19" w:rsidRDefault="00E36A19" w:rsidP="00E36A19">
      <w:pPr>
        <w:rPr>
          <w:rFonts w:asciiTheme="majorHAnsi" w:eastAsiaTheme="minorEastAsia" w:hAnsiTheme="majorHAnsi"/>
          <w:szCs w:val="18"/>
        </w:rPr>
      </w:pPr>
    </w:p>
    <w:p w14:paraId="7F3E0A15"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Item 17 – Ratio of assets in the banking book with automatic optionality over total assets in the banking book per material currency</w:t>
      </w:r>
    </w:p>
    <w:p w14:paraId="0A15D70C" w14:textId="6B0874A7" w:rsidR="00E36A19" w:rsidRPr="00E36A19" w:rsidRDefault="00342063" w:rsidP="00E36A19">
      <w:pPr>
        <w:pStyle w:val="ListParagraph"/>
        <w:spacing w:before="120" w:line="360" w:lineRule="auto"/>
        <w:ind w:left="426"/>
        <w:rPr>
          <w:rFonts w:asciiTheme="majorHAnsi" w:eastAsiaTheme="minorEastAsia" w:hAnsiTheme="majorHAnsi" w:cs="Arial"/>
          <w:szCs w:val="18"/>
        </w:rPr>
      </w:pPr>
      <m:oMathPara>
        <m:oMath>
          <m:f>
            <m:fPr>
              <m:ctrlPr>
                <w:rPr>
                  <w:rFonts w:ascii="Cambria Math" w:hAnsi="Cambria Math" w:cs="Arial"/>
                  <w:szCs w:val="18"/>
                </w:rPr>
              </m:ctrlPr>
            </m:fPr>
            <m:num>
              <m:r>
                <m:rPr>
                  <m:sty m:val="p"/>
                </m:rPr>
                <w:rPr>
                  <w:rFonts w:ascii="Cambria Math" w:hAnsi="Cambria Math" w:cs="Arial"/>
                  <w:szCs w:val="18"/>
                </w:rPr>
                <m:t>Total assets of the banking book with automatic optionality (nominal/notional amount)</m:t>
              </m:r>
            </m:num>
            <m:den>
              <m:r>
                <m:rPr>
                  <m:sty m:val="p"/>
                </m:rPr>
                <w:rPr>
                  <w:rFonts w:ascii="Cambria Math" w:hAnsi="Cambria Math" w:cs="Arial"/>
                  <w:szCs w:val="18"/>
                </w:rPr>
                <m:t>Total assets of the banking book (nominal/notional amount)</m:t>
              </m:r>
            </m:den>
          </m:f>
        </m:oMath>
      </m:oMathPara>
    </w:p>
    <w:p w14:paraId="02E78DF4"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Item 18– Ratio of liabilities in the banking book with automatic optionality over total Liabilities in the banking book per material currency</w:t>
      </w:r>
    </w:p>
    <w:p w14:paraId="083D6BA9" w14:textId="0B92839A" w:rsidR="00E36A19" w:rsidRPr="00E36A19" w:rsidRDefault="00342063" w:rsidP="00E36A19">
      <w:pPr>
        <w:spacing w:before="120" w:line="360" w:lineRule="auto"/>
        <w:rPr>
          <w:rFonts w:asciiTheme="majorHAnsi" w:eastAsiaTheme="minorEastAsia" w:hAnsiTheme="majorHAnsi" w:cs="Arial"/>
          <w:szCs w:val="18"/>
        </w:rPr>
      </w:pPr>
      <m:oMathPara>
        <m:oMath>
          <m:f>
            <m:fPr>
              <m:ctrlPr>
                <w:rPr>
                  <w:rFonts w:ascii="Cambria Math" w:hAnsi="Cambria Math" w:cs="Arial"/>
                  <w:szCs w:val="18"/>
                </w:rPr>
              </m:ctrlPr>
            </m:fPr>
            <m:num>
              <m:r>
                <m:rPr>
                  <m:sty m:val="p"/>
                </m:rPr>
                <w:rPr>
                  <w:rFonts w:ascii="Cambria Math" w:hAnsi="Cambria Math" w:cs="Arial"/>
                  <w:szCs w:val="18"/>
                </w:rPr>
                <m:t>Total liabilities of the banking book with automatic optionality (nominal/notional amount)</m:t>
              </m:r>
            </m:num>
            <m:den>
              <m:r>
                <m:rPr>
                  <m:sty m:val="p"/>
                </m:rPr>
                <w:rPr>
                  <w:rFonts w:ascii="Cambria Math" w:hAnsi="Cambria Math" w:cs="Arial"/>
                  <w:szCs w:val="18"/>
                </w:rPr>
                <m:t>Total liabilities of the banking book (nominal/notional amount)</m:t>
              </m:r>
            </m:den>
          </m:f>
        </m:oMath>
      </m:oMathPara>
    </w:p>
    <w:p w14:paraId="3757F7B5" w14:textId="77777777" w:rsidR="00E36A19" w:rsidRPr="00E36A19" w:rsidRDefault="00E36A19" w:rsidP="00E36A19">
      <w:pPr>
        <w:spacing w:before="120" w:line="360" w:lineRule="auto"/>
        <w:rPr>
          <w:rFonts w:asciiTheme="majorHAnsi" w:hAnsiTheme="majorHAnsi" w:cs="Arial"/>
          <w:b/>
          <w:szCs w:val="18"/>
        </w:rPr>
      </w:pPr>
    </w:p>
    <w:p w14:paraId="44C6A5E6"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Item 19 – Ratio of assets in the banking book with embedded behavioural optionality over total assets in the banking book per material currency</w:t>
      </w:r>
    </w:p>
    <w:p w14:paraId="13D73A3B" w14:textId="3E5436F9" w:rsidR="00E36A19" w:rsidRPr="00E36A19" w:rsidRDefault="00342063" w:rsidP="00E36A19">
      <w:pPr>
        <w:pStyle w:val="ListParagraph"/>
        <w:spacing w:before="120" w:line="360" w:lineRule="auto"/>
        <w:ind w:left="426"/>
        <w:rPr>
          <w:rFonts w:asciiTheme="majorHAnsi" w:hAnsiTheme="majorHAnsi" w:cs="Arial"/>
          <w:szCs w:val="18"/>
        </w:rPr>
      </w:pPr>
      <m:oMathPara>
        <m:oMath>
          <m:f>
            <m:fPr>
              <m:ctrlPr>
                <w:rPr>
                  <w:rFonts w:ascii="Cambria Math" w:hAnsi="Cambria Math" w:cs="Arial"/>
                  <w:szCs w:val="18"/>
                </w:rPr>
              </m:ctrlPr>
            </m:fPr>
            <m:num>
              <m:r>
                <m:rPr>
                  <m:sty m:val="p"/>
                </m:rPr>
                <w:rPr>
                  <w:rFonts w:ascii="Cambria Math" w:hAnsi="Cambria Math" w:cs="Arial"/>
                  <w:szCs w:val="18"/>
                </w:rPr>
                <m:t>Total assets of the banking book with embedded behavioural optionality (nominal amount)</m:t>
              </m:r>
            </m:num>
            <m:den>
              <m:r>
                <m:rPr>
                  <m:sty m:val="p"/>
                </m:rPr>
                <w:rPr>
                  <w:rFonts w:ascii="Cambria Math" w:hAnsi="Cambria Math" w:cs="Arial"/>
                  <w:szCs w:val="18"/>
                </w:rPr>
                <m:t>Total assets of the banking book (nominal/notional amount)</m:t>
              </m:r>
            </m:den>
          </m:f>
        </m:oMath>
      </m:oMathPara>
    </w:p>
    <w:p w14:paraId="42E19C76"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Item 20 – Ratio of liabilities in the banking book with embedded behavioural optionality over total liabilities in the banking book per material currency</w:t>
      </w:r>
    </w:p>
    <w:p w14:paraId="643C2917" w14:textId="6BE76BF5" w:rsidR="00E36A19" w:rsidRPr="00E36A19" w:rsidRDefault="00342063" w:rsidP="00E36A19">
      <w:pPr>
        <w:spacing w:before="120" w:line="360" w:lineRule="auto"/>
        <w:rPr>
          <w:rFonts w:asciiTheme="majorHAnsi" w:eastAsiaTheme="minorEastAsia" w:hAnsiTheme="majorHAnsi" w:cs="Arial"/>
          <w:szCs w:val="18"/>
        </w:rPr>
      </w:pPr>
      <m:oMathPara>
        <m:oMath>
          <m:f>
            <m:fPr>
              <m:ctrlPr>
                <w:rPr>
                  <w:rFonts w:ascii="Cambria Math" w:hAnsi="Cambria Math" w:cs="Arial"/>
                  <w:szCs w:val="18"/>
                </w:rPr>
              </m:ctrlPr>
            </m:fPr>
            <m:num>
              <m:r>
                <m:rPr>
                  <m:sty m:val="p"/>
                </m:rPr>
                <w:rPr>
                  <w:rFonts w:ascii="Cambria Math" w:hAnsi="Cambria Math" w:cs="Arial"/>
                  <w:szCs w:val="18"/>
                </w:rPr>
                <m:t>Total liabilities of the banking book with embedded behavioural optionality (nominal amount)</m:t>
              </m:r>
            </m:num>
            <m:den>
              <m:r>
                <m:rPr>
                  <m:sty m:val="p"/>
                </m:rPr>
                <w:rPr>
                  <w:rFonts w:ascii="Cambria Math" w:hAnsi="Cambria Math" w:cs="Arial"/>
                  <w:szCs w:val="18"/>
                </w:rPr>
                <m:t>Total liabilities of the banking book (nominal/notional amount)</m:t>
              </m:r>
            </m:den>
          </m:f>
        </m:oMath>
      </m:oMathPara>
    </w:p>
    <w:p w14:paraId="73014978" w14:textId="77777777" w:rsidR="00E36A19" w:rsidRPr="00E36A19" w:rsidRDefault="00E36A19" w:rsidP="00E36A19">
      <w:pPr>
        <w:spacing w:before="120" w:line="360" w:lineRule="auto"/>
        <w:rPr>
          <w:rFonts w:asciiTheme="majorHAnsi" w:hAnsiTheme="majorHAnsi" w:cs="Arial"/>
          <w:b/>
          <w:szCs w:val="18"/>
        </w:rPr>
      </w:pPr>
    </w:p>
    <w:p w14:paraId="04B58E95" w14:textId="77777777" w:rsidR="00482FCE" w:rsidRDefault="00482FCE" w:rsidP="00E36A19">
      <w:pPr>
        <w:spacing w:before="120" w:line="360" w:lineRule="auto"/>
        <w:rPr>
          <w:rFonts w:asciiTheme="majorHAnsi" w:hAnsiTheme="majorHAnsi" w:cs="Arial"/>
          <w:b/>
          <w:szCs w:val="18"/>
        </w:rPr>
      </w:pPr>
    </w:p>
    <w:p w14:paraId="136C72F0"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lastRenderedPageBreak/>
        <w:t>Section “Questions”</w:t>
      </w:r>
    </w:p>
    <w:p w14:paraId="42821BDB" w14:textId="4270F189"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In order to gather critical information </w:t>
      </w:r>
      <w:r w:rsidR="00EC185F">
        <w:rPr>
          <w:rFonts w:asciiTheme="majorHAnsi" w:hAnsiTheme="majorHAnsi" w:cs="Arial"/>
          <w:szCs w:val="18"/>
        </w:rPr>
        <w:t>to</w:t>
      </w:r>
      <w:r w:rsidR="00EC185F" w:rsidRPr="00E36A19">
        <w:rPr>
          <w:rFonts w:asciiTheme="majorHAnsi" w:hAnsiTheme="majorHAnsi" w:cs="Arial"/>
          <w:szCs w:val="18"/>
        </w:rPr>
        <w:t xml:space="preserve"> </w:t>
      </w:r>
      <w:r w:rsidRPr="00E36A19">
        <w:rPr>
          <w:rFonts w:asciiTheme="majorHAnsi" w:hAnsiTheme="majorHAnsi" w:cs="Arial"/>
          <w:szCs w:val="18"/>
        </w:rPr>
        <w:t>understand the quantitative results of the change in EVE and the change in the forecasted net interest income, institutions are required to briefly describe:</w:t>
      </w:r>
    </w:p>
    <w:p w14:paraId="14738304" w14:textId="77777777" w:rsidR="00E36A19" w:rsidRPr="00E36A19" w:rsidRDefault="00E36A19" w:rsidP="00E36A19">
      <w:pPr>
        <w:pStyle w:val="ListParagraph"/>
        <w:keepLines w:val="0"/>
        <w:numPr>
          <w:ilvl w:val="0"/>
          <w:numId w:val="9"/>
        </w:numPr>
        <w:spacing w:before="120" w:after="200" w:line="360" w:lineRule="auto"/>
        <w:rPr>
          <w:rFonts w:asciiTheme="majorHAnsi" w:hAnsiTheme="majorHAnsi" w:cs="Arial"/>
          <w:szCs w:val="18"/>
        </w:rPr>
      </w:pPr>
      <w:r w:rsidRPr="00E36A19">
        <w:rPr>
          <w:rFonts w:asciiTheme="majorHAnsi" w:hAnsiTheme="majorHAnsi" w:cs="Arial"/>
          <w:szCs w:val="18"/>
        </w:rPr>
        <w:t xml:space="preserve">the main drivers of their </w:t>
      </w:r>
      <w:r w:rsidRPr="00E36A19">
        <w:rPr>
          <w:rFonts w:asciiTheme="majorHAnsi" w:hAnsiTheme="majorHAnsi" w:cs="Arial"/>
          <w:b/>
          <w:szCs w:val="18"/>
        </w:rPr>
        <w:t>change in EVE</w:t>
      </w:r>
      <w:r w:rsidRPr="00E36A19">
        <w:rPr>
          <w:rFonts w:asciiTheme="majorHAnsi" w:hAnsiTheme="majorHAnsi" w:cs="Arial"/>
          <w:szCs w:val="18"/>
        </w:rPr>
        <w:t xml:space="preserve"> under the worst scenario </w:t>
      </w:r>
      <w:r w:rsidRPr="00E36A19">
        <w:rPr>
          <w:rFonts w:asciiTheme="majorHAnsi" w:hAnsiTheme="majorHAnsi" w:cs="Arial"/>
          <w:b/>
          <w:szCs w:val="18"/>
        </w:rPr>
        <w:t>under a parallel shock</w:t>
      </w:r>
      <w:r w:rsidRPr="00E36A19">
        <w:rPr>
          <w:rFonts w:asciiTheme="majorHAnsi" w:hAnsiTheme="majorHAnsi" w:cs="Arial"/>
          <w:szCs w:val="18"/>
        </w:rPr>
        <w:t xml:space="preserve"> (item 1)</w:t>
      </w:r>
    </w:p>
    <w:p w14:paraId="2E75FDDB" w14:textId="77777777" w:rsidR="00E36A19" w:rsidRPr="00E36A19" w:rsidRDefault="00E36A19" w:rsidP="00E36A19">
      <w:pPr>
        <w:pStyle w:val="ListParagraph"/>
        <w:keepLines w:val="0"/>
        <w:numPr>
          <w:ilvl w:val="0"/>
          <w:numId w:val="9"/>
        </w:numPr>
        <w:spacing w:before="120" w:after="200" w:line="360" w:lineRule="auto"/>
        <w:rPr>
          <w:rFonts w:asciiTheme="majorHAnsi" w:hAnsiTheme="majorHAnsi" w:cs="Arial"/>
          <w:szCs w:val="18"/>
        </w:rPr>
      </w:pPr>
      <w:r w:rsidRPr="00E36A19">
        <w:rPr>
          <w:rFonts w:asciiTheme="majorHAnsi" w:hAnsiTheme="majorHAnsi" w:cs="Arial"/>
          <w:szCs w:val="18"/>
        </w:rPr>
        <w:t xml:space="preserve">the main drivers of their </w:t>
      </w:r>
      <w:r w:rsidRPr="00E36A19">
        <w:rPr>
          <w:rFonts w:asciiTheme="majorHAnsi" w:hAnsiTheme="majorHAnsi" w:cs="Arial"/>
          <w:b/>
          <w:szCs w:val="18"/>
        </w:rPr>
        <w:t>change in EVE</w:t>
      </w:r>
      <w:r w:rsidRPr="00E36A19">
        <w:rPr>
          <w:rFonts w:asciiTheme="majorHAnsi" w:hAnsiTheme="majorHAnsi" w:cs="Arial"/>
          <w:szCs w:val="18"/>
        </w:rPr>
        <w:t xml:space="preserve"> under the worst scenario </w:t>
      </w:r>
      <w:r w:rsidRPr="00E36A19">
        <w:rPr>
          <w:rFonts w:asciiTheme="majorHAnsi" w:hAnsiTheme="majorHAnsi" w:cs="Arial"/>
          <w:b/>
          <w:szCs w:val="18"/>
        </w:rPr>
        <w:t>under the six additional interest rate scenarios</w:t>
      </w:r>
      <w:r w:rsidRPr="00E36A19">
        <w:rPr>
          <w:rFonts w:asciiTheme="majorHAnsi" w:hAnsiTheme="majorHAnsi" w:cs="Arial"/>
          <w:szCs w:val="18"/>
        </w:rPr>
        <w:t xml:space="preserve"> (item 4)</w:t>
      </w:r>
    </w:p>
    <w:p w14:paraId="7F988662" w14:textId="77777777" w:rsidR="00E36A19" w:rsidRPr="00E36A19" w:rsidRDefault="00E36A19" w:rsidP="00E36A19">
      <w:pPr>
        <w:pStyle w:val="ListParagraph"/>
        <w:keepLines w:val="0"/>
        <w:numPr>
          <w:ilvl w:val="0"/>
          <w:numId w:val="9"/>
        </w:numPr>
        <w:spacing w:before="120" w:after="200" w:line="360" w:lineRule="auto"/>
        <w:rPr>
          <w:rFonts w:asciiTheme="majorHAnsi" w:hAnsiTheme="majorHAnsi" w:cs="Arial"/>
          <w:szCs w:val="18"/>
        </w:rPr>
      </w:pPr>
      <w:r w:rsidRPr="00E36A19">
        <w:rPr>
          <w:rFonts w:asciiTheme="majorHAnsi" w:hAnsiTheme="majorHAnsi" w:cs="Arial"/>
          <w:szCs w:val="18"/>
        </w:rPr>
        <w:t xml:space="preserve">the main drivers of their </w:t>
      </w:r>
      <w:r w:rsidRPr="00E36A19">
        <w:rPr>
          <w:rFonts w:asciiTheme="majorHAnsi" w:hAnsiTheme="majorHAnsi" w:cs="Arial"/>
          <w:b/>
          <w:szCs w:val="18"/>
        </w:rPr>
        <w:t>change in the forecasted net interest income</w:t>
      </w:r>
      <w:r w:rsidRPr="00E36A19">
        <w:rPr>
          <w:rFonts w:asciiTheme="majorHAnsi" w:hAnsiTheme="majorHAnsi" w:cs="Arial"/>
          <w:szCs w:val="18"/>
        </w:rPr>
        <w:t xml:space="preserve"> under the worst scenario </w:t>
      </w:r>
      <w:r w:rsidRPr="00E36A19">
        <w:rPr>
          <w:rFonts w:asciiTheme="majorHAnsi" w:hAnsiTheme="majorHAnsi" w:cs="Arial"/>
          <w:b/>
          <w:szCs w:val="18"/>
        </w:rPr>
        <w:t xml:space="preserve">under a parallel shock </w:t>
      </w:r>
      <w:r w:rsidRPr="00E36A19">
        <w:rPr>
          <w:rFonts w:asciiTheme="majorHAnsi" w:hAnsiTheme="majorHAnsi" w:cs="Arial"/>
          <w:szCs w:val="18"/>
        </w:rPr>
        <w:t>(items 12 or 13)</w:t>
      </w:r>
    </w:p>
    <w:p w14:paraId="196856EA" w14:textId="77777777" w:rsidR="00E36A19" w:rsidRPr="00E36A19" w:rsidRDefault="00E36A19" w:rsidP="00A32D9E">
      <w:pPr>
        <w:pStyle w:val="Heading2"/>
        <w:numPr>
          <w:ilvl w:val="0"/>
          <w:numId w:val="0"/>
        </w:numPr>
        <w:spacing w:before="120" w:line="360" w:lineRule="auto"/>
        <w:ind w:left="720"/>
        <w:rPr>
          <w:rFonts w:asciiTheme="majorHAnsi" w:hAnsiTheme="majorHAnsi" w:cs="Arial"/>
          <w:sz w:val="18"/>
          <w:szCs w:val="18"/>
        </w:rPr>
      </w:pPr>
      <w:bookmarkStart w:id="36" w:name="_Toc57707666"/>
      <w:bookmarkStart w:id="37" w:name="_Toc57976559"/>
      <w:r w:rsidRPr="00E36A19">
        <w:rPr>
          <w:rFonts w:asciiTheme="majorHAnsi" w:hAnsiTheme="majorHAnsi" w:cs="Arial"/>
          <w:sz w:val="18"/>
          <w:szCs w:val="18"/>
        </w:rPr>
        <w:t>“IRRBB outlier questions - N” and “IRRBB outlier questions - C” worksheets</w:t>
      </w:r>
      <w:bookmarkEnd w:id="36"/>
      <w:bookmarkEnd w:id="37"/>
    </w:p>
    <w:p w14:paraId="52DB057B" w14:textId="14A7C8C4"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In order to gather critical information </w:t>
      </w:r>
      <w:r w:rsidR="00EC185F">
        <w:rPr>
          <w:rFonts w:asciiTheme="majorHAnsi" w:hAnsiTheme="majorHAnsi" w:cs="Arial"/>
          <w:szCs w:val="18"/>
        </w:rPr>
        <w:t>to</w:t>
      </w:r>
      <w:r w:rsidR="00EC185F" w:rsidRPr="00E36A19">
        <w:rPr>
          <w:rFonts w:asciiTheme="majorHAnsi" w:hAnsiTheme="majorHAnsi" w:cs="Arial"/>
          <w:szCs w:val="18"/>
        </w:rPr>
        <w:t xml:space="preserve"> </w:t>
      </w:r>
      <w:r w:rsidRPr="00E36A19">
        <w:rPr>
          <w:rFonts w:asciiTheme="majorHAnsi" w:hAnsiTheme="majorHAnsi" w:cs="Arial"/>
          <w:szCs w:val="18"/>
        </w:rPr>
        <w:t xml:space="preserve">understand the calculations or methodologies used for the calculation of the changes in </w:t>
      </w:r>
      <w:r w:rsidR="00EC185F">
        <w:rPr>
          <w:rFonts w:asciiTheme="majorHAnsi" w:hAnsiTheme="majorHAnsi" w:cs="Arial"/>
          <w:szCs w:val="18"/>
        </w:rPr>
        <w:t xml:space="preserve">the </w:t>
      </w:r>
      <w:r w:rsidRPr="00E36A19">
        <w:rPr>
          <w:rFonts w:asciiTheme="majorHAnsi" w:hAnsiTheme="majorHAnsi" w:cs="Arial"/>
          <w:szCs w:val="18"/>
        </w:rPr>
        <w:t xml:space="preserve">EVE and earnings measures, outlier institutions are required to answer a few questions included in the templates “IRRBB outlier questions - N” on an individual basis and “IRRBB outlier questions - C” on a consolidated basis. Institutions are required to provide responses to these questions in the template “IRRBB outlier questions - </w:t>
      </w:r>
      <w:proofErr w:type="gramStart"/>
      <w:r w:rsidRPr="00E36A19">
        <w:rPr>
          <w:rFonts w:asciiTheme="majorHAnsi" w:hAnsiTheme="majorHAnsi" w:cs="Arial"/>
          <w:szCs w:val="18"/>
        </w:rPr>
        <w:t>N”  if</w:t>
      </w:r>
      <w:proofErr w:type="gramEnd"/>
      <w:r w:rsidRPr="00E36A19">
        <w:rPr>
          <w:rFonts w:asciiTheme="majorHAnsi" w:hAnsiTheme="majorHAnsi" w:cs="Arial"/>
          <w:szCs w:val="18"/>
        </w:rPr>
        <w:t xml:space="preserve"> they selected “YES” to one of the dropdown box menu in cells K12 or K17 of the “IRRBB measures – N version” worksheet as described in paragraph </w:t>
      </w:r>
      <w:r w:rsidR="008878A5">
        <w:rPr>
          <w:rFonts w:asciiTheme="majorHAnsi" w:hAnsiTheme="majorHAnsi" w:cs="Arial"/>
          <w:szCs w:val="18"/>
        </w:rPr>
        <w:t>35</w:t>
      </w:r>
      <w:r w:rsidRPr="00E36A19">
        <w:rPr>
          <w:rFonts w:asciiTheme="majorHAnsi" w:hAnsiTheme="majorHAnsi" w:cs="Arial"/>
          <w:szCs w:val="18"/>
        </w:rPr>
        <w:t xml:space="preserve">. Institutions are required to provide responses to these questions in the template “IRRBB outlier questions - </w:t>
      </w:r>
      <w:proofErr w:type="gramStart"/>
      <w:r w:rsidRPr="00E36A19">
        <w:rPr>
          <w:rFonts w:asciiTheme="majorHAnsi" w:hAnsiTheme="majorHAnsi" w:cs="Arial"/>
          <w:szCs w:val="18"/>
        </w:rPr>
        <w:t>C”  if</w:t>
      </w:r>
      <w:proofErr w:type="gramEnd"/>
      <w:r w:rsidRPr="00E36A19">
        <w:rPr>
          <w:rFonts w:asciiTheme="majorHAnsi" w:hAnsiTheme="majorHAnsi" w:cs="Arial"/>
          <w:szCs w:val="18"/>
        </w:rPr>
        <w:t xml:space="preserve"> they selected “YES” to one of the dropdown box menu in cells K12 or K17 of the “IRRBB measures – C version” worksheet as described in paragraph </w:t>
      </w:r>
      <w:r w:rsidR="008878A5">
        <w:rPr>
          <w:rFonts w:asciiTheme="majorHAnsi" w:hAnsiTheme="majorHAnsi" w:cs="Arial"/>
          <w:szCs w:val="18"/>
        </w:rPr>
        <w:t>35</w:t>
      </w:r>
      <w:r w:rsidRPr="00E36A19">
        <w:rPr>
          <w:rFonts w:asciiTheme="majorHAnsi" w:hAnsiTheme="majorHAnsi" w:cs="Arial"/>
          <w:szCs w:val="18"/>
        </w:rPr>
        <w:t>. Any input cells on this worksheet are blocked (grey colour) if the institution has selected ‘No’ in the dropdown menu for both cells K12 and K17.</w:t>
      </w:r>
    </w:p>
    <w:p w14:paraId="376E1B8C" w14:textId="285F6D25" w:rsidR="00E36A19" w:rsidRPr="00E36A19" w:rsidRDefault="00E36A19" w:rsidP="00E36A19">
      <w:pPr>
        <w:pStyle w:val="ListParagraph"/>
        <w:spacing w:before="120" w:line="360" w:lineRule="auto"/>
        <w:ind w:left="426"/>
        <w:rPr>
          <w:rFonts w:asciiTheme="majorHAnsi" w:hAnsiTheme="majorHAnsi" w:cs="Arial"/>
          <w:szCs w:val="18"/>
        </w:rPr>
      </w:pPr>
      <w:r w:rsidRPr="00E36A19">
        <w:rPr>
          <w:rFonts w:asciiTheme="majorHAnsi" w:hAnsiTheme="majorHAnsi" w:cs="Arial"/>
          <w:szCs w:val="18"/>
        </w:rPr>
        <w:t xml:space="preserve">Non-outlier institutions could also be requested to complete the template “IRRBB outlier questions” on an individual basis or on a consolidated basis upon a specific request from the CSSF. In that case, institutions should select </w:t>
      </w:r>
      <w:r w:rsidR="00004D2F">
        <w:rPr>
          <w:rFonts w:asciiTheme="majorHAnsi" w:hAnsiTheme="majorHAnsi" w:cs="Arial"/>
          <w:szCs w:val="18"/>
        </w:rPr>
        <w:t>“</w:t>
      </w:r>
      <w:r w:rsidRPr="00E36A19">
        <w:rPr>
          <w:rFonts w:asciiTheme="majorHAnsi" w:hAnsiTheme="majorHAnsi" w:cs="Arial"/>
          <w:szCs w:val="18"/>
        </w:rPr>
        <w:t>YES</w:t>
      </w:r>
      <w:r w:rsidR="00004D2F">
        <w:rPr>
          <w:rFonts w:asciiTheme="majorHAnsi" w:hAnsiTheme="majorHAnsi" w:cs="Arial"/>
          <w:szCs w:val="18"/>
        </w:rPr>
        <w:t>”</w:t>
      </w:r>
      <w:r w:rsidRPr="00E36A19">
        <w:rPr>
          <w:rFonts w:asciiTheme="majorHAnsi" w:hAnsiTheme="majorHAnsi" w:cs="Arial"/>
          <w:szCs w:val="18"/>
        </w:rPr>
        <w:t xml:space="preserve"> in the dropdown menu in cell K3 of the “IRRBB outlier questions – N” </w:t>
      </w:r>
      <w:r w:rsidR="00EC185F" w:rsidRPr="00E36A19">
        <w:rPr>
          <w:rFonts w:asciiTheme="majorHAnsi" w:hAnsiTheme="majorHAnsi" w:cs="Arial"/>
          <w:szCs w:val="18"/>
        </w:rPr>
        <w:t xml:space="preserve">worksheet </w:t>
      </w:r>
      <w:r w:rsidRPr="00E36A19">
        <w:rPr>
          <w:rFonts w:asciiTheme="majorHAnsi" w:hAnsiTheme="majorHAnsi" w:cs="Arial"/>
          <w:szCs w:val="18"/>
        </w:rPr>
        <w:t xml:space="preserve">or </w:t>
      </w:r>
      <w:r w:rsidR="00E57524">
        <w:rPr>
          <w:rFonts w:asciiTheme="majorHAnsi" w:hAnsiTheme="majorHAnsi" w:cs="Arial"/>
          <w:szCs w:val="18"/>
        </w:rPr>
        <w:t xml:space="preserve">of the </w:t>
      </w:r>
      <w:r w:rsidRPr="00E36A19">
        <w:rPr>
          <w:rFonts w:asciiTheme="majorHAnsi" w:hAnsiTheme="majorHAnsi" w:cs="Arial"/>
          <w:szCs w:val="18"/>
        </w:rPr>
        <w:t>“IRRBB outlier questions – C” worksheet</w:t>
      </w:r>
      <w:r w:rsidR="00EC185F">
        <w:rPr>
          <w:rFonts w:asciiTheme="majorHAnsi" w:hAnsiTheme="majorHAnsi" w:cs="Arial"/>
          <w:szCs w:val="18"/>
        </w:rPr>
        <w:t xml:space="preserve"> respectively</w:t>
      </w:r>
      <w:r w:rsidRPr="00E36A19">
        <w:rPr>
          <w:rFonts w:asciiTheme="majorHAnsi" w:hAnsiTheme="majorHAnsi" w:cs="Arial"/>
          <w:szCs w:val="18"/>
        </w:rPr>
        <w:t>.</w:t>
      </w:r>
    </w:p>
    <w:p w14:paraId="162397DD"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Question 1</w:t>
      </w:r>
    </w:p>
    <w:p w14:paraId="6E85B021" w14:textId="77777777" w:rsidR="00E36A19" w:rsidRPr="00E36A19" w:rsidRDefault="00E36A19" w:rsidP="00E36A19">
      <w:pPr>
        <w:spacing w:before="120" w:line="360" w:lineRule="auto"/>
        <w:rPr>
          <w:rFonts w:asciiTheme="majorHAnsi" w:hAnsiTheme="majorHAnsi" w:cs="Arial"/>
          <w:b/>
          <w:i/>
          <w:szCs w:val="18"/>
        </w:rPr>
      </w:pPr>
      <w:r w:rsidRPr="00E36A19">
        <w:rPr>
          <w:rFonts w:asciiTheme="majorHAnsi" w:hAnsiTheme="majorHAnsi" w:cs="Arial"/>
          <w:b/>
          <w:i/>
          <w:szCs w:val="18"/>
        </w:rPr>
        <w:t xml:space="preserve">“Explain the reasons for this </w:t>
      </w:r>
      <w:proofErr w:type="gramStart"/>
      <w:r w:rsidRPr="00E36A19">
        <w:rPr>
          <w:rFonts w:asciiTheme="majorHAnsi" w:hAnsiTheme="majorHAnsi" w:cs="Arial"/>
          <w:b/>
          <w:i/>
          <w:szCs w:val="18"/>
        </w:rPr>
        <w:t>high risk</w:t>
      </w:r>
      <w:proofErr w:type="gramEnd"/>
      <w:r w:rsidRPr="00E36A19">
        <w:rPr>
          <w:rFonts w:asciiTheme="majorHAnsi" w:hAnsiTheme="majorHAnsi" w:cs="Arial"/>
          <w:b/>
          <w:i/>
          <w:szCs w:val="18"/>
        </w:rPr>
        <w:t xml:space="preserve"> level. Which action plan will you take to reduce your sensitivity? (Please provide an answer only if you are an outlier)”</w:t>
      </w:r>
    </w:p>
    <w:p w14:paraId="19C2E0B2" w14:textId="09665041"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lastRenderedPageBreak/>
        <w:t>Outlier institutions are required to briefly describe the reasons why their sensitivity is over the regulatory limit (according to paragraph 113 and 114 of the EBA/GL/2018/02) and provide an action plan to reduce the change in EVE.</w:t>
      </w:r>
      <w:r w:rsidR="0089018E">
        <w:rPr>
          <w:rFonts w:asciiTheme="majorHAnsi" w:hAnsiTheme="majorHAnsi" w:cs="Arial"/>
          <w:szCs w:val="18"/>
        </w:rPr>
        <w:t xml:space="preserve"> Where relevant and in the case of consolidated reporting, the outlier institution should also give some indications of the entity or entities driving the outlier positions.</w:t>
      </w:r>
    </w:p>
    <w:p w14:paraId="6432C622"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Question 2</w:t>
      </w:r>
    </w:p>
    <w:p w14:paraId="0AE7EC68" w14:textId="59F5C903" w:rsidR="00E36A19" w:rsidRPr="00E36A19" w:rsidRDefault="00E36A19" w:rsidP="00E36A19">
      <w:pPr>
        <w:spacing w:before="120" w:line="360" w:lineRule="auto"/>
        <w:rPr>
          <w:rFonts w:asciiTheme="majorHAnsi" w:hAnsiTheme="majorHAnsi" w:cs="Arial"/>
          <w:b/>
          <w:i/>
          <w:szCs w:val="18"/>
        </w:rPr>
      </w:pPr>
      <w:r w:rsidRPr="00E36A19">
        <w:rPr>
          <w:rFonts w:asciiTheme="majorHAnsi" w:hAnsiTheme="majorHAnsi" w:cs="Arial"/>
          <w:b/>
          <w:i/>
          <w:szCs w:val="18"/>
        </w:rPr>
        <w:t xml:space="preserve">“Which risk-free yield curves have </w:t>
      </w:r>
      <w:r w:rsidR="0089018E">
        <w:rPr>
          <w:rFonts w:asciiTheme="majorHAnsi" w:hAnsiTheme="majorHAnsi" w:cs="Arial"/>
          <w:b/>
          <w:i/>
          <w:szCs w:val="18"/>
        </w:rPr>
        <w:t>you</w:t>
      </w:r>
      <w:r w:rsidR="0089018E" w:rsidRPr="00E36A19">
        <w:rPr>
          <w:rFonts w:asciiTheme="majorHAnsi" w:hAnsiTheme="majorHAnsi" w:cs="Arial"/>
          <w:b/>
          <w:i/>
          <w:szCs w:val="18"/>
        </w:rPr>
        <w:t xml:space="preserve"> </w:t>
      </w:r>
      <w:r w:rsidRPr="00E36A19">
        <w:rPr>
          <w:rFonts w:asciiTheme="majorHAnsi" w:hAnsiTheme="majorHAnsi" w:cs="Arial"/>
          <w:b/>
          <w:i/>
          <w:szCs w:val="18"/>
        </w:rPr>
        <w:t>used in order to compute the supervisory standard shocks?”</w:t>
      </w:r>
    </w:p>
    <w:p w14:paraId="7E651464"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According to paragraph 115(n) of the EBA/GL/2018/02, an appropriate general ‘risk-free’ yield curve per currency should be applied. That curve should not include instrument-specific or entity-specific spreads such as credit risk spreads or liquidity risk spreads.</w:t>
      </w:r>
    </w:p>
    <w:p w14:paraId="06CC2C87"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As such, institutions should clarify which ‘risk-free’ yield curves they have been using for the calculations of the standard shock for each of the material currencies included in the computation of the standard shock, and the relevant modelling assumptions to derive specific interest rates (e.g. interpolation methods, etc.).</w:t>
      </w:r>
    </w:p>
    <w:p w14:paraId="61D4F59B" w14:textId="77777777" w:rsidR="00E36A19" w:rsidRPr="00E36A19" w:rsidRDefault="00E36A19" w:rsidP="00E36A19">
      <w:pPr>
        <w:tabs>
          <w:tab w:val="left" w:pos="1570"/>
        </w:tabs>
        <w:spacing w:before="120" w:line="360" w:lineRule="auto"/>
        <w:rPr>
          <w:rFonts w:asciiTheme="majorHAnsi" w:hAnsiTheme="majorHAnsi" w:cs="Arial"/>
          <w:b/>
          <w:szCs w:val="18"/>
        </w:rPr>
      </w:pPr>
      <w:r w:rsidRPr="00E36A19">
        <w:rPr>
          <w:rFonts w:asciiTheme="majorHAnsi" w:hAnsiTheme="majorHAnsi" w:cs="Arial"/>
          <w:b/>
          <w:szCs w:val="18"/>
        </w:rPr>
        <w:t>Question 3</w:t>
      </w:r>
      <w:r w:rsidRPr="00E36A19">
        <w:rPr>
          <w:rFonts w:asciiTheme="majorHAnsi" w:hAnsiTheme="majorHAnsi" w:cs="Arial"/>
          <w:b/>
          <w:szCs w:val="18"/>
        </w:rPr>
        <w:tab/>
      </w:r>
    </w:p>
    <w:p w14:paraId="41DF2ED9" w14:textId="77777777" w:rsidR="00E36A19" w:rsidRPr="00E36A19" w:rsidRDefault="00E36A19" w:rsidP="00E36A19">
      <w:pPr>
        <w:spacing w:before="120" w:line="360" w:lineRule="auto"/>
        <w:rPr>
          <w:rFonts w:asciiTheme="majorHAnsi" w:hAnsiTheme="majorHAnsi" w:cs="Arial"/>
          <w:b/>
          <w:i/>
          <w:szCs w:val="18"/>
        </w:rPr>
      </w:pPr>
      <w:r w:rsidRPr="00E36A19">
        <w:rPr>
          <w:rFonts w:asciiTheme="majorHAnsi" w:hAnsiTheme="majorHAnsi" w:cs="Arial"/>
          <w:b/>
          <w:i/>
          <w:szCs w:val="18"/>
        </w:rPr>
        <w:t>“Which IRRBB measurement methods from Annexes I and II have you used to compute the interest rate shocks for the changes in EVE and earnings measures?”</w:t>
      </w:r>
    </w:p>
    <w:p w14:paraId="2A15181F"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Annex I of the EBA/GL/02/2018 provides IRRBB measurement methods for measuring changes in EVE and in earnings according to different yield curve scenarios.</w:t>
      </w:r>
    </w:p>
    <w:p w14:paraId="064B1636"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Annex II of the EBA/GL/02/2018 provides a sophistication matrix for IRRBB measurement. Institutions should indicate the sophistication levels of quantitative tools and models used.</w:t>
      </w:r>
    </w:p>
    <w:p w14:paraId="099FCAE5"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Institutions should clarify which:</w:t>
      </w:r>
    </w:p>
    <w:p w14:paraId="52376C49" w14:textId="77777777" w:rsidR="00E36A19" w:rsidRPr="00E36A19" w:rsidRDefault="00E36A19" w:rsidP="00E36A19">
      <w:pPr>
        <w:pStyle w:val="ListParagraph"/>
        <w:keepLines w:val="0"/>
        <w:numPr>
          <w:ilvl w:val="0"/>
          <w:numId w:val="10"/>
        </w:numPr>
        <w:spacing w:before="120" w:after="200" w:line="360" w:lineRule="auto"/>
        <w:rPr>
          <w:rFonts w:asciiTheme="majorHAnsi" w:hAnsiTheme="majorHAnsi" w:cs="Arial"/>
          <w:szCs w:val="18"/>
        </w:rPr>
      </w:pPr>
      <w:r w:rsidRPr="00E36A19">
        <w:rPr>
          <w:rFonts w:asciiTheme="majorHAnsi" w:hAnsiTheme="majorHAnsi" w:cs="Arial"/>
          <w:szCs w:val="18"/>
        </w:rPr>
        <w:t>of the methods listed in Annex I; and</w:t>
      </w:r>
    </w:p>
    <w:p w14:paraId="33421618" w14:textId="77777777" w:rsidR="00E36A19" w:rsidRPr="00E36A19" w:rsidRDefault="00E36A19" w:rsidP="00E36A19">
      <w:pPr>
        <w:pStyle w:val="ListParagraph"/>
        <w:keepLines w:val="0"/>
        <w:numPr>
          <w:ilvl w:val="0"/>
          <w:numId w:val="10"/>
        </w:numPr>
        <w:spacing w:before="120" w:after="200" w:line="360" w:lineRule="auto"/>
        <w:rPr>
          <w:rFonts w:asciiTheme="majorHAnsi" w:hAnsiTheme="majorHAnsi" w:cs="Arial"/>
          <w:szCs w:val="18"/>
        </w:rPr>
      </w:pPr>
      <w:r w:rsidRPr="00E36A19">
        <w:rPr>
          <w:rFonts w:asciiTheme="majorHAnsi" w:hAnsiTheme="majorHAnsi" w:cs="Arial"/>
          <w:szCs w:val="18"/>
        </w:rPr>
        <w:t>level of sophistication listed in Annex II;</w:t>
      </w:r>
    </w:p>
    <w:p w14:paraId="09566DF0" w14:textId="09AD4DAC" w:rsidR="00E36A19" w:rsidRPr="00E36A19" w:rsidRDefault="00E36A19" w:rsidP="00E36A19">
      <w:pPr>
        <w:pStyle w:val="ListParagraph"/>
        <w:spacing w:before="120" w:line="360" w:lineRule="auto"/>
        <w:ind w:left="426"/>
        <w:rPr>
          <w:rFonts w:asciiTheme="majorHAnsi" w:hAnsiTheme="majorHAnsi" w:cs="Arial"/>
          <w:szCs w:val="18"/>
        </w:rPr>
      </w:pPr>
      <w:r w:rsidRPr="00E36A19">
        <w:rPr>
          <w:rFonts w:asciiTheme="majorHAnsi" w:hAnsiTheme="majorHAnsi" w:cs="Arial"/>
          <w:szCs w:val="18"/>
        </w:rPr>
        <w:t>have been used in the computation of the interest rate shock</w:t>
      </w:r>
      <w:r w:rsidR="00004D2F">
        <w:rPr>
          <w:rFonts w:asciiTheme="majorHAnsi" w:hAnsiTheme="majorHAnsi" w:cs="Arial"/>
          <w:szCs w:val="18"/>
        </w:rPr>
        <w:t xml:space="preserve"> </w:t>
      </w:r>
      <w:r w:rsidRPr="00E36A19">
        <w:rPr>
          <w:rFonts w:asciiTheme="majorHAnsi" w:hAnsiTheme="majorHAnsi" w:cs="Arial"/>
          <w:szCs w:val="18"/>
        </w:rPr>
        <w:t>s</w:t>
      </w:r>
      <w:r w:rsidR="00004D2F">
        <w:rPr>
          <w:rFonts w:asciiTheme="majorHAnsi" w:hAnsiTheme="majorHAnsi" w:cs="Arial"/>
          <w:szCs w:val="18"/>
        </w:rPr>
        <w:t>cenarios</w:t>
      </w:r>
      <w:r w:rsidRPr="00E36A19">
        <w:rPr>
          <w:rFonts w:asciiTheme="majorHAnsi" w:hAnsiTheme="majorHAnsi" w:cs="Arial"/>
          <w:szCs w:val="18"/>
        </w:rPr>
        <w:t xml:space="preserve"> for the changes in EVE and earnings measures (and in particular for NII/earnings, the methodology used to aggregate the metrics across currencies).</w:t>
      </w:r>
    </w:p>
    <w:p w14:paraId="53C45426" w14:textId="300B55CC"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Institutions should </w:t>
      </w:r>
      <w:r w:rsidR="00E57524">
        <w:rPr>
          <w:rFonts w:asciiTheme="majorHAnsi" w:hAnsiTheme="majorHAnsi" w:cs="Arial"/>
          <w:szCs w:val="18"/>
        </w:rPr>
        <w:t xml:space="preserve">choose among the “Methods” in the dropdown menu in cells C22 and C29 and </w:t>
      </w:r>
      <w:r w:rsidRPr="00E36A19">
        <w:rPr>
          <w:rFonts w:asciiTheme="majorHAnsi" w:hAnsiTheme="majorHAnsi" w:cs="Arial"/>
          <w:szCs w:val="18"/>
        </w:rPr>
        <w:t xml:space="preserve">use the boxes “Main assumptions” </w:t>
      </w:r>
      <w:r w:rsidR="00E57524">
        <w:rPr>
          <w:rFonts w:asciiTheme="majorHAnsi" w:hAnsiTheme="majorHAnsi" w:cs="Arial"/>
          <w:szCs w:val="18"/>
        </w:rPr>
        <w:t xml:space="preserve">in cells C25 and C32 </w:t>
      </w:r>
      <w:r w:rsidRPr="00E36A19">
        <w:rPr>
          <w:rFonts w:asciiTheme="majorHAnsi" w:hAnsiTheme="majorHAnsi" w:cs="Arial"/>
          <w:szCs w:val="18"/>
        </w:rPr>
        <w:t>to briefly explain the methods used.</w:t>
      </w:r>
    </w:p>
    <w:p w14:paraId="2DDD05FB" w14:textId="77777777" w:rsidR="00E36A19" w:rsidRPr="00E36A19" w:rsidRDefault="00E36A19" w:rsidP="00E36A19">
      <w:pPr>
        <w:spacing w:before="120" w:line="360" w:lineRule="auto"/>
        <w:rPr>
          <w:rFonts w:asciiTheme="majorHAnsi" w:hAnsiTheme="majorHAnsi" w:cs="Arial"/>
          <w:szCs w:val="18"/>
        </w:rPr>
      </w:pPr>
      <w:r w:rsidRPr="00E36A19">
        <w:rPr>
          <w:rFonts w:asciiTheme="majorHAnsi" w:hAnsiTheme="majorHAnsi" w:cs="Arial"/>
          <w:b/>
          <w:szCs w:val="18"/>
        </w:rPr>
        <w:lastRenderedPageBreak/>
        <w:t>Question 4</w:t>
      </w:r>
    </w:p>
    <w:p w14:paraId="133B2F4D" w14:textId="77777777" w:rsidR="00E36A19" w:rsidRPr="00E36A19" w:rsidRDefault="00E36A19" w:rsidP="00E36A19">
      <w:pPr>
        <w:spacing w:before="120" w:line="360" w:lineRule="auto"/>
        <w:rPr>
          <w:rFonts w:asciiTheme="majorHAnsi" w:hAnsiTheme="majorHAnsi" w:cs="Arial"/>
          <w:b/>
          <w:i/>
          <w:szCs w:val="18"/>
        </w:rPr>
      </w:pPr>
      <w:r w:rsidRPr="00E36A19">
        <w:rPr>
          <w:rFonts w:asciiTheme="majorHAnsi" w:hAnsiTheme="majorHAnsi" w:cs="Arial"/>
          <w:b/>
          <w:i/>
          <w:szCs w:val="18"/>
        </w:rPr>
        <w:t>“Have commercial margins and other spread components been excluded from the computation of the interest rate shocks for the change in EVE? If yes, please provide an explanation of the methodology used to exclude them.”</w:t>
      </w:r>
    </w:p>
    <w:p w14:paraId="60924A87"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According to the paragraph 115(</w:t>
      </w:r>
      <w:proofErr w:type="spellStart"/>
      <w:r w:rsidRPr="00E36A19">
        <w:rPr>
          <w:rFonts w:asciiTheme="majorHAnsi" w:hAnsiTheme="majorHAnsi" w:cs="Arial"/>
          <w:szCs w:val="18"/>
        </w:rPr>
        <w:t>i</w:t>
      </w:r>
      <w:proofErr w:type="spellEnd"/>
      <w:r w:rsidRPr="00E36A19">
        <w:rPr>
          <w:rFonts w:asciiTheme="majorHAnsi" w:hAnsiTheme="majorHAnsi" w:cs="Arial"/>
          <w:szCs w:val="18"/>
        </w:rPr>
        <w:t>), “</w:t>
      </w:r>
      <w:r w:rsidRPr="00E36A19">
        <w:rPr>
          <w:rFonts w:asciiTheme="majorHAnsi" w:hAnsiTheme="majorHAnsi" w:cs="Arial"/>
          <w:i/>
          <w:szCs w:val="18"/>
        </w:rPr>
        <w:t>the treatment of commercial margins and other spread components in interest payments in terms of their exclusion from or inclusion in the cash flows should be in accordance with the institutions’ internal management and measurement approach for interest rate risk in the non-trading book</w:t>
      </w:r>
      <w:r w:rsidRPr="00E36A19">
        <w:rPr>
          <w:rFonts w:asciiTheme="majorHAnsi" w:hAnsiTheme="majorHAnsi" w:cs="Arial"/>
          <w:szCs w:val="18"/>
        </w:rPr>
        <w:t>” and that institutions should “</w:t>
      </w:r>
      <w:r w:rsidRPr="00E36A19">
        <w:rPr>
          <w:rFonts w:asciiTheme="majorHAnsi" w:hAnsiTheme="majorHAnsi" w:cs="Arial"/>
          <w:i/>
          <w:szCs w:val="18"/>
        </w:rPr>
        <w:t>notify the competent authority whether they exclude commercial margins and other spread components from the [supervisory outlier test] calculation or not</w:t>
      </w:r>
      <w:r w:rsidRPr="00E36A19">
        <w:rPr>
          <w:rFonts w:asciiTheme="majorHAnsi" w:hAnsiTheme="majorHAnsi" w:cs="Arial"/>
          <w:szCs w:val="18"/>
        </w:rPr>
        <w:t>”.</w:t>
      </w:r>
    </w:p>
    <w:p w14:paraId="674207AA" w14:textId="452D688F"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Therefore, institutions should clarify if commercial margins and other spread components have been excluded in the computation by </w:t>
      </w:r>
      <w:r w:rsidR="00E57524">
        <w:rPr>
          <w:rFonts w:asciiTheme="majorHAnsi" w:hAnsiTheme="majorHAnsi" w:cs="Arial"/>
          <w:szCs w:val="18"/>
        </w:rPr>
        <w:t>choo</w:t>
      </w:r>
      <w:r w:rsidR="00E57524" w:rsidRPr="00E36A19">
        <w:rPr>
          <w:rFonts w:asciiTheme="majorHAnsi" w:hAnsiTheme="majorHAnsi" w:cs="Arial"/>
          <w:szCs w:val="18"/>
        </w:rPr>
        <w:t xml:space="preserve">sing </w:t>
      </w:r>
      <w:r w:rsidRPr="00E36A19">
        <w:rPr>
          <w:rFonts w:asciiTheme="majorHAnsi" w:hAnsiTheme="majorHAnsi" w:cs="Arial"/>
          <w:szCs w:val="18"/>
        </w:rPr>
        <w:t>“Yes” or “No”</w:t>
      </w:r>
      <w:r w:rsidR="00E57524">
        <w:rPr>
          <w:rFonts w:asciiTheme="majorHAnsi" w:hAnsiTheme="majorHAnsi" w:cs="Arial"/>
          <w:szCs w:val="18"/>
        </w:rPr>
        <w:t xml:space="preserve"> in the dropdown menu in cell C38</w:t>
      </w:r>
      <w:r w:rsidRPr="00E36A19">
        <w:rPr>
          <w:rFonts w:asciiTheme="majorHAnsi" w:hAnsiTheme="majorHAnsi" w:cs="Arial"/>
          <w:szCs w:val="18"/>
        </w:rPr>
        <w:t>. If the answer is “Yes”, the institution should briefly explain the methodology for identifying the risk-free rate at inception of each instrument and if the methodology is applied consistently across business units and within the group (for information at a consolidated level).</w:t>
      </w:r>
    </w:p>
    <w:p w14:paraId="6B2CF0CD"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Question 5</w:t>
      </w:r>
    </w:p>
    <w:p w14:paraId="361EE5D4" w14:textId="77777777" w:rsidR="00E36A19" w:rsidRPr="00E36A19" w:rsidRDefault="00E36A19" w:rsidP="00E36A19">
      <w:pPr>
        <w:spacing w:before="120" w:line="360" w:lineRule="auto"/>
        <w:rPr>
          <w:rFonts w:asciiTheme="majorHAnsi" w:hAnsiTheme="majorHAnsi" w:cs="Arial"/>
          <w:b/>
          <w:i/>
          <w:szCs w:val="18"/>
        </w:rPr>
      </w:pPr>
      <w:r w:rsidRPr="00E36A19">
        <w:rPr>
          <w:rFonts w:asciiTheme="majorHAnsi" w:hAnsiTheme="majorHAnsi" w:cs="Arial"/>
          <w:b/>
          <w:i/>
          <w:szCs w:val="18"/>
        </w:rPr>
        <w:t xml:space="preserve">“Please list your main products with automatic and behavioural embedded </w:t>
      </w:r>
      <w:proofErr w:type="gramStart"/>
      <w:r w:rsidRPr="00E36A19">
        <w:rPr>
          <w:rFonts w:asciiTheme="majorHAnsi" w:hAnsiTheme="majorHAnsi" w:cs="Arial"/>
          <w:b/>
          <w:i/>
          <w:szCs w:val="18"/>
        </w:rPr>
        <w:t>optionality“</w:t>
      </w:r>
      <w:proofErr w:type="gramEnd"/>
    </w:p>
    <w:p w14:paraId="5A63CB82"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According to paragraph 107 of EBA/GL/2018/02, “</w:t>
      </w:r>
      <w:r w:rsidRPr="00E36A19">
        <w:rPr>
          <w:rFonts w:asciiTheme="majorHAnsi" w:hAnsiTheme="majorHAnsi" w:cs="Arial"/>
          <w:i/>
          <w:szCs w:val="18"/>
        </w:rPr>
        <w:t>Institutions should have policies in place governing the setting of, and the regular assessment of, the key assumptions for the treatment of on- and off-balance sheet items that have embedded options in their interest rate risk framework. This means that institutions should: (a) identify all material products and items subject to embedded options that could affect either the interest rate charged or the behavioural repricing date (as opposed to contractual maturity date) of the relevant balances</w:t>
      </w:r>
      <w:r w:rsidRPr="00E36A19">
        <w:rPr>
          <w:rFonts w:asciiTheme="majorHAnsi" w:hAnsiTheme="majorHAnsi" w:cs="Arial"/>
          <w:szCs w:val="18"/>
        </w:rPr>
        <w:t>”.</w:t>
      </w:r>
    </w:p>
    <w:p w14:paraId="41831DBB" w14:textId="77777777" w:rsidR="00E36A19" w:rsidRPr="00E36A19" w:rsidRDefault="00E36A19" w:rsidP="00E36A19">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 xml:space="preserve">Institutions should list and briefly describe the properties of the products with automatic and behavioural embedded optionality in the banking book. </w:t>
      </w:r>
    </w:p>
    <w:p w14:paraId="5E18712A"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Question 6</w:t>
      </w:r>
    </w:p>
    <w:p w14:paraId="6ABA371D" w14:textId="77777777" w:rsidR="00E36A19" w:rsidRPr="00E36A19" w:rsidRDefault="00E36A19" w:rsidP="00E36A19">
      <w:pPr>
        <w:rPr>
          <w:rFonts w:asciiTheme="majorHAnsi" w:hAnsiTheme="majorHAnsi"/>
          <w:szCs w:val="18"/>
        </w:rPr>
      </w:pPr>
      <w:r w:rsidRPr="00E36A19">
        <w:rPr>
          <w:rFonts w:asciiTheme="majorHAnsi" w:hAnsiTheme="majorHAnsi" w:cs="Arial"/>
          <w:b/>
          <w:i/>
          <w:szCs w:val="18"/>
        </w:rPr>
        <w:t>“Information on non-maturity deposits (NMD) “</w:t>
      </w:r>
    </w:p>
    <w:p w14:paraId="04E15218" w14:textId="6A98F66D" w:rsidR="00E36A19" w:rsidRPr="005E33EB" w:rsidRDefault="00E36A19" w:rsidP="005E33EB">
      <w:pPr>
        <w:pStyle w:val="ListParagraph"/>
        <w:keepLines w:val="0"/>
        <w:numPr>
          <w:ilvl w:val="0"/>
          <w:numId w:val="4"/>
        </w:numPr>
        <w:spacing w:before="120" w:after="200" w:line="360" w:lineRule="auto"/>
        <w:ind w:left="426"/>
        <w:rPr>
          <w:rFonts w:asciiTheme="majorHAnsi" w:hAnsiTheme="majorHAnsi" w:cs="Arial"/>
          <w:szCs w:val="18"/>
        </w:rPr>
      </w:pPr>
      <w:r w:rsidRPr="00E36A19">
        <w:rPr>
          <w:rFonts w:asciiTheme="majorHAnsi" w:hAnsiTheme="majorHAnsi" w:cs="Arial"/>
          <w:szCs w:val="18"/>
        </w:rPr>
        <w:t>Regarding the key modelling assumptions of NMD, institutions should provide quantitative metrics, per type of account characteristic, on the average repricing maturity assigned to NMD and the total share and stock of core deposits.</w:t>
      </w:r>
      <w:r w:rsidR="00A10D24">
        <w:rPr>
          <w:rFonts w:asciiTheme="majorHAnsi" w:hAnsiTheme="majorHAnsi" w:cs="Arial"/>
          <w:szCs w:val="18"/>
        </w:rPr>
        <w:t xml:space="preserve"> </w:t>
      </w:r>
      <w:r w:rsidR="00A10D24" w:rsidRPr="00A10D24">
        <w:rPr>
          <w:rFonts w:asciiTheme="majorHAnsi" w:hAnsiTheme="majorHAnsi" w:cs="Arial"/>
          <w:szCs w:val="18"/>
        </w:rPr>
        <w:t xml:space="preserve">The </w:t>
      </w:r>
      <w:r w:rsidR="00DC3B39">
        <w:rPr>
          <w:rFonts w:asciiTheme="majorHAnsi" w:hAnsiTheme="majorHAnsi" w:cs="Arial"/>
          <w:szCs w:val="18"/>
        </w:rPr>
        <w:lastRenderedPageBreak/>
        <w:t>average repricing maturity of NMD</w:t>
      </w:r>
      <w:r w:rsidR="00A10D24" w:rsidRPr="00A10D24">
        <w:rPr>
          <w:rFonts w:asciiTheme="majorHAnsi" w:hAnsiTheme="majorHAnsi" w:cs="Arial"/>
          <w:szCs w:val="18"/>
        </w:rPr>
        <w:t xml:space="preserve"> should be expressed in year. For example, if the average repricing maturity assigned to NMD is equal to six months, then it should be reported as “0,5”.</w:t>
      </w:r>
      <w:r w:rsidR="00DC3B39">
        <w:rPr>
          <w:rFonts w:asciiTheme="majorHAnsi" w:hAnsiTheme="majorHAnsi" w:cs="Arial"/>
          <w:szCs w:val="18"/>
        </w:rPr>
        <w:t xml:space="preserve"> </w:t>
      </w:r>
      <w:r w:rsidR="005E33EB">
        <w:rPr>
          <w:rFonts w:asciiTheme="majorHAnsi" w:hAnsiTheme="majorHAnsi" w:cs="Arial"/>
          <w:szCs w:val="18"/>
        </w:rPr>
        <w:t xml:space="preserve">The total stock of core deposits should be expressed in </w:t>
      </w:r>
      <w:r w:rsidR="005E33EB" w:rsidRPr="005E33EB">
        <w:rPr>
          <w:rFonts w:asciiTheme="majorHAnsi" w:hAnsiTheme="majorHAnsi" w:cs="Arial"/>
          <w:szCs w:val="18"/>
        </w:rPr>
        <w:t>the currency of the own funds of the institution and the single unit should be “1”</w:t>
      </w:r>
      <w:r w:rsidR="007D7EEB">
        <w:rPr>
          <w:rFonts w:asciiTheme="majorHAnsi" w:hAnsiTheme="majorHAnsi" w:cs="Arial"/>
          <w:szCs w:val="18"/>
        </w:rPr>
        <w:t>, as described in the paragraph 8 of these instructions.</w:t>
      </w:r>
    </w:p>
    <w:p w14:paraId="53170E2D" w14:textId="77777777" w:rsidR="00E36A19" w:rsidRPr="00E36A19" w:rsidRDefault="00E36A19" w:rsidP="00E36A19">
      <w:pPr>
        <w:spacing w:before="120" w:line="360" w:lineRule="auto"/>
        <w:rPr>
          <w:rFonts w:asciiTheme="majorHAnsi" w:hAnsiTheme="majorHAnsi" w:cs="Arial"/>
          <w:b/>
          <w:szCs w:val="18"/>
        </w:rPr>
      </w:pPr>
      <w:r w:rsidRPr="00E36A19">
        <w:rPr>
          <w:rFonts w:asciiTheme="majorHAnsi" w:hAnsiTheme="majorHAnsi" w:cs="Arial"/>
          <w:b/>
          <w:szCs w:val="18"/>
        </w:rPr>
        <w:t>Question 7</w:t>
      </w:r>
    </w:p>
    <w:p w14:paraId="3687BBAD" w14:textId="77777777" w:rsidR="00E36A19" w:rsidRPr="00E36A19" w:rsidRDefault="00E36A19" w:rsidP="00E36A19">
      <w:pPr>
        <w:rPr>
          <w:rFonts w:asciiTheme="majorHAnsi" w:hAnsiTheme="majorHAnsi"/>
          <w:szCs w:val="18"/>
        </w:rPr>
      </w:pPr>
      <w:r w:rsidRPr="00E36A19">
        <w:rPr>
          <w:rFonts w:asciiTheme="majorHAnsi" w:hAnsiTheme="majorHAnsi" w:cs="Arial"/>
          <w:b/>
          <w:i/>
          <w:szCs w:val="18"/>
        </w:rPr>
        <w:t xml:space="preserve">“Any other information relevant for the analysis of your </w:t>
      </w:r>
      <w:proofErr w:type="gramStart"/>
      <w:r w:rsidRPr="00E36A19">
        <w:rPr>
          <w:rFonts w:asciiTheme="majorHAnsi" w:hAnsiTheme="majorHAnsi" w:cs="Arial"/>
          <w:b/>
          <w:i/>
          <w:szCs w:val="18"/>
        </w:rPr>
        <w:t>position“</w:t>
      </w:r>
      <w:proofErr w:type="gramEnd"/>
    </w:p>
    <w:p w14:paraId="1037A1D5" w14:textId="305F4C2A" w:rsidR="00E36A19" w:rsidRPr="00E36A19" w:rsidRDefault="00E36A19" w:rsidP="005E33EB">
      <w:pPr>
        <w:pStyle w:val="ListParagraph"/>
        <w:keepLines w:val="0"/>
        <w:numPr>
          <w:ilvl w:val="0"/>
          <w:numId w:val="11"/>
        </w:numPr>
        <w:spacing w:before="120" w:after="200" w:line="360" w:lineRule="auto"/>
        <w:ind w:left="426"/>
        <w:rPr>
          <w:rFonts w:asciiTheme="majorHAnsi" w:hAnsiTheme="majorHAnsi" w:cs="Arial"/>
          <w:szCs w:val="18"/>
        </w:rPr>
      </w:pPr>
      <w:r w:rsidRPr="00E36A19">
        <w:rPr>
          <w:rFonts w:asciiTheme="majorHAnsi" w:hAnsiTheme="majorHAnsi" w:cs="Arial"/>
          <w:szCs w:val="18"/>
        </w:rPr>
        <w:t>Institutions may add any other relevant information supporting the analysis of their position</w:t>
      </w:r>
      <w:r w:rsidR="00375921">
        <w:rPr>
          <w:rFonts w:asciiTheme="majorHAnsi" w:hAnsiTheme="majorHAnsi" w:cs="Arial"/>
          <w:szCs w:val="18"/>
        </w:rPr>
        <w:t xml:space="preserve"> in cell C78</w:t>
      </w:r>
      <w:r w:rsidRPr="00E36A19">
        <w:rPr>
          <w:rFonts w:asciiTheme="majorHAnsi" w:hAnsiTheme="majorHAnsi" w:cs="Arial"/>
          <w:szCs w:val="18"/>
        </w:rPr>
        <w:t>.</w:t>
      </w:r>
    </w:p>
    <w:p w14:paraId="414834E2" w14:textId="77777777" w:rsidR="003201A9" w:rsidRPr="00E36A19" w:rsidRDefault="003201A9" w:rsidP="005A66EE"/>
    <w:p w14:paraId="0A21870A" w14:textId="77777777" w:rsidR="003201A9" w:rsidRPr="005A66EE" w:rsidRDefault="003201A9" w:rsidP="004431BC">
      <w:pPr>
        <w:pStyle w:val="Title"/>
      </w:pPr>
      <w:r w:rsidRPr="003201A9">
        <w:rPr>
          <w:noProof/>
          <w:lang w:val="fr-LU" w:eastAsia="fr-LU"/>
        </w:rPr>
        <w:lastRenderedPageBreak/>
        <mc:AlternateContent>
          <mc:Choice Requires="wps">
            <w:drawing>
              <wp:anchor distT="0" distB="0" distL="114300" distR="114300" simplePos="0" relativeHeight="251664384" behindDoc="0" locked="0" layoutInCell="1" allowOverlap="1" wp14:anchorId="548831D5" wp14:editId="07EC94C5">
                <wp:simplePos x="0" y="0"/>
                <wp:positionH relativeFrom="column">
                  <wp:posOffset>-1588288</wp:posOffset>
                </wp:positionH>
                <wp:positionV relativeFrom="page">
                  <wp:posOffset>9249103</wp:posOffset>
                </wp:positionV>
                <wp:extent cx="3507105" cy="914400"/>
                <wp:effectExtent l="0" t="0" r="0" b="0"/>
                <wp:wrapNone/>
                <wp:docPr id="7" name="Text Box 7"/>
                <wp:cNvGraphicFramePr/>
                <a:graphic xmlns:a="http://schemas.openxmlformats.org/drawingml/2006/main">
                  <a:graphicData uri="http://schemas.microsoft.com/office/word/2010/wordprocessingShape">
                    <wps:wsp>
                      <wps:cNvSpPr txBox="1"/>
                      <wps:spPr>
                        <a:xfrm>
                          <a:off x="0" y="0"/>
                          <a:ext cx="3507105"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B9FC21" w14:textId="77777777" w:rsidR="003201A9" w:rsidRPr="00EF3B56" w:rsidRDefault="003201A9" w:rsidP="003201A9">
                            <w:pPr>
                              <w:pStyle w:val="AdresseDos1"/>
                            </w:pPr>
                            <w:r w:rsidRPr="00EF3B56">
                              <w:t>Commission de Surveillance du Secteur Financier</w:t>
                            </w:r>
                          </w:p>
                          <w:p w14:paraId="3A0A550E" w14:textId="77777777" w:rsidR="003201A9" w:rsidRPr="00EF3B56" w:rsidRDefault="003201A9" w:rsidP="003201A9">
                            <w:pPr>
                              <w:pStyle w:val="Adressedos2"/>
                            </w:pPr>
                            <w:r w:rsidRPr="00EF3B56">
                              <w:t>283, route d’Arlon</w:t>
                            </w:r>
                          </w:p>
                          <w:p w14:paraId="396DD679" w14:textId="77777777" w:rsidR="003201A9" w:rsidRPr="00EF3B56" w:rsidRDefault="003201A9" w:rsidP="003201A9">
                            <w:pPr>
                              <w:pStyle w:val="Adressedos2"/>
                            </w:pPr>
                            <w:r w:rsidRPr="00EF3B56">
                              <w:t>L-2991 Luxembourg (+352) 26 25 1-1</w:t>
                            </w:r>
                          </w:p>
                          <w:p w14:paraId="45C9B85F" w14:textId="77777777" w:rsidR="003201A9" w:rsidRPr="00EF3B56" w:rsidRDefault="00342063" w:rsidP="003201A9">
                            <w:pPr>
                              <w:pStyle w:val="Adressedos2"/>
                            </w:pPr>
                            <w:hyperlink r:id="rId10">
                              <w:r w:rsidR="003201A9" w:rsidRPr="00EF3B56">
                                <w:t>direction@cssf.lu</w:t>
                              </w:r>
                            </w:hyperlink>
                          </w:p>
                          <w:p w14:paraId="66B2FB3D" w14:textId="77777777" w:rsidR="003201A9" w:rsidRDefault="00342063" w:rsidP="003201A9">
                            <w:pPr>
                              <w:pStyle w:val="AdresseDos1"/>
                            </w:pPr>
                            <w:hyperlink r:id="rId11">
                              <w:r w:rsidR="003201A9" w:rsidRPr="00EF3B56">
                                <w:t>www.cssf.lu</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48831D5" id="Text Box 7" o:spid="_x0000_s1027" type="#_x0000_t202" style="position:absolute;left:0;text-align:left;margin-left:-125.05pt;margin-top:728.3pt;width:276.15pt;height:1in;z-index:25166438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" filled="f" stroked="f" strokeweight=".5pt">
                <v:textbox>
                  <w:txbxContent>
                    <w:p w14:paraId="40B9FC21" w14:textId="77777777" w:rsidR="003201A9" w:rsidRPr="00EF3B56" w:rsidRDefault="003201A9" w:rsidP="003201A9">
                      <w:pPr>
                        <w:pStyle w:val="AdresseDos1"/>
                      </w:pPr>
                      <w:r w:rsidRPr="00EF3B56">
                        <w:t>Commission de Surveillance du Secteur Financier</w:t>
                      </w:r>
                    </w:p>
                    <w:p w14:paraId="3A0A550E" w14:textId="77777777" w:rsidR="003201A9" w:rsidRPr="00EF3B56" w:rsidRDefault="003201A9" w:rsidP="003201A9">
                      <w:pPr>
                        <w:pStyle w:val="Adressedos2"/>
                      </w:pPr>
                      <w:r w:rsidRPr="00EF3B56">
                        <w:t>283, route d’Arlon</w:t>
                      </w:r>
                    </w:p>
                    <w:p w14:paraId="396DD679" w14:textId="77777777" w:rsidR="003201A9" w:rsidRPr="00EF3B56" w:rsidRDefault="003201A9" w:rsidP="003201A9">
                      <w:pPr>
                        <w:pStyle w:val="Adressedos2"/>
                      </w:pPr>
                      <w:r w:rsidRPr="00EF3B56">
                        <w:t>L-2991 Luxembourg (+352) 26 25 1-1</w:t>
                      </w:r>
                    </w:p>
                    <w:p w14:paraId="45C9B85F" w14:textId="77777777" w:rsidR="003201A9" w:rsidRPr="00EF3B56" w:rsidRDefault="008E523E" w:rsidP="003201A9">
                      <w:pPr>
                        <w:pStyle w:val="Adressedos2"/>
                      </w:pPr>
                      <w:hyperlink r:id="rId12">
                        <w:r w:rsidR="003201A9" w:rsidRPr="00EF3B56">
                          <w:t>direction@cssf.lu</w:t>
                        </w:r>
                      </w:hyperlink>
                    </w:p>
                    <w:p w14:paraId="66B2FB3D" w14:textId="77777777" w:rsidR="003201A9" w:rsidRDefault="008E523E" w:rsidP="003201A9">
                      <w:pPr>
                        <w:pStyle w:val="AdresseDos1"/>
                      </w:pPr>
                      <w:hyperlink r:id="rId13">
                        <w:r w:rsidR="003201A9" w:rsidRPr="00EF3B56">
                          <w:t>www.cssf.lu</w:t>
                        </w:r>
                      </w:hyperlink>
                    </w:p>
                  </w:txbxContent>
                </v:textbox>
                <w10:wrap anchory="page"/>
              </v:shape>
            </w:pict>
          </mc:Fallback>
        </mc:AlternateContent>
      </w:r>
      <w:r w:rsidRPr="003201A9">
        <w:rPr>
          <w:noProof/>
          <w:lang w:val="fr-LU" w:eastAsia="fr-LU"/>
        </w:rPr>
        <w:drawing>
          <wp:anchor distT="0" distB="0" distL="114300" distR="114300" simplePos="0" relativeHeight="251663360" behindDoc="1" locked="0" layoutInCell="1" allowOverlap="1" wp14:anchorId="1A13FB9F" wp14:editId="0BA8C321">
            <wp:simplePos x="0" y="0"/>
            <wp:positionH relativeFrom="page">
              <wp:posOffset>-635</wp:posOffset>
            </wp:positionH>
            <wp:positionV relativeFrom="page">
              <wp:posOffset>7620</wp:posOffset>
            </wp:positionV>
            <wp:extent cx="7559040" cy="1068578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rme x 1 01 bleu sur fond vert A4 vertical_dos_sans adress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59040" cy="10685780"/>
                    </a:xfrm>
                    <a:prstGeom prst="rect">
                      <a:avLst/>
                    </a:prstGeom>
                  </pic:spPr>
                </pic:pic>
              </a:graphicData>
            </a:graphic>
            <wp14:sizeRelH relativeFrom="margin">
              <wp14:pctWidth>0</wp14:pctWidth>
            </wp14:sizeRelH>
            <wp14:sizeRelV relativeFrom="margin">
              <wp14:pctHeight>0</wp14:pctHeight>
            </wp14:sizeRelV>
          </wp:anchor>
        </w:drawing>
      </w:r>
    </w:p>
    <w:sectPr w:rsidR="003201A9" w:rsidRPr="005A66EE" w:rsidSect="00921C9E">
      <w:headerReference w:type="default" r:id="rId15"/>
      <w:footerReference w:type="even" r:id="rId16"/>
      <w:footerReference w:type="default" r:id="rId17"/>
      <w:footnotePr>
        <w:pos w:val="beneathText"/>
      </w:footnotePr>
      <w:pgSz w:w="11906" w:h="16838"/>
      <w:pgMar w:top="2835" w:right="595" w:bottom="1418" w:left="3544" w:header="709" w:footer="52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27FF6" w14:textId="77777777" w:rsidR="002633DC" w:rsidRDefault="002633DC" w:rsidP="00D80DD3">
      <w:pPr>
        <w:spacing w:after="0" w:line="240" w:lineRule="auto"/>
      </w:pPr>
      <w:r>
        <w:separator/>
      </w:r>
    </w:p>
    <w:p w14:paraId="54D3DA21" w14:textId="77777777" w:rsidR="002633DC" w:rsidRDefault="002633DC"/>
    <w:p w14:paraId="5E64150E" w14:textId="77777777" w:rsidR="002633DC" w:rsidRDefault="002633DC"/>
    <w:p w14:paraId="40889799" w14:textId="77777777" w:rsidR="002633DC" w:rsidRDefault="002633DC"/>
  </w:endnote>
  <w:endnote w:type="continuationSeparator" w:id="0">
    <w:p w14:paraId="7093EF99" w14:textId="77777777" w:rsidR="002633DC" w:rsidRDefault="002633DC" w:rsidP="00D80DD3">
      <w:pPr>
        <w:spacing w:after="0" w:line="240" w:lineRule="auto"/>
      </w:pPr>
      <w:r>
        <w:continuationSeparator/>
      </w:r>
    </w:p>
    <w:p w14:paraId="765BA129" w14:textId="77777777" w:rsidR="002633DC" w:rsidRDefault="002633DC"/>
    <w:p w14:paraId="3442A758" w14:textId="77777777" w:rsidR="002633DC" w:rsidRDefault="002633DC"/>
    <w:p w14:paraId="7C1AA1C6" w14:textId="77777777" w:rsidR="002633DC" w:rsidRDefault="002633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New Roman (Corps CS)">
    <w:altName w:val="Times New Roman"/>
    <w:charset w:val="00"/>
    <w:family w:val="roman"/>
    <w:pitch w:val="default"/>
  </w:font>
  <w:font w:name="SimHei">
    <w:altName w:val="黑体"/>
    <w:panose1 w:val="02010600030101010101"/>
    <w:charset w:val="86"/>
    <w:family w:val="modern"/>
    <w:notTrueType/>
    <w:pitch w:val="fixed"/>
    <w:sig w:usb0="00000001" w:usb1="080E0000" w:usb2="00000010" w:usb3="00000000" w:csb0="00040000" w:csb1="00000000"/>
  </w:font>
  <w:font w:name="Times New Roman (Titres CS)">
    <w:altName w:val="Times New Roman"/>
    <w:charset w:val="00"/>
    <w:family w:val="roman"/>
    <w:pitch w:val="default"/>
  </w:font>
  <w:font w:name="MinionPro-Regular">
    <w:altName w:val="Calibri"/>
    <w:charset w:val="4D"/>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84147629"/>
      <w:docPartObj>
        <w:docPartGallery w:val="Page Numbers (Bottom of Page)"/>
        <w:docPartUnique/>
      </w:docPartObj>
    </w:sdtPr>
    <w:sdtEndPr>
      <w:rPr>
        <w:rStyle w:val="PageNumber"/>
      </w:rPr>
    </w:sdtEndPr>
    <w:sdtContent>
      <w:p w14:paraId="13262113" w14:textId="77777777" w:rsidR="008C398F" w:rsidRDefault="008C398F" w:rsidP="008939A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8CFA481" w14:textId="77777777" w:rsidR="00D80DD3" w:rsidRDefault="00D80DD3" w:rsidP="008C39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4C373" w14:textId="046B0773" w:rsidR="00874E83" w:rsidRPr="00E36A19" w:rsidRDefault="00342063" w:rsidP="00564CB9">
    <w:pPr>
      <w:pStyle w:val="Footer"/>
      <w:rPr>
        <w:lang w:val="en-US"/>
      </w:rPr>
    </w:pPr>
    <w:sdt>
      <w:sdtPr>
        <w:rPr>
          <w:lang w:val="en-US"/>
        </w:rPr>
        <w:alias w:val="Title"/>
        <w:tag w:val=""/>
        <w:id w:val="-885415638"/>
        <w:placeholder>
          <w:docPart w:val="C18490D5E284456D90B77F15639694DE"/>
        </w:placeholder>
        <w:dataBinding w:prefixMappings="xmlns:ns0='http://purl.org/dc/elements/1.1/' xmlns:ns1='http://schemas.openxmlformats.org/package/2006/metadata/core-properties' " w:xpath="/ns1:coreProperties[1]/ns0:title[1]" w:storeItemID="{6C3C8BC8-F283-45AE-878A-BAB7291924A1}"/>
        <w:text/>
      </w:sdtPr>
      <w:sdtEndPr/>
      <w:sdtContent>
        <w:r w:rsidR="00A817F6">
          <w:rPr>
            <w:lang w:val="en-US"/>
          </w:rPr>
          <w:t>Reporting instructions on interest rate risk in the banking book (IRRBB) pursuant to circular CSSF 08/338 as amended</w:t>
        </w:r>
      </w:sdtContent>
    </w:sdt>
    <w:r w:rsidR="00D80DD3" w:rsidRPr="00564CB9">
      <w:rPr>
        <w:noProof/>
        <w:lang w:val="fr-LU" w:eastAsia="fr-LU"/>
      </w:rPr>
      <w:drawing>
        <wp:anchor distT="0" distB="0" distL="114300" distR="114300" simplePos="0" relativeHeight="251658240" behindDoc="0" locked="0" layoutInCell="1" allowOverlap="1" wp14:anchorId="253D121C" wp14:editId="32EC896D">
          <wp:simplePos x="0" y="0"/>
          <wp:positionH relativeFrom="page">
            <wp:posOffset>377825</wp:posOffset>
          </wp:positionH>
          <wp:positionV relativeFrom="page">
            <wp:align>bottom</wp:align>
          </wp:positionV>
          <wp:extent cx="748800" cy="1065600"/>
          <wp:effectExtent l="0" t="0" r="0" b="1270"/>
          <wp:wrapThrough wrapText="bothSides">
            <wp:wrapPolygon edited="0">
              <wp:start x="12092" y="0"/>
              <wp:lineTo x="0" y="5406"/>
              <wp:lineTo x="0" y="21240"/>
              <wp:lineTo x="20885" y="21240"/>
              <wp:lineTo x="20885" y="0"/>
              <wp:lineTo x="12092" y="0"/>
            </wp:wrapPolygon>
          </wp:wrapThrough>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DP_vertbleu logo.png"/>
                  <pic:cNvPicPr/>
                </pic:nvPicPr>
                <pic:blipFill>
                  <a:blip r:embed="rId1">
                    <a:extLst>
                      <a:ext uri="{28A0092B-C50C-407E-A947-70E740481C1C}">
                        <a14:useLocalDpi xmlns:a14="http://schemas.microsoft.com/office/drawing/2010/main" val="0"/>
                      </a:ext>
                    </a:extLst>
                  </a:blip>
                  <a:stretch>
                    <a:fillRect/>
                  </a:stretch>
                </pic:blipFill>
                <pic:spPr>
                  <a:xfrm>
                    <a:off x="0" y="0"/>
                    <a:ext cx="748800" cy="1065600"/>
                  </a:xfrm>
                  <a:prstGeom prst="rect">
                    <a:avLst/>
                  </a:prstGeom>
                </pic:spPr>
              </pic:pic>
            </a:graphicData>
          </a:graphic>
          <wp14:sizeRelH relativeFrom="margin">
            <wp14:pctWidth>0</wp14:pctWidth>
          </wp14:sizeRelH>
          <wp14:sizeRelV relativeFrom="margin">
            <wp14:pctHeight>0</wp14:pctHeight>
          </wp14:sizeRelV>
        </wp:anchor>
      </w:drawing>
    </w:r>
  </w:p>
  <w:p w14:paraId="066B1BE6" w14:textId="77777777" w:rsidR="00207B75" w:rsidRPr="00E36A19" w:rsidRDefault="00207B75" w:rsidP="006A4358">
    <w:pPr>
      <w:pStyle w:val="Footer"/>
      <w:rPr>
        <w:lang w:val="en-US"/>
      </w:rPr>
    </w:pPr>
  </w:p>
  <w:sdt>
    <w:sdtPr>
      <w:rPr>
        <w:rStyle w:val="PageNumber"/>
      </w:rPr>
      <w:id w:val="488830667"/>
      <w:docPartObj>
        <w:docPartGallery w:val="Page Numbers (Bottom of Page)"/>
        <w:docPartUnique/>
      </w:docPartObj>
    </w:sdtPr>
    <w:sdtEndPr>
      <w:rPr>
        <w:rStyle w:val="PageNumber"/>
      </w:rPr>
    </w:sdtEndPr>
    <w:sdtContent>
      <w:p w14:paraId="561A099D" w14:textId="77777777" w:rsidR="008C398F" w:rsidRPr="007328FC" w:rsidRDefault="008C398F" w:rsidP="007D771F">
        <w:pPr>
          <w:pStyle w:val="Footer"/>
          <w:framePr w:wrap="none" w:vAnchor="text" w:hAnchor="page" w:x="10767" w:y="45"/>
          <w:ind w:left="0"/>
          <w:jc w:val="right"/>
          <w:rPr>
            <w:rStyle w:val="PageNumber"/>
            <w:lang w:val="fr-LU"/>
          </w:rPr>
        </w:pPr>
        <w:r>
          <w:rPr>
            <w:rStyle w:val="PageNumber"/>
          </w:rPr>
          <w:fldChar w:fldCharType="begin"/>
        </w:r>
        <w:r w:rsidRPr="007328FC">
          <w:rPr>
            <w:rStyle w:val="PageNumber"/>
            <w:lang w:val="fr-LU"/>
          </w:rPr>
          <w:instrText xml:space="preserve"> PAGE </w:instrText>
        </w:r>
        <w:r>
          <w:rPr>
            <w:rStyle w:val="PageNumber"/>
          </w:rPr>
          <w:fldChar w:fldCharType="separate"/>
        </w:r>
        <w:r w:rsidR="002633DC">
          <w:rPr>
            <w:rStyle w:val="PageNumber"/>
            <w:noProof/>
            <w:lang w:val="fr-LU"/>
          </w:rPr>
          <w:t>1</w:t>
        </w:r>
        <w:r>
          <w:rPr>
            <w:rStyle w:val="PageNumber"/>
          </w:rPr>
          <w:fldChar w:fldCharType="end"/>
        </w:r>
        <w:r w:rsidRPr="007328FC">
          <w:rPr>
            <w:rStyle w:val="PageNumber"/>
            <w:lang w:val="fr-LU"/>
          </w:rPr>
          <w:t>/</w:t>
        </w:r>
        <w:r w:rsidR="00A5078A">
          <w:rPr>
            <w:rStyle w:val="PageNumber"/>
          </w:rPr>
          <w:fldChar w:fldCharType="begin"/>
        </w:r>
        <w:r w:rsidR="00A5078A" w:rsidRPr="007328FC">
          <w:rPr>
            <w:rStyle w:val="PageNumber"/>
            <w:lang w:val="fr-LU"/>
          </w:rPr>
          <w:instrText xml:space="preserve"> NUMPAGES   \* MERGEFORMAT </w:instrText>
        </w:r>
        <w:r w:rsidR="00A5078A">
          <w:rPr>
            <w:rStyle w:val="PageNumber"/>
          </w:rPr>
          <w:fldChar w:fldCharType="separate"/>
        </w:r>
        <w:r w:rsidR="002633DC">
          <w:rPr>
            <w:rStyle w:val="PageNumber"/>
            <w:noProof/>
            <w:lang w:val="fr-LU"/>
          </w:rPr>
          <w:t>1</w:t>
        </w:r>
        <w:r w:rsidR="00A5078A">
          <w:rPr>
            <w:rStyle w:val="PageNumber"/>
          </w:rPr>
          <w:fldChar w:fldCharType="end"/>
        </w:r>
      </w:p>
    </w:sdtContent>
  </w:sdt>
  <w:p w14:paraId="3FEFBBAE" w14:textId="77777777" w:rsidR="00813C84" w:rsidRPr="007328FC" w:rsidRDefault="00342063" w:rsidP="006A4358">
    <w:pPr>
      <w:pStyle w:val="Footer2"/>
      <w:rPr>
        <w:lang w:val="fr-LU"/>
      </w:rPr>
    </w:pPr>
    <w:sdt>
      <w:sdtPr>
        <w:rPr>
          <w:lang w:val="fr-LU"/>
        </w:rPr>
        <w:alias w:val="Statut du document"/>
        <w:tag w:val="Statut du document"/>
        <w:id w:val="1235976538"/>
        <w:placeholder>
          <w:docPart w:val="6CBBED86500C498C8D38D5D747CD5190"/>
        </w:placeholder>
        <w:comboBox>
          <w:listItem w:displayText="Unrestricted" w:value="Unrestricted"/>
          <w:listItem w:displayText="Restricted" w:value="Restricted"/>
          <w:listItem w:displayText="Confidential" w:value="Confidential"/>
          <w:listItem w:displayText="Secret" w:value="Secret"/>
        </w:comboBox>
      </w:sdtPr>
      <w:sdtEndPr/>
      <w:sdtContent>
        <w:proofErr w:type="spellStart"/>
        <w:r w:rsidR="00207B75">
          <w:rPr>
            <w:lang w:val="fr-LU"/>
          </w:rPr>
          <w:t>Unrestricted</w:t>
        </w:r>
        <w:proofErr w:type="spellEnd"/>
      </w:sdtContent>
    </w:sdt>
  </w:p>
  <w:p w14:paraId="6AFFCE69" w14:textId="77777777" w:rsidR="00D80DD3" w:rsidRPr="007328FC" w:rsidRDefault="00813C84" w:rsidP="00F869F3">
    <w:pPr>
      <w:pStyle w:val="Footer2"/>
      <w:rPr>
        <w:lang w:val="fr-LU"/>
      </w:rPr>
    </w:pPr>
    <w:proofErr w:type="gramStart"/>
    <w:r w:rsidRPr="007328FC">
      <w:rPr>
        <w:lang w:val="fr-LU"/>
      </w:rPr>
      <w:t>Version:</w:t>
    </w:r>
    <w:proofErr w:type="gramEnd"/>
    <w:r w:rsidRPr="007328FC">
      <w:rPr>
        <w:lang w:val="fr-LU"/>
      </w:rPr>
      <w:t xml:space="preserve"> </w:t>
    </w:r>
    <w:sdt>
      <w:sdtPr>
        <w:rPr>
          <w:lang w:val="fr-LU"/>
        </w:rPr>
        <w:id w:val="-1463267296"/>
        <w:placeholder>
          <w:docPart w:val="B424E88BF89246E9B13DA66371F70EFA"/>
        </w:placeholder>
        <w:comboBox>
          <w:listItem w:value="Chosir parmi la liste ou taper votre version"/>
          <w:listItem w:displayText="Version draft" w:value="Version draft"/>
          <w:listItem w:displayText="Version à valider" w:value="Version à valider"/>
          <w:listItem w:displayText="Version validée" w:value="Version validée"/>
          <w:listItem w:displayText="Version diffusée" w:value="Version diffusée"/>
        </w:comboBox>
      </w:sdtPr>
      <w:sdtEndPr/>
      <w:sdtContent>
        <w:r w:rsidR="00E70C71">
          <w:rPr>
            <w:lang w:val="fr-LU"/>
          </w:rPr>
          <w:t>Version 1.0</w:t>
        </w:r>
      </w:sdtContent>
    </w:sdt>
    <w:r w:rsidR="008C398F" w:rsidRPr="007328FC">
      <w:rPr>
        <w:lang w:val="fr-LU"/>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56E4A" w14:textId="77777777" w:rsidR="002633DC" w:rsidRDefault="002633DC" w:rsidP="00D80DD3">
      <w:pPr>
        <w:spacing w:after="0" w:line="240" w:lineRule="auto"/>
      </w:pPr>
    </w:p>
    <w:p w14:paraId="6274E2C0" w14:textId="77777777" w:rsidR="002633DC" w:rsidRDefault="002633DC"/>
    <w:p w14:paraId="392BBFBC" w14:textId="77777777" w:rsidR="002633DC" w:rsidRDefault="002633DC"/>
    <w:p w14:paraId="5E675CEC" w14:textId="77777777" w:rsidR="002633DC" w:rsidRDefault="002633DC"/>
  </w:footnote>
  <w:footnote w:type="continuationSeparator" w:id="0">
    <w:p w14:paraId="36EC842D" w14:textId="77777777" w:rsidR="002633DC" w:rsidRDefault="002633DC" w:rsidP="00D80DD3">
      <w:pPr>
        <w:spacing w:after="0" w:line="240" w:lineRule="auto"/>
      </w:pPr>
      <w:r>
        <w:continuationSeparator/>
      </w:r>
    </w:p>
    <w:p w14:paraId="2A97903C" w14:textId="77777777" w:rsidR="002633DC" w:rsidRDefault="002633DC"/>
    <w:p w14:paraId="13851821" w14:textId="77777777" w:rsidR="002633DC" w:rsidRDefault="002633DC"/>
    <w:p w14:paraId="73FB64A7" w14:textId="77777777" w:rsidR="002633DC" w:rsidRDefault="002633DC"/>
  </w:footnote>
  <w:footnote w:id="1">
    <w:p w14:paraId="3760D87D" w14:textId="77777777" w:rsidR="00E36A19" w:rsidRPr="002752C8" w:rsidRDefault="00E36A19" w:rsidP="00E36A19">
      <w:pPr>
        <w:pStyle w:val="FootnoteText"/>
        <w:rPr>
          <w:rFonts w:ascii="Times New Roman" w:hAnsi="Times New Roman" w:cs="Times New Roman"/>
        </w:rPr>
      </w:pPr>
      <w:r w:rsidRPr="002752C8">
        <w:rPr>
          <w:rStyle w:val="FootnoteReference"/>
          <w:rFonts w:ascii="Times New Roman" w:hAnsi="Times New Roman" w:cs="Times New Roman"/>
        </w:rPr>
        <w:footnoteRef/>
      </w:r>
      <w:r w:rsidRPr="002752C8">
        <w:rPr>
          <w:rFonts w:ascii="Times New Roman" w:hAnsi="Times New Roman" w:cs="Times New Roman"/>
        </w:rPr>
        <w:t xml:space="preserve"> This is in line in line with section 3.1.16 of the CSSF Reporting requirements for credit institutions.</w:t>
      </w:r>
    </w:p>
  </w:footnote>
  <w:footnote w:id="2">
    <w:p w14:paraId="195E0E9A" w14:textId="77777777" w:rsidR="00E36A19" w:rsidRPr="00EF07B3" w:rsidRDefault="00E36A19" w:rsidP="00E36A19">
      <w:pPr>
        <w:pStyle w:val="FootnoteText"/>
        <w:rPr>
          <w:rFonts w:ascii="Times New Roman" w:hAnsi="Times New Roman" w:cs="Times New Roman"/>
        </w:rPr>
      </w:pPr>
      <w:r>
        <w:rPr>
          <w:rStyle w:val="FootnoteReference"/>
        </w:rPr>
        <w:footnoteRef/>
      </w:r>
      <w:r>
        <w:t xml:space="preserve"> </w:t>
      </w:r>
      <w:r w:rsidRPr="00EF07B3">
        <w:rPr>
          <w:rFonts w:ascii="Times New Roman" w:hAnsi="Times New Roman" w:cs="Times New Roman"/>
        </w:rPr>
        <w:t>The formula in the next paragraph does not replace the need for institutions to compute the threshold to identify material currencies according to paragraph 115(l) of the EBA/GL/2018/02 (since, for example, the threshold under paragraph 115(l) applies separately to assets and to liabilities).</w:t>
      </w:r>
    </w:p>
  </w:footnote>
  <w:footnote w:id="3">
    <w:p w14:paraId="4862DF98" w14:textId="77777777" w:rsidR="00E36A19" w:rsidRDefault="00E36A19" w:rsidP="00E36A19">
      <w:pPr>
        <w:pStyle w:val="FootnoteText"/>
        <w:tabs>
          <w:tab w:val="left" w:pos="8290"/>
        </w:tabs>
      </w:pPr>
      <w:r>
        <w:rPr>
          <w:rStyle w:val="FootnoteReference"/>
        </w:rPr>
        <w:footnoteRef/>
      </w:r>
      <w:r>
        <w:t xml:space="preserve"> </w:t>
      </w:r>
      <w:r w:rsidRPr="00BD2510">
        <w:rPr>
          <w:rFonts w:ascii="Times New Roman" w:hAnsi="Times New Roman" w:cs="Times New Roman"/>
        </w:rPr>
        <w:t>This ratio should include on</w:t>
      </w:r>
      <w:r>
        <w:rPr>
          <w:rFonts w:ascii="Times New Roman" w:hAnsi="Times New Roman" w:cs="Times New Roman"/>
        </w:rPr>
        <w:t>-</w:t>
      </w:r>
      <w:r w:rsidRPr="00BD2510">
        <w:rPr>
          <w:rFonts w:ascii="Times New Roman" w:hAnsi="Times New Roman" w:cs="Times New Roman"/>
        </w:rPr>
        <w:t xml:space="preserve"> and off-balance sheet banking book interest-rate sensitive items</w:t>
      </w:r>
      <w:r>
        <w:rPr>
          <w:rFonts w:ascii="Times New Roman" w:hAnsi="Times New Roman" w:cs="Times New Roman"/>
        </w:rPr>
        <w:t>.</w:t>
      </w:r>
    </w:p>
  </w:footnote>
  <w:footnote w:id="4">
    <w:p w14:paraId="1428A629" w14:textId="77777777" w:rsidR="00E36A19" w:rsidRPr="002752C8" w:rsidRDefault="00E36A19" w:rsidP="00E36A19">
      <w:pPr>
        <w:rPr>
          <w:rFonts w:ascii="Times New Roman" w:hAnsi="Times New Roman" w:cs="Times New Roman"/>
          <w:color w:val="D0D3D3" w:themeColor="accent2"/>
          <w:sz w:val="15"/>
          <w:szCs w:val="15"/>
          <w:lang w:val="en-US"/>
        </w:rPr>
      </w:pPr>
      <w:r w:rsidRPr="002752C8">
        <w:rPr>
          <w:rStyle w:val="FootnoteReference"/>
          <w:rFonts w:ascii="Times New Roman" w:hAnsi="Times New Roman" w:cs="Times New Roman"/>
          <w:color w:val="BABFBF" w:themeColor="accent2" w:themeShade="E6"/>
          <w:sz w:val="15"/>
          <w:szCs w:val="15"/>
        </w:rPr>
        <w:footnoteRef/>
      </w:r>
      <w:r w:rsidRPr="002752C8">
        <w:rPr>
          <w:rFonts w:ascii="Times New Roman" w:hAnsi="Times New Roman" w:cs="Times New Roman"/>
          <w:color w:val="BABFBF" w:themeColor="accent2" w:themeShade="E6"/>
          <w:sz w:val="15"/>
          <w:szCs w:val="15"/>
        </w:rPr>
        <w:t xml:space="preserve"> </w:t>
      </w:r>
      <w:r w:rsidRPr="002752C8">
        <w:rPr>
          <w:rFonts w:ascii="Times New Roman" w:hAnsi="Times New Roman" w:cs="Times New Roman"/>
          <w:i/>
          <w:color w:val="B6ADA5"/>
          <w:sz w:val="15"/>
          <w:szCs w:val="16"/>
        </w:rPr>
        <w:t>The ratios below should include in denominator only on- and off-balance sheet banking book interest-rate sensitive items.</w:t>
      </w:r>
    </w:p>
    <w:p w14:paraId="767B217F" w14:textId="77777777" w:rsidR="00E36A19" w:rsidRPr="00C43A42" w:rsidRDefault="00E36A19" w:rsidP="00E36A19">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DD36A" w14:textId="77777777" w:rsidR="004C095D" w:rsidRDefault="004C095D">
    <w:pPr>
      <w:pStyle w:val="Header"/>
    </w:pPr>
    <w:r>
      <w:rPr>
        <w:noProof/>
        <w:lang w:val="fr-LU" w:eastAsia="fr-LU"/>
      </w:rPr>
      <w:drawing>
        <wp:anchor distT="0" distB="0" distL="114300" distR="114300" simplePos="0" relativeHeight="251659264" behindDoc="1" locked="0" layoutInCell="1" allowOverlap="1" wp14:anchorId="738CAB06" wp14:editId="7689F306">
          <wp:simplePos x="0" y="0"/>
          <wp:positionH relativeFrom="page">
            <wp:posOffset>377825</wp:posOffset>
          </wp:positionH>
          <wp:positionV relativeFrom="page">
            <wp:posOffset>450215</wp:posOffset>
          </wp:positionV>
          <wp:extent cx="1382400" cy="1080000"/>
          <wp:effectExtent l="0" t="0" r="8255" b="635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ssf_exe_logo_RVB-03_NEW_sans marge.png"/>
                  <pic:cNvPicPr/>
                </pic:nvPicPr>
                <pic:blipFill>
                  <a:blip r:embed="rId1">
                    <a:extLst>
                      <a:ext uri="{28A0092B-C50C-407E-A947-70E740481C1C}">
                        <a14:useLocalDpi xmlns:a14="http://schemas.microsoft.com/office/drawing/2010/main" val="0"/>
                      </a:ext>
                    </a:extLst>
                  </a:blip>
                  <a:stretch>
                    <a:fillRect/>
                  </a:stretch>
                </pic:blipFill>
                <pic:spPr>
                  <a:xfrm>
                    <a:off x="0" y="0"/>
                    <a:ext cx="1382400" cy="108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4492C"/>
    <w:multiLevelType w:val="hybridMultilevel"/>
    <w:tmpl w:val="6B5ACD22"/>
    <w:lvl w:ilvl="0" w:tplc="26AABBD4">
      <w:start w:val="1"/>
      <w:numFmt w:val="decimal"/>
      <w:lvlText w:val="%1."/>
      <w:lvlJc w:val="left"/>
      <w:pPr>
        <w:ind w:left="2716" w:hanging="360"/>
      </w:pPr>
      <w:rPr>
        <w:rFonts w:ascii="Times New Roman" w:hAnsi="Times New Roman" w:cs="Times New Roman" w:hint="default"/>
        <w:b w:val="0"/>
        <w:i w:val="0"/>
        <w:color w:val="auto"/>
      </w:rPr>
    </w:lvl>
    <w:lvl w:ilvl="1" w:tplc="140C0001">
      <w:start w:val="1"/>
      <w:numFmt w:val="bullet"/>
      <w:lvlText w:val=""/>
      <w:lvlJc w:val="left"/>
      <w:pPr>
        <w:ind w:left="2094" w:hanging="360"/>
      </w:pPr>
      <w:rPr>
        <w:rFonts w:ascii="Symbol" w:hAnsi="Symbol" w:hint="default"/>
      </w:rPr>
    </w:lvl>
    <w:lvl w:ilvl="2" w:tplc="0809001B">
      <w:start w:val="1"/>
      <w:numFmt w:val="lowerRoman"/>
      <w:lvlText w:val="%3."/>
      <w:lvlJc w:val="right"/>
      <w:pPr>
        <w:ind w:left="2814" w:hanging="180"/>
      </w:pPr>
    </w:lvl>
    <w:lvl w:ilvl="3" w:tplc="0809000F" w:tentative="1">
      <w:start w:val="1"/>
      <w:numFmt w:val="decimal"/>
      <w:lvlText w:val="%4."/>
      <w:lvlJc w:val="left"/>
      <w:pPr>
        <w:ind w:left="3534" w:hanging="360"/>
      </w:pPr>
    </w:lvl>
    <w:lvl w:ilvl="4" w:tplc="08090019" w:tentative="1">
      <w:start w:val="1"/>
      <w:numFmt w:val="lowerLetter"/>
      <w:lvlText w:val="%5."/>
      <w:lvlJc w:val="left"/>
      <w:pPr>
        <w:ind w:left="4254" w:hanging="360"/>
      </w:pPr>
    </w:lvl>
    <w:lvl w:ilvl="5" w:tplc="0809001B" w:tentative="1">
      <w:start w:val="1"/>
      <w:numFmt w:val="lowerRoman"/>
      <w:lvlText w:val="%6."/>
      <w:lvlJc w:val="right"/>
      <w:pPr>
        <w:ind w:left="4974" w:hanging="180"/>
      </w:pPr>
    </w:lvl>
    <w:lvl w:ilvl="6" w:tplc="0809000F" w:tentative="1">
      <w:start w:val="1"/>
      <w:numFmt w:val="decimal"/>
      <w:lvlText w:val="%7."/>
      <w:lvlJc w:val="left"/>
      <w:pPr>
        <w:ind w:left="5694" w:hanging="360"/>
      </w:pPr>
    </w:lvl>
    <w:lvl w:ilvl="7" w:tplc="08090019" w:tentative="1">
      <w:start w:val="1"/>
      <w:numFmt w:val="lowerLetter"/>
      <w:lvlText w:val="%8."/>
      <w:lvlJc w:val="left"/>
      <w:pPr>
        <w:ind w:left="6414" w:hanging="360"/>
      </w:pPr>
    </w:lvl>
    <w:lvl w:ilvl="8" w:tplc="0809001B" w:tentative="1">
      <w:start w:val="1"/>
      <w:numFmt w:val="lowerRoman"/>
      <w:lvlText w:val="%9."/>
      <w:lvlJc w:val="right"/>
      <w:pPr>
        <w:ind w:left="7134" w:hanging="180"/>
      </w:pPr>
    </w:lvl>
  </w:abstractNum>
  <w:abstractNum w:abstractNumId="1" w15:restartNumberingAfterBreak="0">
    <w:nsid w:val="06412BBF"/>
    <w:multiLevelType w:val="hybridMultilevel"/>
    <w:tmpl w:val="18AE36F2"/>
    <w:lvl w:ilvl="0" w:tplc="140C0019">
      <w:start w:val="1"/>
      <w:numFmt w:val="lowerLetter"/>
      <w:lvlText w:val="%1."/>
      <w:lvlJc w:val="left"/>
      <w:pPr>
        <w:ind w:left="1146" w:hanging="360"/>
      </w:pPr>
    </w:lvl>
    <w:lvl w:ilvl="1" w:tplc="140C0019" w:tentative="1">
      <w:start w:val="1"/>
      <w:numFmt w:val="lowerLetter"/>
      <w:lvlText w:val="%2."/>
      <w:lvlJc w:val="left"/>
      <w:pPr>
        <w:ind w:left="1866" w:hanging="360"/>
      </w:pPr>
    </w:lvl>
    <w:lvl w:ilvl="2" w:tplc="140C001B" w:tentative="1">
      <w:start w:val="1"/>
      <w:numFmt w:val="lowerRoman"/>
      <w:lvlText w:val="%3."/>
      <w:lvlJc w:val="right"/>
      <w:pPr>
        <w:ind w:left="2586" w:hanging="180"/>
      </w:pPr>
    </w:lvl>
    <w:lvl w:ilvl="3" w:tplc="140C000F" w:tentative="1">
      <w:start w:val="1"/>
      <w:numFmt w:val="decimal"/>
      <w:lvlText w:val="%4."/>
      <w:lvlJc w:val="left"/>
      <w:pPr>
        <w:ind w:left="3306" w:hanging="360"/>
      </w:pPr>
    </w:lvl>
    <w:lvl w:ilvl="4" w:tplc="140C0019" w:tentative="1">
      <w:start w:val="1"/>
      <w:numFmt w:val="lowerLetter"/>
      <w:lvlText w:val="%5."/>
      <w:lvlJc w:val="left"/>
      <w:pPr>
        <w:ind w:left="4026" w:hanging="360"/>
      </w:pPr>
    </w:lvl>
    <w:lvl w:ilvl="5" w:tplc="140C001B" w:tentative="1">
      <w:start w:val="1"/>
      <w:numFmt w:val="lowerRoman"/>
      <w:lvlText w:val="%6."/>
      <w:lvlJc w:val="right"/>
      <w:pPr>
        <w:ind w:left="4746" w:hanging="180"/>
      </w:pPr>
    </w:lvl>
    <w:lvl w:ilvl="6" w:tplc="140C000F" w:tentative="1">
      <w:start w:val="1"/>
      <w:numFmt w:val="decimal"/>
      <w:lvlText w:val="%7."/>
      <w:lvlJc w:val="left"/>
      <w:pPr>
        <w:ind w:left="5466" w:hanging="360"/>
      </w:pPr>
    </w:lvl>
    <w:lvl w:ilvl="7" w:tplc="140C0019" w:tentative="1">
      <w:start w:val="1"/>
      <w:numFmt w:val="lowerLetter"/>
      <w:lvlText w:val="%8."/>
      <w:lvlJc w:val="left"/>
      <w:pPr>
        <w:ind w:left="6186" w:hanging="360"/>
      </w:pPr>
    </w:lvl>
    <w:lvl w:ilvl="8" w:tplc="140C001B" w:tentative="1">
      <w:start w:val="1"/>
      <w:numFmt w:val="lowerRoman"/>
      <w:lvlText w:val="%9."/>
      <w:lvlJc w:val="right"/>
      <w:pPr>
        <w:ind w:left="6906" w:hanging="180"/>
      </w:pPr>
    </w:lvl>
  </w:abstractNum>
  <w:abstractNum w:abstractNumId="2" w15:restartNumberingAfterBreak="0">
    <w:nsid w:val="2A8B4517"/>
    <w:multiLevelType w:val="hybridMultilevel"/>
    <w:tmpl w:val="6B5ACD22"/>
    <w:lvl w:ilvl="0" w:tplc="26AABBD4">
      <w:start w:val="1"/>
      <w:numFmt w:val="decimal"/>
      <w:lvlText w:val="%1."/>
      <w:lvlJc w:val="left"/>
      <w:pPr>
        <w:ind w:left="2716" w:hanging="360"/>
      </w:pPr>
      <w:rPr>
        <w:rFonts w:ascii="Times New Roman" w:hAnsi="Times New Roman" w:cs="Times New Roman" w:hint="default"/>
        <w:b w:val="0"/>
        <w:i w:val="0"/>
        <w:color w:val="auto"/>
      </w:rPr>
    </w:lvl>
    <w:lvl w:ilvl="1" w:tplc="140C0001">
      <w:start w:val="1"/>
      <w:numFmt w:val="bullet"/>
      <w:lvlText w:val=""/>
      <w:lvlJc w:val="left"/>
      <w:pPr>
        <w:ind w:left="2094" w:hanging="360"/>
      </w:pPr>
      <w:rPr>
        <w:rFonts w:ascii="Symbol" w:hAnsi="Symbol" w:hint="default"/>
      </w:rPr>
    </w:lvl>
    <w:lvl w:ilvl="2" w:tplc="0809001B">
      <w:start w:val="1"/>
      <w:numFmt w:val="lowerRoman"/>
      <w:lvlText w:val="%3."/>
      <w:lvlJc w:val="right"/>
      <w:pPr>
        <w:ind w:left="2814" w:hanging="180"/>
      </w:pPr>
    </w:lvl>
    <w:lvl w:ilvl="3" w:tplc="0809000F" w:tentative="1">
      <w:start w:val="1"/>
      <w:numFmt w:val="decimal"/>
      <w:lvlText w:val="%4."/>
      <w:lvlJc w:val="left"/>
      <w:pPr>
        <w:ind w:left="3534" w:hanging="360"/>
      </w:pPr>
    </w:lvl>
    <w:lvl w:ilvl="4" w:tplc="08090019" w:tentative="1">
      <w:start w:val="1"/>
      <w:numFmt w:val="lowerLetter"/>
      <w:lvlText w:val="%5."/>
      <w:lvlJc w:val="left"/>
      <w:pPr>
        <w:ind w:left="4254" w:hanging="360"/>
      </w:pPr>
    </w:lvl>
    <w:lvl w:ilvl="5" w:tplc="0809001B" w:tentative="1">
      <w:start w:val="1"/>
      <w:numFmt w:val="lowerRoman"/>
      <w:lvlText w:val="%6."/>
      <w:lvlJc w:val="right"/>
      <w:pPr>
        <w:ind w:left="4974" w:hanging="180"/>
      </w:pPr>
    </w:lvl>
    <w:lvl w:ilvl="6" w:tplc="0809000F" w:tentative="1">
      <w:start w:val="1"/>
      <w:numFmt w:val="decimal"/>
      <w:lvlText w:val="%7."/>
      <w:lvlJc w:val="left"/>
      <w:pPr>
        <w:ind w:left="5694" w:hanging="360"/>
      </w:pPr>
    </w:lvl>
    <w:lvl w:ilvl="7" w:tplc="08090019" w:tentative="1">
      <w:start w:val="1"/>
      <w:numFmt w:val="lowerLetter"/>
      <w:lvlText w:val="%8."/>
      <w:lvlJc w:val="left"/>
      <w:pPr>
        <w:ind w:left="6414" w:hanging="360"/>
      </w:pPr>
    </w:lvl>
    <w:lvl w:ilvl="8" w:tplc="0809001B" w:tentative="1">
      <w:start w:val="1"/>
      <w:numFmt w:val="lowerRoman"/>
      <w:lvlText w:val="%9."/>
      <w:lvlJc w:val="right"/>
      <w:pPr>
        <w:ind w:left="7134" w:hanging="180"/>
      </w:pPr>
    </w:lvl>
  </w:abstractNum>
  <w:abstractNum w:abstractNumId="3" w15:restartNumberingAfterBreak="0">
    <w:nsid w:val="2B312BD9"/>
    <w:multiLevelType w:val="hybridMultilevel"/>
    <w:tmpl w:val="A5F66ADC"/>
    <w:lvl w:ilvl="0" w:tplc="140C0001">
      <w:start w:val="1"/>
      <w:numFmt w:val="bullet"/>
      <w:lvlText w:val=""/>
      <w:lvlJc w:val="left"/>
      <w:pPr>
        <w:ind w:left="786" w:hanging="360"/>
      </w:pPr>
      <w:rPr>
        <w:rFonts w:ascii="Symbol" w:hAnsi="Symbol" w:hint="default"/>
        <w:b w:val="0"/>
        <w:i w:val="0"/>
        <w:color w:val="auto"/>
      </w:rPr>
    </w:lvl>
    <w:lvl w:ilvl="1" w:tplc="140C0001">
      <w:start w:val="1"/>
      <w:numFmt w:val="bullet"/>
      <w:lvlText w:val=""/>
      <w:lvlJc w:val="left"/>
      <w:pPr>
        <w:ind w:left="164" w:hanging="360"/>
      </w:pPr>
      <w:rPr>
        <w:rFonts w:ascii="Symbol" w:hAnsi="Symbol" w:hint="default"/>
      </w:rPr>
    </w:lvl>
    <w:lvl w:ilvl="2" w:tplc="0809001B">
      <w:start w:val="1"/>
      <w:numFmt w:val="lowerRoman"/>
      <w:lvlText w:val="%3."/>
      <w:lvlJc w:val="right"/>
      <w:pPr>
        <w:ind w:left="884" w:hanging="180"/>
      </w:pPr>
    </w:lvl>
    <w:lvl w:ilvl="3" w:tplc="0809000F" w:tentative="1">
      <w:start w:val="1"/>
      <w:numFmt w:val="decimal"/>
      <w:lvlText w:val="%4."/>
      <w:lvlJc w:val="left"/>
      <w:pPr>
        <w:ind w:left="1604" w:hanging="360"/>
      </w:pPr>
    </w:lvl>
    <w:lvl w:ilvl="4" w:tplc="08090019" w:tentative="1">
      <w:start w:val="1"/>
      <w:numFmt w:val="lowerLetter"/>
      <w:lvlText w:val="%5."/>
      <w:lvlJc w:val="left"/>
      <w:pPr>
        <w:ind w:left="2324" w:hanging="360"/>
      </w:pPr>
    </w:lvl>
    <w:lvl w:ilvl="5" w:tplc="0809001B" w:tentative="1">
      <w:start w:val="1"/>
      <w:numFmt w:val="lowerRoman"/>
      <w:lvlText w:val="%6."/>
      <w:lvlJc w:val="right"/>
      <w:pPr>
        <w:ind w:left="3044" w:hanging="180"/>
      </w:pPr>
    </w:lvl>
    <w:lvl w:ilvl="6" w:tplc="0809000F" w:tentative="1">
      <w:start w:val="1"/>
      <w:numFmt w:val="decimal"/>
      <w:lvlText w:val="%7."/>
      <w:lvlJc w:val="left"/>
      <w:pPr>
        <w:ind w:left="3764" w:hanging="360"/>
      </w:pPr>
    </w:lvl>
    <w:lvl w:ilvl="7" w:tplc="08090019" w:tentative="1">
      <w:start w:val="1"/>
      <w:numFmt w:val="lowerLetter"/>
      <w:lvlText w:val="%8."/>
      <w:lvlJc w:val="left"/>
      <w:pPr>
        <w:ind w:left="4484" w:hanging="360"/>
      </w:pPr>
    </w:lvl>
    <w:lvl w:ilvl="8" w:tplc="0809001B" w:tentative="1">
      <w:start w:val="1"/>
      <w:numFmt w:val="lowerRoman"/>
      <w:lvlText w:val="%9."/>
      <w:lvlJc w:val="right"/>
      <w:pPr>
        <w:ind w:left="5204" w:hanging="180"/>
      </w:pPr>
    </w:lvl>
  </w:abstractNum>
  <w:abstractNum w:abstractNumId="4" w15:restartNumberingAfterBreak="0">
    <w:nsid w:val="2BA34D21"/>
    <w:multiLevelType w:val="hybridMultilevel"/>
    <w:tmpl w:val="6D6C445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4C243926"/>
    <w:multiLevelType w:val="hybridMultilevel"/>
    <w:tmpl w:val="2B965CC2"/>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rPr>
        <w:rFonts w:hint="default"/>
      </w:rPr>
    </w:lvl>
    <w:lvl w:ilvl="2" w:tplc="08090005">
      <w:start w:val="1"/>
      <w:numFmt w:val="bullet"/>
      <w:lvlText w:val=""/>
      <w:lvlJc w:val="left"/>
      <w:pPr>
        <w:ind w:left="2160" w:hanging="180"/>
      </w:pPr>
      <w:rPr>
        <w:rFonts w:ascii="Wingdings" w:hAnsi="Wingding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6E142CF"/>
    <w:multiLevelType w:val="hybridMultilevel"/>
    <w:tmpl w:val="880A65D8"/>
    <w:lvl w:ilvl="0" w:tplc="0809000F">
      <w:start w:val="1"/>
      <w:numFmt w:val="decimal"/>
      <w:lvlText w:val="%1."/>
      <w:lvlJc w:val="left"/>
      <w:pPr>
        <w:ind w:left="720" w:hanging="360"/>
      </w:pPr>
      <w:rPr>
        <w:rFonts w:hint="default"/>
      </w:rPr>
    </w:lvl>
    <w:lvl w:ilvl="1" w:tplc="08090019">
      <w:start w:val="1"/>
      <w:numFmt w:val="lowerLetter"/>
      <w:lvlText w:val="%2."/>
      <w:lvlJc w:val="left"/>
      <w:pPr>
        <w:ind w:left="1353"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CD06362"/>
    <w:multiLevelType w:val="hybridMultilevel"/>
    <w:tmpl w:val="B7D60816"/>
    <w:lvl w:ilvl="0" w:tplc="F93C00C6">
      <w:start w:val="1"/>
      <w:numFmt w:val="bullet"/>
      <w:lvlText w:val=""/>
      <w:lvlJc w:val="left"/>
      <w:pPr>
        <w:ind w:left="1440" w:hanging="360"/>
      </w:pPr>
      <w:rPr>
        <w:rFonts w:ascii="Symbol" w:hAnsi="Symbol"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62A179B8"/>
    <w:multiLevelType w:val="multilevel"/>
    <w:tmpl w:val="CFC2E5BA"/>
    <w:lvl w:ilvl="0">
      <w:start w:val="1"/>
      <w:numFmt w:val="decimal"/>
      <w:pStyle w:val="Heading1"/>
      <w:lvlText w:val="%1."/>
      <w:lvlJc w:val="left"/>
      <w:pPr>
        <w:ind w:left="0" w:hanging="680"/>
      </w:pPr>
      <w:rPr>
        <w:rFonts w:hint="default"/>
      </w:rPr>
    </w:lvl>
    <w:lvl w:ilvl="1">
      <w:start w:val="1"/>
      <w:numFmt w:val="decimal"/>
      <w:pStyle w:val="Heading2"/>
      <w:lvlText w:val="%1.%2"/>
      <w:lvlJc w:val="left"/>
      <w:pPr>
        <w:ind w:left="680" w:hanging="680"/>
      </w:pPr>
      <w:rPr>
        <w:rFonts w:hint="default"/>
      </w:rPr>
    </w:lvl>
    <w:lvl w:ilvl="2">
      <w:start w:val="1"/>
      <w:numFmt w:val="decimal"/>
      <w:pStyle w:val="Heading3"/>
      <w:lvlText w:val="%1.%2.%3"/>
      <w:lvlJc w:val="left"/>
      <w:pPr>
        <w:ind w:left="1701" w:hanging="1021"/>
      </w:pPr>
      <w:rPr>
        <w:rFonts w:hint="default"/>
      </w:rPr>
    </w:lvl>
    <w:lvl w:ilvl="3">
      <w:start w:val="1"/>
      <w:numFmt w:val="decimal"/>
      <w:pStyle w:val="Heading4"/>
      <w:lvlText w:val="%1.%2.%3.%4"/>
      <w:lvlJc w:val="left"/>
      <w:pPr>
        <w:ind w:left="2835" w:hanging="1531"/>
      </w:pPr>
      <w:rPr>
        <w:rFonts w:hint="default"/>
      </w:rPr>
    </w:lvl>
    <w:lvl w:ilvl="4">
      <w:start w:val="1"/>
      <w:numFmt w:val="decimal"/>
      <w:pStyle w:val="Heading5"/>
      <w:lvlText w:val="%1.%2.%3.%4.%5"/>
      <w:lvlJc w:val="left"/>
      <w:pPr>
        <w:ind w:left="3119" w:hanging="1815"/>
      </w:pPr>
      <w:rPr>
        <w:rFonts w:hint="default"/>
      </w:rPr>
    </w:lvl>
    <w:lvl w:ilvl="5">
      <w:start w:val="1"/>
      <w:numFmt w:val="decimal"/>
      <w:pStyle w:val="Heading6"/>
      <w:lvlText w:val="%1.%2.%3.%4.%5.%6"/>
      <w:lvlJc w:val="left"/>
      <w:pPr>
        <w:tabs>
          <w:tab w:val="num" w:pos="1304"/>
        </w:tabs>
        <w:ind w:left="3400" w:hanging="2096"/>
      </w:pPr>
      <w:rPr>
        <w:rFonts w:hint="default"/>
      </w:rPr>
    </w:lvl>
    <w:lvl w:ilvl="6">
      <w:start w:val="1"/>
      <w:numFmt w:val="decimal"/>
      <w:pStyle w:val="Heading7"/>
      <w:lvlText w:val="%1.%2.%3.%4.%5.%6.%7"/>
      <w:lvlJc w:val="left"/>
      <w:pPr>
        <w:ind w:left="4080" w:hanging="680"/>
      </w:pPr>
      <w:rPr>
        <w:rFonts w:hint="default"/>
      </w:rPr>
    </w:lvl>
    <w:lvl w:ilvl="7">
      <w:start w:val="1"/>
      <w:numFmt w:val="decimal"/>
      <w:pStyle w:val="Heading8"/>
      <w:lvlText w:val="%1.%2.%3.%4.%5.%6.%7.%8"/>
      <w:lvlJc w:val="left"/>
      <w:pPr>
        <w:ind w:left="4760" w:hanging="680"/>
      </w:pPr>
      <w:rPr>
        <w:rFonts w:hint="default"/>
      </w:rPr>
    </w:lvl>
    <w:lvl w:ilvl="8">
      <w:start w:val="1"/>
      <w:numFmt w:val="decimal"/>
      <w:pStyle w:val="Heading9"/>
      <w:lvlText w:val="%1.%2.%3.%4.%5.%6.%7.%8.%9"/>
      <w:lvlJc w:val="left"/>
      <w:pPr>
        <w:ind w:left="5440" w:hanging="680"/>
      </w:pPr>
      <w:rPr>
        <w:rFonts w:hint="default"/>
      </w:rPr>
    </w:lvl>
  </w:abstractNum>
  <w:abstractNum w:abstractNumId="9" w15:restartNumberingAfterBreak="0">
    <w:nsid w:val="76BE1D52"/>
    <w:multiLevelType w:val="hybridMultilevel"/>
    <w:tmpl w:val="6B5ACD22"/>
    <w:lvl w:ilvl="0" w:tplc="26AABBD4">
      <w:start w:val="1"/>
      <w:numFmt w:val="decimal"/>
      <w:lvlText w:val="%1."/>
      <w:lvlJc w:val="left"/>
      <w:pPr>
        <w:ind w:left="2716" w:hanging="360"/>
      </w:pPr>
      <w:rPr>
        <w:rFonts w:ascii="Times New Roman" w:hAnsi="Times New Roman" w:cs="Times New Roman" w:hint="default"/>
        <w:b w:val="0"/>
        <w:i w:val="0"/>
        <w:color w:val="auto"/>
      </w:rPr>
    </w:lvl>
    <w:lvl w:ilvl="1" w:tplc="140C0001">
      <w:start w:val="1"/>
      <w:numFmt w:val="bullet"/>
      <w:lvlText w:val=""/>
      <w:lvlJc w:val="left"/>
      <w:pPr>
        <w:ind w:left="2094" w:hanging="360"/>
      </w:pPr>
      <w:rPr>
        <w:rFonts w:ascii="Symbol" w:hAnsi="Symbol" w:hint="default"/>
      </w:rPr>
    </w:lvl>
    <w:lvl w:ilvl="2" w:tplc="0809001B">
      <w:start w:val="1"/>
      <w:numFmt w:val="lowerRoman"/>
      <w:lvlText w:val="%3."/>
      <w:lvlJc w:val="right"/>
      <w:pPr>
        <w:ind w:left="2814" w:hanging="180"/>
      </w:pPr>
    </w:lvl>
    <w:lvl w:ilvl="3" w:tplc="0809000F" w:tentative="1">
      <w:start w:val="1"/>
      <w:numFmt w:val="decimal"/>
      <w:lvlText w:val="%4."/>
      <w:lvlJc w:val="left"/>
      <w:pPr>
        <w:ind w:left="3534" w:hanging="360"/>
      </w:pPr>
    </w:lvl>
    <w:lvl w:ilvl="4" w:tplc="08090019" w:tentative="1">
      <w:start w:val="1"/>
      <w:numFmt w:val="lowerLetter"/>
      <w:lvlText w:val="%5."/>
      <w:lvlJc w:val="left"/>
      <w:pPr>
        <w:ind w:left="4254" w:hanging="360"/>
      </w:pPr>
    </w:lvl>
    <w:lvl w:ilvl="5" w:tplc="0809001B" w:tentative="1">
      <w:start w:val="1"/>
      <w:numFmt w:val="lowerRoman"/>
      <w:lvlText w:val="%6."/>
      <w:lvlJc w:val="right"/>
      <w:pPr>
        <w:ind w:left="4974" w:hanging="180"/>
      </w:pPr>
    </w:lvl>
    <w:lvl w:ilvl="6" w:tplc="0809000F" w:tentative="1">
      <w:start w:val="1"/>
      <w:numFmt w:val="decimal"/>
      <w:lvlText w:val="%7."/>
      <w:lvlJc w:val="left"/>
      <w:pPr>
        <w:ind w:left="5694" w:hanging="360"/>
      </w:pPr>
    </w:lvl>
    <w:lvl w:ilvl="7" w:tplc="08090019" w:tentative="1">
      <w:start w:val="1"/>
      <w:numFmt w:val="lowerLetter"/>
      <w:lvlText w:val="%8."/>
      <w:lvlJc w:val="left"/>
      <w:pPr>
        <w:ind w:left="6414" w:hanging="360"/>
      </w:pPr>
    </w:lvl>
    <w:lvl w:ilvl="8" w:tplc="0809001B" w:tentative="1">
      <w:start w:val="1"/>
      <w:numFmt w:val="lowerRoman"/>
      <w:lvlText w:val="%9."/>
      <w:lvlJc w:val="right"/>
      <w:pPr>
        <w:ind w:left="7134" w:hanging="180"/>
      </w:pPr>
    </w:lvl>
  </w:abstractNum>
  <w:abstractNum w:abstractNumId="10" w15:restartNumberingAfterBreak="0">
    <w:nsid w:val="786172DE"/>
    <w:multiLevelType w:val="hybridMultilevel"/>
    <w:tmpl w:val="E6CE2000"/>
    <w:lvl w:ilvl="0" w:tplc="140C000F">
      <w:start w:val="1"/>
      <w:numFmt w:val="decimal"/>
      <w:lvlText w:val="%1."/>
      <w:lvlJc w:val="left"/>
      <w:pPr>
        <w:ind w:left="1287" w:hanging="360"/>
      </w:pPr>
    </w:lvl>
    <w:lvl w:ilvl="1" w:tplc="140C0019" w:tentative="1">
      <w:start w:val="1"/>
      <w:numFmt w:val="lowerLetter"/>
      <w:lvlText w:val="%2."/>
      <w:lvlJc w:val="left"/>
      <w:pPr>
        <w:ind w:left="2007" w:hanging="360"/>
      </w:pPr>
    </w:lvl>
    <w:lvl w:ilvl="2" w:tplc="140C001B" w:tentative="1">
      <w:start w:val="1"/>
      <w:numFmt w:val="lowerRoman"/>
      <w:lvlText w:val="%3."/>
      <w:lvlJc w:val="right"/>
      <w:pPr>
        <w:ind w:left="2727" w:hanging="180"/>
      </w:pPr>
    </w:lvl>
    <w:lvl w:ilvl="3" w:tplc="140C000F" w:tentative="1">
      <w:start w:val="1"/>
      <w:numFmt w:val="decimal"/>
      <w:lvlText w:val="%4."/>
      <w:lvlJc w:val="left"/>
      <w:pPr>
        <w:ind w:left="3447" w:hanging="360"/>
      </w:pPr>
    </w:lvl>
    <w:lvl w:ilvl="4" w:tplc="140C0019" w:tentative="1">
      <w:start w:val="1"/>
      <w:numFmt w:val="lowerLetter"/>
      <w:lvlText w:val="%5."/>
      <w:lvlJc w:val="left"/>
      <w:pPr>
        <w:ind w:left="4167" w:hanging="360"/>
      </w:pPr>
    </w:lvl>
    <w:lvl w:ilvl="5" w:tplc="140C001B" w:tentative="1">
      <w:start w:val="1"/>
      <w:numFmt w:val="lowerRoman"/>
      <w:lvlText w:val="%6."/>
      <w:lvlJc w:val="right"/>
      <w:pPr>
        <w:ind w:left="4887" w:hanging="180"/>
      </w:pPr>
    </w:lvl>
    <w:lvl w:ilvl="6" w:tplc="140C000F" w:tentative="1">
      <w:start w:val="1"/>
      <w:numFmt w:val="decimal"/>
      <w:lvlText w:val="%7."/>
      <w:lvlJc w:val="left"/>
      <w:pPr>
        <w:ind w:left="5607" w:hanging="360"/>
      </w:pPr>
    </w:lvl>
    <w:lvl w:ilvl="7" w:tplc="140C0019" w:tentative="1">
      <w:start w:val="1"/>
      <w:numFmt w:val="lowerLetter"/>
      <w:lvlText w:val="%8."/>
      <w:lvlJc w:val="left"/>
      <w:pPr>
        <w:ind w:left="6327" w:hanging="360"/>
      </w:pPr>
    </w:lvl>
    <w:lvl w:ilvl="8" w:tplc="140C001B" w:tentative="1">
      <w:start w:val="1"/>
      <w:numFmt w:val="lowerRoman"/>
      <w:lvlText w:val="%9."/>
      <w:lvlJc w:val="right"/>
      <w:pPr>
        <w:ind w:left="7047" w:hanging="180"/>
      </w:pPr>
    </w:lvl>
  </w:abstractNum>
  <w:num w:numId="1">
    <w:abstractNumId w:val="8"/>
  </w:num>
  <w:num w:numId="2">
    <w:abstractNumId w:val="8"/>
  </w:num>
  <w:num w:numId="3">
    <w:abstractNumId w:val="6"/>
  </w:num>
  <w:num w:numId="4">
    <w:abstractNumId w:val="2"/>
  </w:num>
  <w:num w:numId="5">
    <w:abstractNumId w:val="4"/>
  </w:num>
  <w:num w:numId="6">
    <w:abstractNumId w:val="7"/>
  </w:num>
  <w:num w:numId="7">
    <w:abstractNumId w:val="5"/>
  </w:num>
  <w:num w:numId="8">
    <w:abstractNumId w:val="9"/>
  </w:num>
  <w:num w:numId="9">
    <w:abstractNumId w:val="1"/>
  </w:num>
  <w:num w:numId="10">
    <w:abstractNumId w:val="3"/>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19"/>
    <w:rsid w:val="00001050"/>
    <w:rsid w:val="00004D2F"/>
    <w:rsid w:val="00013ECF"/>
    <w:rsid w:val="00023164"/>
    <w:rsid w:val="0002365B"/>
    <w:rsid w:val="0006298D"/>
    <w:rsid w:val="000838CA"/>
    <w:rsid w:val="00084B2D"/>
    <w:rsid w:val="00086C01"/>
    <w:rsid w:val="00087FC7"/>
    <w:rsid w:val="000A3001"/>
    <w:rsid w:val="000A3D00"/>
    <w:rsid w:val="000A45F1"/>
    <w:rsid w:val="000F462C"/>
    <w:rsid w:val="000F5E46"/>
    <w:rsid w:val="00102AFA"/>
    <w:rsid w:val="0010609C"/>
    <w:rsid w:val="0016147C"/>
    <w:rsid w:val="00162AFB"/>
    <w:rsid w:val="001947AE"/>
    <w:rsid w:val="001B289E"/>
    <w:rsid w:val="001B5514"/>
    <w:rsid w:val="001E3565"/>
    <w:rsid w:val="001E459A"/>
    <w:rsid w:val="001E4CE4"/>
    <w:rsid w:val="00207B75"/>
    <w:rsid w:val="0021761D"/>
    <w:rsid w:val="0022016A"/>
    <w:rsid w:val="0022195A"/>
    <w:rsid w:val="002235EA"/>
    <w:rsid w:val="002241EB"/>
    <w:rsid w:val="00224F68"/>
    <w:rsid w:val="00235748"/>
    <w:rsid w:val="002544D5"/>
    <w:rsid w:val="002633DC"/>
    <w:rsid w:val="002752C8"/>
    <w:rsid w:val="002845E0"/>
    <w:rsid w:val="002A7118"/>
    <w:rsid w:val="002A7BFD"/>
    <w:rsid w:val="002B3CD3"/>
    <w:rsid w:val="002E12A6"/>
    <w:rsid w:val="0030333D"/>
    <w:rsid w:val="0031229D"/>
    <w:rsid w:val="00314F67"/>
    <w:rsid w:val="003150AD"/>
    <w:rsid w:val="003201A9"/>
    <w:rsid w:val="0032310B"/>
    <w:rsid w:val="003251F4"/>
    <w:rsid w:val="00325E37"/>
    <w:rsid w:val="00332AF4"/>
    <w:rsid w:val="00334632"/>
    <w:rsid w:val="00342063"/>
    <w:rsid w:val="00342B5F"/>
    <w:rsid w:val="0034300B"/>
    <w:rsid w:val="0034538D"/>
    <w:rsid w:val="003470BD"/>
    <w:rsid w:val="00367837"/>
    <w:rsid w:val="00375921"/>
    <w:rsid w:val="00377C05"/>
    <w:rsid w:val="0038296D"/>
    <w:rsid w:val="00382A0F"/>
    <w:rsid w:val="003A2387"/>
    <w:rsid w:val="003A50E7"/>
    <w:rsid w:val="003A6028"/>
    <w:rsid w:val="003B1424"/>
    <w:rsid w:val="003B1F0A"/>
    <w:rsid w:val="003B66C3"/>
    <w:rsid w:val="003C2D9C"/>
    <w:rsid w:val="003C4662"/>
    <w:rsid w:val="003D2F6E"/>
    <w:rsid w:val="003D6B01"/>
    <w:rsid w:val="003E6F94"/>
    <w:rsid w:val="003F0EAB"/>
    <w:rsid w:val="003F7189"/>
    <w:rsid w:val="00405713"/>
    <w:rsid w:val="004168AE"/>
    <w:rsid w:val="004431BC"/>
    <w:rsid w:val="004646DB"/>
    <w:rsid w:val="004719D1"/>
    <w:rsid w:val="00474CDB"/>
    <w:rsid w:val="004809A9"/>
    <w:rsid w:val="00482FCE"/>
    <w:rsid w:val="00493705"/>
    <w:rsid w:val="004A4ADB"/>
    <w:rsid w:val="004B2103"/>
    <w:rsid w:val="004C007A"/>
    <w:rsid w:val="004C095D"/>
    <w:rsid w:val="00501E35"/>
    <w:rsid w:val="0050702B"/>
    <w:rsid w:val="00524D7B"/>
    <w:rsid w:val="00564CB9"/>
    <w:rsid w:val="00565259"/>
    <w:rsid w:val="005666C3"/>
    <w:rsid w:val="00572EBA"/>
    <w:rsid w:val="0057619D"/>
    <w:rsid w:val="005764C2"/>
    <w:rsid w:val="005A66EE"/>
    <w:rsid w:val="005E33EB"/>
    <w:rsid w:val="005E39F6"/>
    <w:rsid w:val="006047BE"/>
    <w:rsid w:val="00611C59"/>
    <w:rsid w:val="006132A7"/>
    <w:rsid w:val="00614F22"/>
    <w:rsid w:val="00616291"/>
    <w:rsid w:val="00632A39"/>
    <w:rsid w:val="00651523"/>
    <w:rsid w:val="00652A66"/>
    <w:rsid w:val="00676FBE"/>
    <w:rsid w:val="00684D50"/>
    <w:rsid w:val="00692473"/>
    <w:rsid w:val="00696D6E"/>
    <w:rsid w:val="006A4358"/>
    <w:rsid w:val="006B02B0"/>
    <w:rsid w:val="006B4FBD"/>
    <w:rsid w:val="006C792E"/>
    <w:rsid w:val="0070177C"/>
    <w:rsid w:val="007030E5"/>
    <w:rsid w:val="007148EF"/>
    <w:rsid w:val="00721FBC"/>
    <w:rsid w:val="00723E46"/>
    <w:rsid w:val="007328FC"/>
    <w:rsid w:val="007433F6"/>
    <w:rsid w:val="00752833"/>
    <w:rsid w:val="00792B21"/>
    <w:rsid w:val="00797642"/>
    <w:rsid w:val="007A04E0"/>
    <w:rsid w:val="007D2AFB"/>
    <w:rsid w:val="007D771F"/>
    <w:rsid w:val="007D7EEB"/>
    <w:rsid w:val="007E2C74"/>
    <w:rsid w:val="007E3958"/>
    <w:rsid w:val="0080619F"/>
    <w:rsid w:val="00806307"/>
    <w:rsid w:val="00812A7B"/>
    <w:rsid w:val="00813C84"/>
    <w:rsid w:val="00832596"/>
    <w:rsid w:val="0084449C"/>
    <w:rsid w:val="00846877"/>
    <w:rsid w:val="00854F9E"/>
    <w:rsid w:val="00874E83"/>
    <w:rsid w:val="008878A5"/>
    <w:rsid w:val="008900B8"/>
    <w:rsid w:val="0089018E"/>
    <w:rsid w:val="008A4F10"/>
    <w:rsid w:val="008B4E67"/>
    <w:rsid w:val="008C398F"/>
    <w:rsid w:val="008E523E"/>
    <w:rsid w:val="008E68F6"/>
    <w:rsid w:val="008E7D26"/>
    <w:rsid w:val="008F7E6B"/>
    <w:rsid w:val="00910F1D"/>
    <w:rsid w:val="00915FBE"/>
    <w:rsid w:val="00921C9E"/>
    <w:rsid w:val="00923430"/>
    <w:rsid w:val="00934365"/>
    <w:rsid w:val="0094327D"/>
    <w:rsid w:val="00945440"/>
    <w:rsid w:val="00960177"/>
    <w:rsid w:val="009A1945"/>
    <w:rsid w:val="009A527A"/>
    <w:rsid w:val="009B4D0B"/>
    <w:rsid w:val="009D524B"/>
    <w:rsid w:val="009D6DB5"/>
    <w:rsid w:val="009E5C7B"/>
    <w:rsid w:val="00A06105"/>
    <w:rsid w:val="00A10D24"/>
    <w:rsid w:val="00A32D9E"/>
    <w:rsid w:val="00A352DE"/>
    <w:rsid w:val="00A37814"/>
    <w:rsid w:val="00A409BD"/>
    <w:rsid w:val="00A4496E"/>
    <w:rsid w:val="00A47581"/>
    <w:rsid w:val="00A5078A"/>
    <w:rsid w:val="00A52B64"/>
    <w:rsid w:val="00A52C3D"/>
    <w:rsid w:val="00A53D62"/>
    <w:rsid w:val="00A64CCE"/>
    <w:rsid w:val="00A731DF"/>
    <w:rsid w:val="00A817F6"/>
    <w:rsid w:val="00A87EC4"/>
    <w:rsid w:val="00A9393E"/>
    <w:rsid w:val="00A95609"/>
    <w:rsid w:val="00AA0F21"/>
    <w:rsid w:val="00AA4406"/>
    <w:rsid w:val="00AB38D3"/>
    <w:rsid w:val="00AB713D"/>
    <w:rsid w:val="00AD619D"/>
    <w:rsid w:val="00AE199B"/>
    <w:rsid w:val="00AE3C4D"/>
    <w:rsid w:val="00AF07E4"/>
    <w:rsid w:val="00AF4B68"/>
    <w:rsid w:val="00AF62BA"/>
    <w:rsid w:val="00B0721A"/>
    <w:rsid w:val="00B16D24"/>
    <w:rsid w:val="00B42213"/>
    <w:rsid w:val="00B50061"/>
    <w:rsid w:val="00B6760A"/>
    <w:rsid w:val="00B76B1F"/>
    <w:rsid w:val="00B928A5"/>
    <w:rsid w:val="00BE7AF5"/>
    <w:rsid w:val="00C01ADC"/>
    <w:rsid w:val="00C03196"/>
    <w:rsid w:val="00C41017"/>
    <w:rsid w:val="00C65A90"/>
    <w:rsid w:val="00C71E33"/>
    <w:rsid w:val="00C81B04"/>
    <w:rsid w:val="00C86A36"/>
    <w:rsid w:val="00CA677E"/>
    <w:rsid w:val="00CB2C63"/>
    <w:rsid w:val="00CB499E"/>
    <w:rsid w:val="00CB54FE"/>
    <w:rsid w:val="00CB60B3"/>
    <w:rsid w:val="00CB636E"/>
    <w:rsid w:val="00CD1D9A"/>
    <w:rsid w:val="00CE7F38"/>
    <w:rsid w:val="00CF1F14"/>
    <w:rsid w:val="00D349C1"/>
    <w:rsid w:val="00D34A8F"/>
    <w:rsid w:val="00D43F81"/>
    <w:rsid w:val="00D459E6"/>
    <w:rsid w:val="00D53693"/>
    <w:rsid w:val="00D53F5D"/>
    <w:rsid w:val="00D54C16"/>
    <w:rsid w:val="00D80DD3"/>
    <w:rsid w:val="00DA26B2"/>
    <w:rsid w:val="00DA2AAD"/>
    <w:rsid w:val="00DA6E8B"/>
    <w:rsid w:val="00DC15F3"/>
    <w:rsid w:val="00DC3B39"/>
    <w:rsid w:val="00DD4DD8"/>
    <w:rsid w:val="00E1061C"/>
    <w:rsid w:val="00E2132A"/>
    <w:rsid w:val="00E22C64"/>
    <w:rsid w:val="00E24D6B"/>
    <w:rsid w:val="00E36A19"/>
    <w:rsid w:val="00E501F9"/>
    <w:rsid w:val="00E57524"/>
    <w:rsid w:val="00E61D12"/>
    <w:rsid w:val="00E70C71"/>
    <w:rsid w:val="00E74A07"/>
    <w:rsid w:val="00E86A3F"/>
    <w:rsid w:val="00E8766B"/>
    <w:rsid w:val="00E9235D"/>
    <w:rsid w:val="00EC185F"/>
    <w:rsid w:val="00EE0C14"/>
    <w:rsid w:val="00EE5464"/>
    <w:rsid w:val="00EF09A6"/>
    <w:rsid w:val="00F0297A"/>
    <w:rsid w:val="00F06F88"/>
    <w:rsid w:val="00F1747A"/>
    <w:rsid w:val="00F23EF9"/>
    <w:rsid w:val="00F53EAB"/>
    <w:rsid w:val="00F5405A"/>
    <w:rsid w:val="00F55725"/>
    <w:rsid w:val="00F70279"/>
    <w:rsid w:val="00F72B7A"/>
    <w:rsid w:val="00F75708"/>
    <w:rsid w:val="00F83C26"/>
    <w:rsid w:val="00F869F3"/>
    <w:rsid w:val="00FD4EB0"/>
    <w:rsid w:val="00FE0A6E"/>
    <w:rsid w:val="00FE1442"/>
    <w:rsid w:val="00FE6210"/>
    <w:rsid w:val="00FE6242"/>
    <w:rsid w:val="00FF1079"/>
    <w:rsid w:val="00FF14C6"/>
    <w:rsid w:val="00FF55D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A2AF83"/>
  <w15:chartTrackingRefBased/>
  <w15:docId w15:val="{58355C6B-78D0-4DDF-99CF-19FC457BF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747A"/>
    <w:pPr>
      <w:keepLines/>
      <w:spacing w:after="120" w:line="312" w:lineRule="auto"/>
      <w:jc w:val="both"/>
    </w:pPr>
    <w:rPr>
      <w:rFonts w:ascii="Verdana" w:hAnsi="Verdana" w:cs="Times New Roman (Corps CS)"/>
      <w:sz w:val="18"/>
    </w:rPr>
  </w:style>
  <w:style w:type="paragraph" w:styleId="Heading1">
    <w:name w:val="heading 1"/>
    <w:basedOn w:val="Normal"/>
    <w:next w:val="Normal"/>
    <w:link w:val="Heading1Char"/>
    <w:uiPriority w:val="9"/>
    <w:qFormat/>
    <w:rsid w:val="00F1747A"/>
    <w:pPr>
      <w:keepNext/>
      <w:numPr>
        <w:numId w:val="2"/>
      </w:numPr>
      <w:spacing w:before="600" w:line="360" w:lineRule="exact"/>
      <w:jc w:val="left"/>
      <w:outlineLvl w:val="0"/>
    </w:pPr>
    <w:rPr>
      <w:rFonts w:eastAsiaTheme="majorEastAsia" w:cs="Times New Roman (Titres CS)"/>
      <w:b/>
      <w:sz w:val="28"/>
      <w:szCs w:val="32"/>
      <w:lang w:val="fr-LU"/>
    </w:rPr>
  </w:style>
  <w:style w:type="paragraph" w:styleId="Heading2">
    <w:name w:val="heading 2"/>
    <w:basedOn w:val="Normal"/>
    <w:next w:val="Normal"/>
    <w:link w:val="Heading2Char"/>
    <w:uiPriority w:val="9"/>
    <w:unhideWhenUsed/>
    <w:qFormat/>
    <w:rsid w:val="00F1747A"/>
    <w:pPr>
      <w:keepNext/>
      <w:numPr>
        <w:ilvl w:val="1"/>
        <w:numId w:val="2"/>
      </w:numPr>
      <w:spacing w:before="480"/>
      <w:jc w:val="left"/>
      <w:outlineLvl w:val="1"/>
    </w:pPr>
    <w:rPr>
      <w:rFonts w:eastAsiaTheme="majorEastAsia" w:cstheme="majorBidi"/>
      <w:b/>
      <w:sz w:val="20"/>
      <w:szCs w:val="26"/>
    </w:rPr>
  </w:style>
  <w:style w:type="paragraph" w:styleId="Heading3">
    <w:name w:val="heading 3"/>
    <w:basedOn w:val="Normal"/>
    <w:next w:val="Normal3"/>
    <w:link w:val="Heading3Char"/>
    <w:uiPriority w:val="9"/>
    <w:unhideWhenUsed/>
    <w:qFormat/>
    <w:rsid w:val="00F1747A"/>
    <w:pPr>
      <w:keepNext/>
      <w:numPr>
        <w:ilvl w:val="2"/>
        <w:numId w:val="2"/>
      </w:numPr>
      <w:spacing w:before="360" w:line="240" w:lineRule="exact"/>
      <w:jc w:val="left"/>
      <w:outlineLvl w:val="2"/>
    </w:pPr>
    <w:rPr>
      <w:rFonts w:eastAsiaTheme="majorEastAsia" w:cstheme="majorBidi"/>
      <w:sz w:val="17"/>
    </w:rPr>
  </w:style>
  <w:style w:type="paragraph" w:styleId="Heading4">
    <w:name w:val="heading 4"/>
    <w:basedOn w:val="Normal"/>
    <w:next w:val="Normal4"/>
    <w:link w:val="Heading4Char"/>
    <w:uiPriority w:val="9"/>
    <w:unhideWhenUsed/>
    <w:qFormat/>
    <w:rsid w:val="00F1747A"/>
    <w:pPr>
      <w:keepNext/>
      <w:numPr>
        <w:ilvl w:val="3"/>
        <w:numId w:val="2"/>
      </w:numPr>
      <w:spacing w:before="360" w:line="200" w:lineRule="exact"/>
      <w:jc w:val="left"/>
      <w:outlineLvl w:val="3"/>
    </w:pPr>
    <w:rPr>
      <w:rFonts w:eastAsiaTheme="majorEastAsia" w:cs="Times New Roman (Titres CS)"/>
      <w:b/>
      <w:i/>
      <w:iCs/>
      <w:sz w:val="17"/>
    </w:rPr>
  </w:style>
  <w:style w:type="paragraph" w:styleId="Heading5">
    <w:name w:val="heading 5"/>
    <w:basedOn w:val="Normal"/>
    <w:next w:val="Normal4"/>
    <w:link w:val="Heading5Char"/>
    <w:uiPriority w:val="9"/>
    <w:unhideWhenUsed/>
    <w:qFormat/>
    <w:rsid w:val="00F1747A"/>
    <w:pPr>
      <w:keepNext/>
      <w:numPr>
        <w:ilvl w:val="4"/>
        <w:numId w:val="2"/>
      </w:numPr>
      <w:spacing w:before="360" w:line="200" w:lineRule="exact"/>
      <w:jc w:val="left"/>
      <w:outlineLvl w:val="4"/>
    </w:pPr>
    <w:rPr>
      <w:rFonts w:eastAsiaTheme="majorEastAsia" w:cs="Times New Roman (Titres CS)"/>
      <w:i/>
      <w:sz w:val="17"/>
    </w:rPr>
  </w:style>
  <w:style w:type="paragraph" w:styleId="Heading6">
    <w:name w:val="heading 6"/>
    <w:basedOn w:val="Normal"/>
    <w:next w:val="Normal4"/>
    <w:link w:val="Heading6Char"/>
    <w:uiPriority w:val="9"/>
    <w:unhideWhenUsed/>
    <w:qFormat/>
    <w:rsid w:val="00F1747A"/>
    <w:pPr>
      <w:keepNext/>
      <w:numPr>
        <w:ilvl w:val="5"/>
        <w:numId w:val="2"/>
      </w:numPr>
      <w:spacing w:before="360"/>
      <w:jc w:val="left"/>
      <w:outlineLvl w:val="5"/>
    </w:pPr>
    <w:rPr>
      <w:rFonts w:asciiTheme="majorHAnsi" w:eastAsiaTheme="majorEastAsia" w:hAnsiTheme="majorHAnsi" w:cs="Times New Roman (Titres CS)"/>
      <w:i/>
      <w:color w:val="000000"/>
      <w:sz w:val="15"/>
    </w:rPr>
  </w:style>
  <w:style w:type="paragraph" w:styleId="Heading7">
    <w:name w:val="heading 7"/>
    <w:basedOn w:val="Normal"/>
    <w:next w:val="Normal"/>
    <w:link w:val="Heading7Char"/>
    <w:uiPriority w:val="9"/>
    <w:semiHidden/>
    <w:unhideWhenUsed/>
    <w:qFormat/>
    <w:rsid w:val="00F1747A"/>
    <w:pPr>
      <w:keepNext/>
      <w:numPr>
        <w:ilvl w:val="6"/>
        <w:numId w:val="2"/>
      </w:numPr>
      <w:spacing w:before="40" w:after="0"/>
      <w:outlineLvl w:val="6"/>
    </w:pPr>
    <w:rPr>
      <w:rFonts w:asciiTheme="majorHAnsi" w:eastAsiaTheme="majorEastAsia" w:hAnsiTheme="majorHAnsi" w:cstheme="majorBidi"/>
      <w:i/>
      <w:iCs/>
      <w:color w:val="6F6234" w:themeColor="accent1" w:themeShade="7F"/>
    </w:rPr>
  </w:style>
  <w:style w:type="paragraph" w:styleId="Heading8">
    <w:name w:val="heading 8"/>
    <w:basedOn w:val="Normal"/>
    <w:next w:val="Normal"/>
    <w:link w:val="Heading8Char"/>
    <w:uiPriority w:val="9"/>
    <w:semiHidden/>
    <w:unhideWhenUsed/>
    <w:qFormat/>
    <w:rsid w:val="00F1747A"/>
    <w:pPr>
      <w:keepNext/>
      <w:numPr>
        <w:ilvl w:val="7"/>
        <w:numId w:val="2"/>
      </w:numPr>
      <w:spacing w:before="40" w:after="0"/>
      <w:outlineLvl w:val="7"/>
    </w:pPr>
    <w:rPr>
      <w:rFonts w:asciiTheme="majorHAnsi" w:eastAsiaTheme="majorEastAsia" w:hAnsiTheme="majorHAnsi" w:cstheme="majorBidi"/>
      <w:color w:val="0099CE" w:themeColor="text1" w:themeTint="D8"/>
      <w:sz w:val="21"/>
      <w:szCs w:val="21"/>
    </w:rPr>
  </w:style>
  <w:style w:type="paragraph" w:styleId="Heading9">
    <w:name w:val="heading 9"/>
    <w:basedOn w:val="Normal"/>
    <w:next w:val="Normal"/>
    <w:link w:val="Heading9Char"/>
    <w:uiPriority w:val="9"/>
    <w:semiHidden/>
    <w:unhideWhenUsed/>
    <w:qFormat/>
    <w:rsid w:val="00F1747A"/>
    <w:pPr>
      <w:keepNext/>
      <w:numPr>
        <w:ilvl w:val="8"/>
        <w:numId w:val="1"/>
      </w:numPr>
      <w:spacing w:before="40" w:after="0"/>
      <w:outlineLvl w:val="8"/>
    </w:pPr>
    <w:rPr>
      <w:rFonts w:asciiTheme="majorHAnsi" w:eastAsiaTheme="majorEastAsia" w:hAnsiTheme="majorHAnsi" w:cstheme="majorBidi"/>
      <w:i/>
      <w:iCs/>
      <w:color w:val="0099CE"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0DD3"/>
    <w:pPr>
      <w:tabs>
        <w:tab w:val="center" w:pos="4536"/>
        <w:tab w:val="right" w:pos="9072"/>
      </w:tabs>
    </w:pPr>
  </w:style>
  <w:style w:type="character" w:customStyle="1" w:styleId="HeaderChar">
    <w:name w:val="Header Char"/>
    <w:basedOn w:val="DefaultParagraphFont"/>
    <w:link w:val="Header"/>
    <w:uiPriority w:val="99"/>
    <w:rsid w:val="00D80DD3"/>
  </w:style>
  <w:style w:type="paragraph" w:styleId="Footer">
    <w:name w:val="footer"/>
    <w:basedOn w:val="Normal"/>
    <w:link w:val="FooterChar"/>
    <w:uiPriority w:val="99"/>
    <w:unhideWhenUsed/>
    <w:rsid w:val="003150AD"/>
    <w:pPr>
      <w:tabs>
        <w:tab w:val="right" w:pos="9072"/>
      </w:tabs>
      <w:spacing w:after="0" w:line="200" w:lineRule="exact"/>
      <w:ind w:left="-1191"/>
      <w:jc w:val="left"/>
    </w:pPr>
    <w:rPr>
      <w:caps/>
      <w:color w:val="115E67"/>
      <w:sz w:val="16"/>
    </w:rPr>
  </w:style>
  <w:style w:type="character" w:customStyle="1" w:styleId="FooterChar">
    <w:name w:val="Footer Char"/>
    <w:basedOn w:val="DefaultParagraphFont"/>
    <w:link w:val="Footer"/>
    <w:uiPriority w:val="99"/>
    <w:rsid w:val="003150AD"/>
    <w:rPr>
      <w:rFonts w:ascii="Verdana" w:hAnsi="Verdana" w:cs="Times New Roman (Corps CS)"/>
      <w:caps/>
      <w:color w:val="115E67"/>
      <w:sz w:val="16"/>
    </w:rPr>
  </w:style>
  <w:style w:type="paragraph" w:customStyle="1" w:styleId="Footer2">
    <w:name w:val="Footer 2"/>
    <w:basedOn w:val="Footer"/>
    <w:rsid w:val="004431BC"/>
    <w:rPr>
      <w:b/>
      <w:caps w:val="0"/>
    </w:rPr>
  </w:style>
  <w:style w:type="character" w:styleId="PageNumber">
    <w:name w:val="page number"/>
    <w:uiPriority w:val="99"/>
    <w:semiHidden/>
    <w:unhideWhenUsed/>
    <w:qFormat/>
    <w:rsid w:val="00F1747A"/>
    <w:rPr>
      <w:rFonts w:ascii="Verdana" w:hAnsi="Verdana"/>
      <w:b w:val="0"/>
      <w:i w:val="0"/>
      <w:caps/>
      <w:smallCaps w:val="0"/>
      <w:strike w:val="0"/>
      <w:dstrike w:val="0"/>
      <w:vanish w:val="0"/>
      <w:color w:val="115E67"/>
      <w:sz w:val="20"/>
      <w:u w:val="none"/>
      <w:vertAlign w:val="baseline"/>
    </w:rPr>
  </w:style>
  <w:style w:type="paragraph" w:customStyle="1" w:styleId="Paragraphestandardtheme1tabledesmatiressanscouvertureA4V">
    <w:name w:val="Paragraphe standard (theme 1 table des matières sans couverture&#10;:A4 V)"/>
    <w:basedOn w:val="Normal"/>
    <w:uiPriority w:val="99"/>
    <w:rsid w:val="0022195A"/>
    <w:pPr>
      <w:autoSpaceDE w:val="0"/>
      <w:autoSpaceDN w:val="0"/>
      <w:adjustRightInd w:val="0"/>
      <w:spacing w:line="288" w:lineRule="auto"/>
      <w:textAlignment w:val="center"/>
    </w:pPr>
    <w:rPr>
      <w:rFonts w:ascii="MinionPro-Regular" w:hAnsi="MinionPro-Regular" w:cs="MinionPro-Regular"/>
      <w:color w:val="000000"/>
    </w:rPr>
  </w:style>
  <w:style w:type="paragraph" w:customStyle="1" w:styleId="TitreHauttableau1">
    <w:name w:val="Titre Haut tableau 1"/>
    <w:basedOn w:val="Normal"/>
    <w:rsid w:val="00CB636E"/>
    <w:pPr>
      <w:spacing w:before="40" w:after="80"/>
      <w:ind w:left="113" w:right="57"/>
    </w:pPr>
    <w:rPr>
      <w:rFonts w:eastAsia="Times New Roman" w:cs="Times New Roman"/>
      <w:b/>
      <w:bCs/>
      <w:color w:val="202322" w:themeColor="accent4"/>
      <w:szCs w:val="20"/>
    </w:rPr>
  </w:style>
  <w:style w:type="paragraph" w:customStyle="1" w:styleId="Paragraphestandard">
    <w:name w:val="[Paragraphe standard]"/>
    <w:basedOn w:val="Normal"/>
    <w:uiPriority w:val="99"/>
    <w:rsid w:val="0022195A"/>
    <w:pPr>
      <w:autoSpaceDE w:val="0"/>
      <w:autoSpaceDN w:val="0"/>
      <w:adjustRightInd w:val="0"/>
      <w:spacing w:line="288" w:lineRule="auto"/>
      <w:textAlignment w:val="center"/>
    </w:pPr>
    <w:rPr>
      <w:rFonts w:ascii="MinionPro-Regular" w:hAnsi="MinionPro-Regular" w:cs="MinionPro-Regular"/>
      <w:color w:val="000000"/>
    </w:rPr>
  </w:style>
  <w:style w:type="paragraph" w:styleId="TOCHeading">
    <w:name w:val="TOC Heading"/>
    <w:basedOn w:val="Normal"/>
    <w:next w:val="Normal"/>
    <w:uiPriority w:val="39"/>
    <w:unhideWhenUsed/>
    <w:qFormat/>
    <w:rsid w:val="00F1747A"/>
    <w:pPr>
      <w:suppressAutoHyphens/>
      <w:autoSpaceDE w:val="0"/>
      <w:autoSpaceDN w:val="0"/>
      <w:adjustRightInd w:val="0"/>
      <w:spacing w:before="600"/>
      <w:ind w:left="-567" w:right="2381"/>
      <w:textAlignment w:val="center"/>
    </w:pPr>
    <w:rPr>
      <w:rFonts w:cs="MinionPro-Regular"/>
      <w:b/>
      <w:caps/>
      <w:color w:val="000000"/>
    </w:rPr>
  </w:style>
  <w:style w:type="paragraph" w:customStyle="1" w:styleId="Styledeparagraphe1theme1tabledesmatiressanscouverture">
    <w:name w:val="Style de paragraphe 1 (theme 1 table des matières sans couverture&#10;)"/>
    <w:basedOn w:val="Normal"/>
    <w:uiPriority w:val="99"/>
    <w:rsid w:val="0022195A"/>
    <w:pPr>
      <w:suppressAutoHyphens/>
      <w:autoSpaceDE w:val="0"/>
      <w:autoSpaceDN w:val="0"/>
      <w:adjustRightInd w:val="0"/>
      <w:spacing w:before="57" w:line="280" w:lineRule="atLeast"/>
      <w:ind w:left="595"/>
      <w:textAlignment w:val="center"/>
    </w:pPr>
    <w:rPr>
      <w:rFonts w:cs="Verdana"/>
      <w:color w:val="000000"/>
      <w:szCs w:val="18"/>
    </w:rPr>
  </w:style>
  <w:style w:type="character" w:customStyle="1" w:styleId="TextecourantTheme1Textesgnraux">
    <w:name w:val="Texte courant (Theme 1:Textes généraux)"/>
    <w:uiPriority w:val="99"/>
    <w:rsid w:val="0022195A"/>
    <w:rPr>
      <w:rFonts w:ascii="Verdana" w:hAnsi="Verdana" w:cs="Verdana"/>
      <w:color w:val="000000"/>
      <w:spacing w:val="0"/>
      <w:sz w:val="18"/>
      <w:szCs w:val="18"/>
      <w:vertAlign w:val="baseline"/>
      <w:lang w:val="fr-FR"/>
    </w:rPr>
  </w:style>
  <w:style w:type="character" w:customStyle="1" w:styleId="TextecourantboldTheme1Textesgnraux">
    <w:name w:val="Texte courant bold (Theme 1:Textes généraux)"/>
    <w:basedOn w:val="TextecourantTheme1Textesgnraux"/>
    <w:uiPriority w:val="99"/>
    <w:rsid w:val="0022195A"/>
    <w:rPr>
      <w:rFonts w:ascii="Verdana" w:hAnsi="Verdana" w:cs="Verdana"/>
      <w:b/>
      <w:bCs/>
      <w:color w:val="000000"/>
      <w:spacing w:val="0"/>
      <w:sz w:val="18"/>
      <w:szCs w:val="18"/>
      <w:vertAlign w:val="baseline"/>
      <w:lang w:val="fr-FR"/>
    </w:rPr>
  </w:style>
  <w:style w:type="paragraph" w:styleId="Title">
    <w:name w:val="Title"/>
    <w:basedOn w:val="Normal"/>
    <w:next w:val="Normal"/>
    <w:link w:val="TitleChar"/>
    <w:uiPriority w:val="10"/>
    <w:qFormat/>
    <w:rsid w:val="00F1747A"/>
    <w:pPr>
      <w:pageBreakBefore/>
      <w:spacing w:line="360" w:lineRule="exact"/>
      <w:ind w:left="-2977"/>
      <w:contextualSpacing/>
      <w:jc w:val="left"/>
    </w:pPr>
    <w:rPr>
      <w:rFonts w:eastAsiaTheme="majorEastAsia" w:cs="Times New Roman (Titres CS)"/>
      <w:b/>
      <w:spacing w:val="-10"/>
      <w:kern w:val="28"/>
      <w:sz w:val="28"/>
      <w:szCs w:val="56"/>
    </w:rPr>
  </w:style>
  <w:style w:type="character" w:customStyle="1" w:styleId="TitleChar">
    <w:name w:val="Title Char"/>
    <w:basedOn w:val="DefaultParagraphFont"/>
    <w:link w:val="Title"/>
    <w:uiPriority w:val="10"/>
    <w:rsid w:val="00F1747A"/>
    <w:rPr>
      <w:rFonts w:ascii="Verdana" w:eastAsiaTheme="majorEastAsia" w:hAnsi="Verdana" w:cs="Times New Roman (Titres CS)"/>
      <w:b/>
      <w:spacing w:val="-10"/>
      <w:kern w:val="28"/>
      <w:sz w:val="28"/>
      <w:szCs w:val="56"/>
    </w:rPr>
  </w:style>
  <w:style w:type="character" w:customStyle="1" w:styleId="Heading1Char">
    <w:name w:val="Heading 1 Char"/>
    <w:basedOn w:val="DefaultParagraphFont"/>
    <w:link w:val="Heading1"/>
    <w:uiPriority w:val="9"/>
    <w:rsid w:val="00F1747A"/>
    <w:rPr>
      <w:rFonts w:ascii="Verdana" w:eastAsiaTheme="majorEastAsia" w:hAnsi="Verdana" w:cs="Times New Roman (Titres CS)"/>
      <w:b/>
      <w:sz w:val="28"/>
      <w:szCs w:val="32"/>
      <w:lang w:val="fr-LU"/>
    </w:rPr>
  </w:style>
  <w:style w:type="paragraph" w:styleId="TOC1">
    <w:name w:val="toc 1"/>
    <w:basedOn w:val="Normal"/>
    <w:next w:val="TOC2"/>
    <w:autoRedefine/>
    <w:uiPriority w:val="39"/>
    <w:unhideWhenUsed/>
    <w:rsid w:val="008E7D26"/>
    <w:pPr>
      <w:tabs>
        <w:tab w:val="left" w:pos="595"/>
        <w:tab w:val="right" w:pos="6124"/>
      </w:tabs>
      <w:spacing w:before="60" w:after="60" w:line="200" w:lineRule="exact"/>
      <w:ind w:left="595" w:right="1985" w:hanging="595"/>
    </w:pPr>
  </w:style>
  <w:style w:type="paragraph" w:styleId="TOC2">
    <w:name w:val="toc 2"/>
    <w:basedOn w:val="Normal"/>
    <w:next w:val="TOC3"/>
    <w:autoRedefine/>
    <w:uiPriority w:val="39"/>
    <w:unhideWhenUsed/>
    <w:qFormat/>
    <w:rsid w:val="00A32D9E"/>
    <w:pPr>
      <w:tabs>
        <w:tab w:val="left" w:pos="1418"/>
        <w:tab w:val="right" w:pos="6124"/>
      </w:tabs>
      <w:spacing w:before="60" w:after="60" w:line="200" w:lineRule="exact"/>
      <w:ind w:left="1389" w:right="1985" w:hanging="595"/>
    </w:pPr>
  </w:style>
  <w:style w:type="character" w:styleId="SubtleReference">
    <w:name w:val="Subtle Reference"/>
    <w:basedOn w:val="DefaultParagraphFont"/>
    <w:uiPriority w:val="31"/>
    <w:qFormat/>
    <w:rsid w:val="00F1747A"/>
    <w:rPr>
      <w:smallCaps/>
      <w:color w:val="B6ADA5" w:themeColor="background2"/>
    </w:rPr>
  </w:style>
  <w:style w:type="paragraph" w:styleId="TOC3">
    <w:name w:val="toc 3"/>
    <w:basedOn w:val="Normal"/>
    <w:next w:val="Normal"/>
    <w:autoRedefine/>
    <w:uiPriority w:val="39"/>
    <w:unhideWhenUsed/>
    <w:rsid w:val="00E61D12"/>
    <w:pPr>
      <w:tabs>
        <w:tab w:val="left" w:pos="2070"/>
        <w:tab w:val="right" w:pos="6124"/>
      </w:tabs>
      <w:spacing w:before="60" w:after="60" w:line="200" w:lineRule="exact"/>
      <w:ind w:left="1956" w:right="1985" w:hanging="595"/>
    </w:pPr>
  </w:style>
  <w:style w:type="paragraph" w:styleId="TOC4">
    <w:name w:val="toc 4"/>
    <w:basedOn w:val="Normal"/>
    <w:next w:val="Normal"/>
    <w:autoRedefine/>
    <w:uiPriority w:val="39"/>
    <w:unhideWhenUsed/>
    <w:rsid w:val="00E61D12"/>
    <w:pPr>
      <w:tabs>
        <w:tab w:val="left" w:pos="2863"/>
        <w:tab w:val="right" w:pos="6124"/>
      </w:tabs>
      <w:spacing w:before="60" w:after="60" w:line="200" w:lineRule="exact"/>
      <w:ind w:left="1928"/>
      <w:jc w:val="left"/>
    </w:pPr>
  </w:style>
  <w:style w:type="character" w:customStyle="1" w:styleId="Heading2Char">
    <w:name w:val="Heading 2 Char"/>
    <w:basedOn w:val="DefaultParagraphFont"/>
    <w:link w:val="Heading2"/>
    <w:uiPriority w:val="9"/>
    <w:rsid w:val="00F1747A"/>
    <w:rPr>
      <w:rFonts w:ascii="Verdana" w:eastAsiaTheme="majorEastAsia" w:hAnsi="Verdana" w:cstheme="majorBidi"/>
      <w:b/>
      <w:sz w:val="20"/>
      <w:szCs w:val="26"/>
    </w:rPr>
  </w:style>
  <w:style w:type="character" w:customStyle="1" w:styleId="Heading3Char">
    <w:name w:val="Heading 3 Char"/>
    <w:basedOn w:val="DefaultParagraphFont"/>
    <w:link w:val="Heading3"/>
    <w:uiPriority w:val="9"/>
    <w:rsid w:val="00F1747A"/>
    <w:rPr>
      <w:rFonts w:ascii="Verdana" w:eastAsiaTheme="majorEastAsia" w:hAnsi="Verdana" w:cstheme="majorBidi"/>
      <w:sz w:val="17"/>
    </w:rPr>
  </w:style>
  <w:style w:type="character" w:customStyle="1" w:styleId="Heading4Char">
    <w:name w:val="Heading 4 Char"/>
    <w:basedOn w:val="DefaultParagraphFont"/>
    <w:link w:val="Heading4"/>
    <w:uiPriority w:val="9"/>
    <w:rsid w:val="00F1747A"/>
    <w:rPr>
      <w:rFonts w:ascii="Verdana" w:eastAsiaTheme="majorEastAsia" w:hAnsi="Verdana" w:cs="Times New Roman (Titres CS)"/>
      <w:b/>
      <w:i/>
      <w:iCs/>
      <w:sz w:val="17"/>
    </w:rPr>
  </w:style>
  <w:style w:type="character" w:customStyle="1" w:styleId="Heading5Char">
    <w:name w:val="Heading 5 Char"/>
    <w:basedOn w:val="DefaultParagraphFont"/>
    <w:link w:val="Heading5"/>
    <w:uiPriority w:val="9"/>
    <w:rsid w:val="00F1747A"/>
    <w:rPr>
      <w:rFonts w:ascii="Verdana" w:eastAsiaTheme="majorEastAsia" w:hAnsi="Verdana" w:cs="Times New Roman (Titres CS)"/>
      <w:i/>
      <w:sz w:val="17"/>
    </w:rPr>
  </w:style>
  <w:style w:type="paragraph" w:customStyle="1" w:styleId="Normal3">
    <w:name w:val="Normal 3"/>
    <w:basedOn w:val="Normal"/>
    <w:qFormat/>
    <w:rsid w:val="00F1747A"/>
    <w:pPr>
      <w:tabs>
        <w:tab w:val="left" w:pos="1838"/>
      </w:tabs>
      <w:ind w:left="680"/>
    </w:pPr>
  </w:style>
  <w:style w:type="paragraph" w:customStyle="1" w:styleId="Normal4">
    <w:name w:val="Normal 4"/>
    <w:basedOn w:val="Normal"/>
    <w:qFormat/>
    <w:rsid w:val="00F1747A"/>
    <w:pPr>
      <w:tabs>
        <w:tab w:val="left" w:pos="1838"/>
      </w:tabs>
      <w:ind w:left="1304"/>
    </w:pPr>
  </w:style>
  <w:style w:type="paragraph" w:customStyle="1" w:styleId="Paragraphe1sous-titres1et2theme1tabledesmatiressanscouverturetheme1tabledesmatiressanscouverture">
    <w:name w:val="Paragraphe 1 sous-titres 1 et 2 (theme 1 table des matières sans couverture&#10;:theme 1 table des matières sans couverture)"/>
    <w:basedOn w:val="Normal"/>
    <w:uiPriority w:val="99"/>
    <w:rsid w:val="003D6B01"/>
    <w:pPr>
      <w:suppressAutoHyphens/>
      <w:autoSpaceDE w:val="0"/>
      <w:autoSpaceDN w:val="0"/>
      <w:adjustRightInd w:val="0"/>
      <w:spacing w:before="57" w:line="280" w:lineRule="atLeast"/>
      <w:ind w:left="595"/>
      <w:textAlignment w:val="center"/>
    </w:pPr>
    <w:rPr>
      <w:rFonts w:cs="Verdana"/>
      <w:color w:val="000000"/>
      <w:szCs w:val="18"/>
    </w:rPr>
  </w:style>
  <w:style w:type="paragraph" w:styleId="FootnoteText">
    <w:name w:val="footnote text"/>
    <w:basedOn w:val="Normal"/>
    <w:link w:val="FootnoteTextChar"/>
    <w:uiPriority w:val="99"/>
    <w:unhideWhenUsed/>
    <w:qFormat/>
    <w:rsid w:val="00F1747A"/>
    <w:pPr>
      <w:adjustRightInd w:val="0"/>
      <w:spacing w:before="120" w:after="0" w:line="200" w:lineRule="exact"/>
      <w:ind w:left="-624"/>
    </w:pPr>
    <w:rPr>
      <w:i/>
      <w:color w:val="B6ADA5"/>
      <w:sz w:val="15"/>
      <w:szCs w:val="16"/>
    </w:rPr>
  </w:style>
  <w:style w:type="character" w:customStyle="1" w:styleId="FootnoteTextChar">
    <w:name w:val="Footnote Text Char"/>
    <w:basedOn w:val="DefaultParagraphFont"/>
    <w:link w:val="FootnoteText"/>
    <w:uiPriority w:val="99"/>
    <w:rsid w:val="00F1747A"/>
    <w:rPr>
      <w:rFonts w:ascii="Verdana" w:hAnsi="Verdana" w:cs="Times New Roman (Corps CS)"/>
      <w:i/>
      <w:color w:val="B6ADA5"/>
      <w:sz w:val="15"/>
      <w:szCs w:val="16"/>
    </w:rPr>
  </w:style>
  <w:style w:type="character" w:styleId="FootnoteReference">
    <w:name w:val="footnote reference"/>
    <w:basedOn w:val="DefaultParagraphFont"/>
    <w:uiPriority w:val="99"/>
    <w:semiHidden/>
    <w:unhideWhenUsed/>
    <w:qFormat/>
    <w:rsid w:val="00F1747A"/>
    <w:rPr>
      <w:rFonts w:ascii="Verdana" w:hAnsi="Verdana"/>
      <w:color w:val="B6ADA5"/>
      <w:sz w:val="16"/>
      <w:vertAlign w:val="superscript"/>
    </w:rPr>
  </w:style>
  <w:style w:type="character" w:styleId="Hyperlink">
    <w:name w:val="Hyperlink"/>
    <w:basedOn w:val="DefaultParagraphFont"/>
    <w:uiPriority w:val="99"/>
    <w:unhideWhenUsed/>
    <w:rsid w:val="00AB713D"/>
    <w:rPr>
      <w:color w:val="B6ADA5" w:themeColor="background2"/>
      <w:u w:val="single"/>
    </w:rPr>
  </w:style>
  <w:style w:type="character" w:styleId="Strong">
    <w:name w:val="Strong"/>
    <w:basedOn w:val="DefaultParagraphFont"/>
    <w:uiPriority w:val="22"/>
    <w:qFormat/>
    <w:rsid w:val="00F1747A"/>
    <w:rPr>
      <w:b/>
      <w:bCs/>
    </w:rPr>
  </w:style>
  <w:style w:type="character" w:customStyle="1" w:styleId="Heading6Char">
    <w:name w:val="Heading 6 Char"/>
    <w:basedOn w:val="DefaultParagraphFont"/>
    <w:link w:val="Heading6"/>
    <w:uiPriority w:val="9"/>
    <w:rsid w:val="00F1747A"/>
    <w:rPr>
      <w:rFonts w:asciiTheme="majorHAnsi" w:eastAsiaTheme="majorEastAsia" w:hAnsiTheme="majorHAnsi" w:cs="Times New Roman (Titres CS)"/>
      <w:i/>
      <w:color w:val="000000"/>
      <w:sz w:val="15"/>
    </w:rPr>
  </w:style>
  <w:style w:type="character" w:customStyle="1" w:styleId="Heading7Char">
    <w:name w:val="Heading 7 Char"/>
    <w:basedOn w:val="DefaultParagraphFont"/>
    <w:link w:val="Heading7"/>
    <w:uiPriority w:val="9"/>
    <w:semiHidden/>
    <w:rsid w:val="00F1747A"/>
    <w:rPr>
      <w:rFonts w:asciiTheme="majorHAnsi" w:eastAsiaTheme="majorEastAsia" w:hAnsiTheme="majorHAnsi" w:cstheme="majorBidi"/>
      <w:i/>
      <w:iCs/>
      <w:color w:val="6F6234" w:themeColor="accent1" w:themeShade="7F"/>
      <w:sz w:val="18"/>
    </w:rPr>
  </w:style>
  <w:style w:type="character" w:customStyle="1" w:styleId="Heading8Char">
    <w:name w:val="Heading 8 Char"/>
    <w:basedOn w:val="DefaultParagraphFont"/>
    <w:link w:val="Heading8"/>
    <w:uiPriority w:val="9"/>
    <w:semiHidden/>
    <w:rsid w:val="00F1747A"/>
    <w:rPr>
      <w:rFonts w:asciiTheme="majorHAnsi" w:eastAsiaTheme="majorEastAsia" w:hAnsiTheme="majorHAnsi" w:cstheme="majorBidi"/>
      <w:color w:val="0099CE" w:themeColor="text1" w:themeTint="D8"/>
      <w:sz w:val="21"/>
      <w:szCs w:val="21"/>
    </w:rPr>
  </w:style>
  <w:style w:type="character" w:customStyle="1" w:styleId="Heading9Char">
    <w:name w:val="Heading 9 Char"/>
    <w:basedOn w:val="DefaultParagraphFont"/>
    <w:link w:val="Heading9"/>
    <w:uiPriority w:val="9"/>
    <w:semiHidden/>
    <w:rsid w:val="00F1747A"/>
    <w:rPr>
      <w:rFonts w:asciiTheme="majorHAnsi" w:eastAsiaTheme="majorEastAsia" w:hAnsiTheme="majorHAnsi" w:cstheme="majorBidi"/>
      <w:i/>
      <w:iCs/>
      <w:color w:val="0099CE" w:themeColor="text1" w:themeTint="D8"/>
      <w:sz w:val="21"/>
      <w:szCs w:val="21"/>
    </w:rPr>
  </w:style>
  <w:style w:type="table" w:styleId="TableGrid">
    <w:name w:val="Table Grid"/>
    <w:basedOn w:val="TableNormal"/>
    <w:uiPriority w:val="39"/>
    <w:rsid w:val="00C410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C41017"/>
    <w:tblPr>
      <w:tblStyleRowBandSize w:val="1"/>
      <w:tblStyleColBandSize w:val="1"/>
      <w:tblBorders>
        <w:top w:val="single" w:sz="2" w:space="0" w:color="E2E4E4" w:themeColor="accent2" w:themeTint="99"/>
        <w:bottom w:val="single" w:sz="2" w:space="0" w:color="E2E4E4" w:themeColor="accent2" w:themeTint="99"/>
        <w:insideH w:val="single" w:sz="2" w:space="0" w:color="E2E4E4" w:themeColor="accent2" w:themeTint="99"/>
        <w:insideV w:val="single" w:sz="2" w:space="0" w:color="E2E4E4" w:themeColor="accent2" w:themeTint="99"/>
      </w:tblBorders>
    </w:tblPr>
    <w:tblStylePr w:type="firstRow">
      <w:rPr>
        <w:b/>
        <w:bCs/>
      </w:rPr>
      <w:tblPr/>
      <w:tcPr>
        <w:tcBorders>
          <w:top w:val="nil"/>
          <w:bottom w:val="single" w:sz="12" w:space="0" w:color="E2E4E4" w:themeColor="accent2" w:themeTint="99"/>
          <w:insideH w:val="nil"/>
          <w:insideV w:val="nil"/>
        </w:tcBorders>
        <w:shd w:val="clear" w:color="auto" w:fill="7FA9AE" w:themeFill="background1"/>
      </w:tcPr>
    </w:tblStylePr>
    <w:tblStylePr w:type="lastRow">
      <w:rPr>
        <w:b/>
        <w:bCs/>
      </w:rPr>
      <w:tblPr/>
      <w:tcPr>
        <w:tcBorders>
          <w:top w:val="double" w:sz="2" w:space="0" w:color="E2E4E4" w:themeColor="accent2" w:themeTint="99"/>
          <w:bottom w:val="nil"/>
          <w:insideH w:val="nil"/>
          <w:insideV w:val="nil"/>
        </w:tcBorders>
        <w:shd w:val="clear" w:color="auto" w:fill="7FA9AE" w:themeFill="background1"/>
      </w:tcPr>
    </w:tblStylePr>
    <w:tblStylePr w:type="firstCol">
      <w:rPr>
        <w:b/>
        <w:bCs/>
      </w:rPr>
    </w:tblStylePr>
    <w:tblStylePr w:type="lastCol">
      <w:rPr>
        <w:b/>
        <w:bCs/>
      </w:rPr>
    </w:tblStylePr>
    <w:tblStylePr w:type="band1Vert">
      <w:tblPr/>
      <w:tcPr>
        <w:shd w:val="clear" w:color="auto" w:fill="F5F6F6" w:themeFill="accent2" w:themeFillTint="33"/>
      </w:tcPr>
    </w:tblStylePr>
    <w:tblStylePr w:type="band1Horz">
      <w:tblPr/>
      <w:tcPr>
        <w:shd w:val="clear" w:color="auto" w:fill="F5F6F6" w:themeFill="accent2" w:themeFillTint="33"/>
      </w:tcPr>
    </w:tblStylePr>
  </w:style>
  <w:style w:type="table" w:styleId="GridTable4-Accent3">
    <w:name w:val="Grid Table 4 Accent 3"/>
    <w:basedOn w:val="TableNormal"/>
    <w:uiPriority w:val="49"/>
    <w:rsid w:val="00C41017"/>
    <w:tblPr>
      <w:tblStyleRowBandSize w:val="1"/>
      <w:tblStyleColBandSize w:val="1"/>
      <w:tblBorders>
        <w:top w:val="single" w:sz="4" w:space="0" w:color="F1BDB0" w:themeColor="accent3" w:themeTint="99"/>
        <w:left w:val="single" w:sz="4" w:space="0" w:color="F1BDB0" w:themeColor="accent3" w:themeTint="99"/>
        <w:bottom w:val="single" w:sz="4" w:space="0" w:color="F1BDB0" w:themeColor="accent3" w:themeTint="99"/>
        <w:right w:val="single" w:sz="4" w:space="0" w:color="F1BDB0" w:themeColor="accent3" w:themeTint="99"/>
        <w:insideH w:val="single" w:sz="4" w:space="0" w:color="F1BDB0" w:themeColor="accent3" w:themeTint="99"/>
        <w:insideV w:val="single" w:sz="4" w:space="0" w:color="F1BDB0" w:themeColor="accent3" w:themeTint="99"/>
      </w:tblBorders>
    </w:tblPr>
    <w:tblStylePr w:type="firstRow">
      <w:rPr>
        <w:b/>
        <w:bCs/>
        <w:color w:val="7FA9AE" w:themeColor="background1"/>
      </w:rPr>
      <w:tblPr/>
      <w:tcPr>
        <w:tcBorders>
          <w:top w:val="single" w:sz="4" w:space="0" w:color="E8927C" w:themeColor="accent3"/>
          <w:left w:val="single" w:sz="4" w:space="0" w:color="E8927C" w:themeColor="accent3"/>
          <w:bottom w:val="single" w:sz="4" w:space="0" w:color="E8927C" w:themeColor="accent3"/>
          <w:right w:val="single" w:sz="4" w:space="0" w:color="E8927C" w:themeColor="accent3"/>
          <w:insideH w:val="nil"/>
          <w:insideV w:val="nil"/>
        </w:tcBorders>
        <w:shd w:val="clear" w:color="auto" w:fill="E8927C" w:themeFill="accent3"/>
      </w:tcPr>
    </w:tblStylePr>
    <w:tblStylePr w:type="lastRow">
      <w:rPr>
        <w:b/>
        <w:bCs/>
      </w:rPr>
      <w:tblPr/>
      <w:tcPr>
        <w:tcBorders>
          <w:top w:val="double" w:sz="4" w:space="0" w:color="E8927C" w:themeColor="accent3"/>
        </w:tcBorders>
      </w:tcPr>
    </w:tblStylePr>
    <w:tblStylePr w:type="firstCol">
      <w:rPr>
        <w:b/>
        <w:bCs/>
      </w:rPr>
    </w:tblStylePr>
    <w:tblStylePr w:type="lastCol">
      <w:rPr>
        <w:b/>
        <w:bCs/>
      </w:rPr>
    </w:tblStylePr>
    <w:tblStylePr w:type="band1Vert">
      <w:tblPr/>
      <w:tcPr>
        <w:shd w:val="clear" w:color="auto" w:fill="FAE8E4" w:themeFill="accent3" w:themeFillTint="33"/>
      </w:tcPr>
    </w:tblStylePr>
    <w:tblStylePr w:type="band1Horz">
      <w:tblPr/>
      <w:tcPr>
        <w:shd w:val="clear" w:color="auto" w:fill="FAE8E4" w:themeFill="accent3" w:themeFillTint="33"/>
      </w:tcPr>
    </w:tblStylePr>
  </w:style>
  <w:style w:type="table" w:styleId="PlainTable3">
    <w:name w:val="Plain Table 3"/>
    <w:basedOn w:val="TableNormal"/>
    <w:uiPriority w:val="43"/>
    <w:rsid w:val="00C41017"/>
    <w:tblPr>
      <w:tblStyleRowBandSize w:val="1"/>
      <w:tblStyleColBandSize w:val="1"/>
    </w:tblPr>
    <w:tblStylePr w:type="firstRow">
      <w:rPr>
        <w:b/>
        <w:bCs/>
        <w:caps/>
      </w:rPr>
      <w:tblPr/>
      <w:tcPr>
        <w:tcBorders>
          <w:bottom w:val="single" w:sz="4" w:space="0" w:color="4BD0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BD0FF" w:themeColor="text1" w:themeTint="80"/>
        </w:tcBorders>
      </w:tcPr>
    </w:tblStylePr>
    <w:tblStylePr w:type="lastCol">
      <w:rPr>
        <w:b/>
        <w:bCs/>
        <w:caps/>
      </w:rPr>
      <w:tblPr/>
      <w:tcPr>
        <w:tcBorders>
          <w:left w:val="nil"/>
        </w:tcBorders>
      </w:tcPr>
    </w:tblStylePr>
    <w:tblStylePr w:type="band1Vert">
      <w:tblPr/>
      <w:tcPr>
        <w:shd w:val="clear" w:color="auto" w:fill="75A2A8" w:themeFill="background1" w:themeFillShade="F2"/>
      </w:tcPr>
    </w:tblStylePr>
    <w:tblStylePr w:type="band1Horz">
      <w:tblPr/>
      <w:tcPr>
        <w:shd w:val="clear" w:color="auto" w:fill="75A2A8"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5Dark-Accent3">
    <w:name w:val="List Table 5 Dark Accent 3"/>
    <w:basedOn w:val="TableNormal"/>
    <w:uiPriority w:val="50"/>
    <w:rsid w:val="00C41017"/>
    <w:rPr>
      <w:color w:val="7FA9AE" w:themeColor="background1"/>
    </w:rPr>
    <w:tblPr>
      <w:tblStyleRowBandSize w:val="1"/>
      <w:tblStyleColBandSize w:val="1"/>
      <w:tblBorders>
        <w:top w:val="single" w:sz="24" w:space="0" w:color="E8927C" w:themeColor="accent3"/>
        <w:left w:val="single" w:sz="24" w:space="0" w:color="E8927C" w:themeColor="accent3"/>
        <w:bottom w:val="single" w:sz="24" w:space="0" w:color="E8927C" w:themeColor="accent3"/>
        <w:right w:val="single" w:sz="24" w:space="0" w:color="E8927C" w:themeColor="accent3"/>
      </w:tblBorders>
    </w:tblPr>
    <w:tcPr>
      <w:shd w:val="clear" w:color="auto" w:fill="E8927C" w:themeFill="accent3"/>
    </w:tcPr>
    <w:tblStylePr w:type="firstRow">
      <w:rPr>
        <w:b/>
        <w:bCs/>
      </w:rPr>
      <w:tblPr/>
      <w:tcPr>
        <w:tcBorders>
          <w:bottom w:val="single" w:sz="18" w:space="0" w:color="7FA9AE" w:themeColor="background1"/>
        </w:tcBorders>
      </w:tcPr>
    </w:tblStylePr>
    <w:tblStylePr w:type="lastRow">
      <w:rPr>
        <w:b/>
        <w:bCs/>
      </w:rPr>
      <w:tblPr/>
      <w:tcPr>
        <w:tcBorders>
          <w:top w:val="single" w:sz="4" w:space="0" w:color="7FA9AE" w:themeColor="background1"/>
        </w:tcBorders>
      </w:tcPr>
    </w:tblStylePr>
    <w:tblStylePr w:type="firstCol">
      <w:rPr>
        <w:b/>
        <w:bCs/>
      </w:rPr>
      <w:tblPr/>
      <w:tcPr>
        <w:tcBorders>
          <w:right w:val="single" w:sz="4" w:space="0" w:color="7FA9AE" w:themeColor="background1"/>
        </w:tcBorders>
      </w:tcPr>
    </w:tblStylePr>
    <w:tblStylePr w:type="lastCol">
      <w:rPr>
        <w:b/>
        <w:bCs/>
      </w:rPr>
      <w:tblPr/>
      <w:tcPr>
        <w:tcBorders>
          <w:left w:val="single" w:sz="4" w:space="0" w:color="7FA9AE" w:themeColor="background1"/>
        </w:tcBorders>
      </w:tcPr>
    </w:tblStylePr>
    <w:tblStylePr w:type="band1Vert">
      <w:tblPr/>
      <w:tcPr>
        <w:tcBorders>
          <w:left w:val="single" w:sz="4" w:space="0" w:color="7FA9AE" w:themeColor="background1"/>
          <w:right w:val="single" w:sz="4" w:space="0" w:color="7FA9AE" w:themeColor="background1"/>
        </w:tcBorders>
      </w:tcPr>
    </w:tblStylePr>
    <w:tblStylePr w:type="band2Vert">
      <w:tblPr/>
      <w:tcPr>
        <w:tcBorders>
          <w:left w:val="single" w:sz="4" w:space="0" w:color="7FA9AE" w:themeColor="background1"/>
          <w:right w:val="single" w:sz="4" w:space="0" w:color="7FA9AE" w:themeColor="background1"/>
        </w:tcBorders>
      </w:tcPr>
    </w:tblStylePr>
    <w:tblStylePr w:type="band1Horz">
      <w:tblPr/>
      <w:tcPr>
        <w:tcBorders>
          <w:top w:val="single" w:sz="4" w:space="0" w:color="7FA9AE" w:themeColor="background1"/>
          <w:bottom w:val="single" w:sz="4" w:space="0" w:color="7FA9AE"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Accent2">
    <w:name w:val="List Table 6 Colorful Accent 2"/>
    <w:basedOn w:val="TableNormal"/>
    <w:uiPriority w:val="51"/>
    <w:rsid w:val="00E2132A"/>
    <w:rPr>
      <w:color w:val="99A0A0" w:themeColor="accent2" w:themeShade="BF"/>
    </w:rPr>
    <w:tblPr>
      <w:tblStyleRowBandSize w:val="1"/>
      <w:tblStyleColBandSize w:val="1"/>
      <w:tblBorders>
        <w:top w:val="single" w:sz="4" w:space="0" w:color="D0D3D3" w:themeColor="accent2"/>
        <w:bottom w:val="single" w:sz="4" w:space="0" w:color="D0D3D3" w:themeColor="accent2"/>
      </w:tblBorders>
    </w:tblPr>
    <w:tblStylePr w:type="firstRow">
      <w:rPr>
        <w:b/>
        <w:bCs/>
      </w:rPr>
      <w:tblPr/>
      <w:tcPr>
        <w:tcBorders>
          <w:bottom w:val="single" w:sz="4" w:space="0" w:color="D0D3D3" w:themeColor="accent2"/>
        </w:tcBorders>
      </w:tcPr>
    </w:tblStylePr>
    <w:tblStylePr w:type="lastRow">
      <w:rPr>
        <w:b/>
        <w:bCs/>
      </w:rPr>
      <w:tblPr/>
      <w:tcPr>
        <w:tcBorders>
          <w:top w:val="double" w:sz="4" w:space="0" w:color="D0D3D3" w:themeColor="accent2"/>
        </w:tcBorders>
      </w:tcPr>
    </w:tblStylePr>
    <w:tblStylePr w:type="firstCol">
      <w:rPr>
        <w:b/>
        <w:bCs/>
      </w:rPr>
    </w:tblStylePr>
    <w:tblStylePr w:type="lastCol">
      <w:rPr>
        <w:b/>
        <w:bCs/>
      </w:rPr>
    </w:tblStylePr>
    <w:tblStylePr w:type="band1Vert">
      <w:tblPr/>
      <w:tcPr>
        <w:shd w:val="clear" w:color="auto" w:fill="F5F6F6" w:themeFill="accent2" w:themeFillTint="33"/>
      </w:tcPr>
    </w:tblStylePr>
    <w:tblStylePr w:type="band1Horz">
      <w:tblPr/>
      <w:tcPr>
        <w:shd w:val="clear" w:color="auto" w:fill="F5F6F6" w:themeFill="accent2" w:themeFillTint="33"/>
      </w:tcPr>
    </w:tblStylePr>
  </w:style>
  <w:style w:type="table" w:customStyle="1" w:styleId="TableNormal1">
    <w:name w:val="Table Normal1"/>
    <w:uiPriority w:val="2"/>
    <w:semiHidden/>
    <w:unhideWhenUsed/>
    <w:qFormat/>
    <w:rsid w:val="00CB54FE"/>
    <w:pPr>
      <w:widowControl w:val="0"/>
      <w:autoSpaceDE w:val="0"/>
      <w:autoSpaceDN w:val="0"/>
    </w:pPr>
    <w:rPr>
      <w:sz w:val="22"/>
      <w:szCs w:val="22"/>
      <w:lang w:val="en-US"/>
    </w:rPr>
    <w:tblPr>
      <w:tblInd w:w="0" w:type="dxa"/>
      <w:tblCellMar>
        <w:top w:w="0" w:type="dxa"/>
        <w:left w:w="0" w:type="dxa"/>
        <w:bottom w:w="0" w:type="dxa"/>
        <w:right w:w="0" w:type="dxa"/>
      </w:tblCellMar>
    </w:tblPr>
  </w:style>
  <w:style w:type="table" w:customStyle="1" w:styleId="TableauCSSF2">
    <w:name w:val="Tableau CSSF 2"/>
    <w:basedOn w:val="TableGrid1"/>
    <w:uiPriority w:val="99"/>
    <w:rsid w:val="00614F22"/>
    <w:rPr>
      <w:color w:val="202322" w:themeColor="accent4"/>
      <w:sz w:val="15"/>
      <w:szCs w:val="20"/>
      <w:lang w:val="fr-LU" w:eastAsia="fr-FR"/>
    </w:rPr>
    <w:tblPr>
      <w:tblStyleRowBandSize w:val="1"/>
      <w:tblStyleColBandSize w:val="1"/>
      <w:tblBorders>
        <w:top w:val="single" w:sz="4" w:space="0" w:color="B6ADA5" w:themeColor="background2"/>
        <w:left w:val="single" w:sz="4" w:space="0" w:color="B6ADA5" w:themeColor="background2"/>
        <w:bottom w:val="single" w:sz="4" w:space="0" w:color="B6ADA5" w:themeColor="background2"/>
        <w:right w:val="single" w:sz="4" w:space="0" w:color="B6ADA5" w:themeColor="background2"/>
        <w:insideH w:val="single" w:sz="4" w:space="0" w:color="B6ADA5" w:themeColor="background2"/>
        <w:insideV w:val="none" w:sz="0" w:space="0" w:color="auto"/>
      </w:tblBorders>
    </w:tblPr>
    <w:tcPr>
      <w:shd w:val="clear" w:color="auto" w:fill="auto"/>
      <w:vAlign w:val="bottom"/>
    </w:tcPr>
    <w:tblStylePr w:type="firstRow">
      <w:rPr>
        <w:rFonts w:asciiTheme="minorHAnsi" w:hAnsiTheme="minorHAnsi"/>
        <w:b/>
        <w:color w:val="202322" w:themeColor="accent4"/>
        <w:sz w:val="14"/>
      </w:rPr>
      <w:tblPr/>
      <w:tcPr>
        <w:tcBorders>
          <w:top w:val="nil"/>
          <w:left w:val="nil"/>
          <w:bottom w:val="single" w:sz="4" w:space="0" w:color="auto"/>
          <w:right w:val="nil"/>
          <w:insideH w:val="nil"/>
          <w:insideV w:val="nil"/>
          <w:tl2br w:val="nil"/>
          <w:tr2bl w:val="nil"/>
        </w:tcBorders>
        <w:shd w:val="solid" w:color="E7E9E8" w:themeColor="accent4" w:themeTint="1A" w:fill="auto"/>
      </w:tcPr>
    </w:tblStylePr>
    <w:tblStylePr w:type="lastRow">
      <w:rPr>
        <w:rFonts w:asciiTheme="minorHAnsi" w:hAnsiTheme="minorHAnsi"/>
        <w:i w:val="0"/>
        <w:iCs/>
        <w:sz w:val="13"/>
      </w:rPr>
      <w:tblPr/>
      <w:tcPr>
        <w:tcBorders>
          <w:tl2br w:val="none" w:sz="0" w:space="0" w:color="auto"/>
          <w:tr2bl w:val="none" w:sz="0" w:space="0" w:color="auto"/>
        </w:tcBorders>
      </w:tcPr>
    </w:tblStylePr>
    <w:tblStylePr w:type="firstCol">
      <w:rPr>
        <w:rFonts w:asciiTheme="minorHAnsi" w:hAnsiTheme="minorHAnsi"/>
        <w:b/>
        <w:sz w:val="13"/>
      </w:rPr>
      <w:tblPr/>
      <w:tcPr>
        <w:tcBorders>
          <w:top w:val="single" w:sz="4" w:space="0" w:color="B6ADA5" w:themeColor="background2"/>
          <w:left w:val="nil"/>
          <w:bottom w:val="single" w:sz="4" w:space="0" w:color="B6ADA5" w:themeColor="background2"/>
          <w:right w:val="single" w:sz="4" w:space="0" w:color="B6ADA5" w:themeColor="background2"/>
          <w:insideH w:val="nil"/>
          <w:insideV w:val="nil"/>
          <w:tl2br w:val="nil"/>
          <w:tr2bl w:val="nil"/>
        </w:tcBorders>
        <w:shd w:val="clear" w:color="auto" w:fill="auto"/>
      </w:tcPr>
    </w:tblStylePr>
    <w:tblStylePr w:type="lastCol">
      <w:rPr>
        <w:rFonts w:asciiTheme="minorHAnsi" w:hAnsiTheme="minorHAnsi"/>
        <w:i w:val="0"/>
        <w:iCs/>
        <w:sz w:val="13"/>
      </w:rPr>
      <w:tblPr/>
      <w:tcPr>
        <w:tcBorders>
          <w:top w:val="single" w:sz="4" w:space="0" w:color="auto"/>
          <w:left w:val="nil"/>
          <w:bottom w:val="nil"/>
          <w:right w:val="nil"/>
          <w:insideH w:val="nil"/>
          <w:insideV w:val="nil"/>
          <w:tl2br w:val="nil"/>
          <w:tr2bl w:val="nil"/>
        </w:tcBorders>
        <w:shd w:val="clear" w:color="auto" w:fill="auto"/>
      </w:tcPr>
    </w:tblStylePr>
    <w:tblStylePr w:type="band1Vert">
      <w:rPr>
        <w:rFonts w:asciiTheme="minorHAnsi" w:hAnsiTheme="minorHAnsi"/>
        <w:sz w:val="13"/>
      </w:rPr>
    </w:tblStylePr>
    <w:tblStylePr w:type="band2Vert">
      <w:rPr>
        <w:rFonts w:asciiTheme="minorHAnsi" w:hAnsiTheme="minorHAnsi"/>
        <w:sz w:val="13"/>
      </w:rPr>
    </w:tblStylePr>
    <w:tblStylePr w:type="band1Horz">
      <w:rPr>
        <w:rFonts w:asciiTheme="minorHAnsi" w:hAnsiTheme="minorHAnsi"/>
        <w:sz w:val="13"/>
      </w:rPr>
    </w:tblStylePr>
    <w:tblStylePr w:type="band2Horz">
      <w:rPr>
        <w:rFonts w:asciiTheme="minorHAnsi" w:hAnsiTheme="minorHAnsi"/>
        <w:color w:val="202322" w:themeColor="accent4"/>
        <w:sz w:val="13"/>
      </w:rPr>
    </w:tblStylePr>
  </w:style>
  <w:style w:type="table" w:styleId="GridTable1Light">
    <w:name w:val="Grid Table 1 Light"/>
    <w:basedOn w:val="TableNormal"/>
    <w:uiPriority w:val="46"/>
    <w:rsid w:val="00CB54FE"/>
    <w:tblPr>
      <w:tblStyleRowBandSize w:val="1"/>
      <w:tblStyleColBandSize w:val="1"/>
      <w:tblBorders>
        <w:top w:val="single" w:sz="4" w:space="0" w:color="6FD9FF" w:themeColor="text1" w:themeTint="66"/>
        <w:left w:val="single" w:sz="4" w:space="0" w:color="6FD9FF" w:themeColor="text1" w:themeTint="66"/>
        <w:bottom w:val="single" w:sz="4" w:space="0" w:color="6FD9FF" w:themeColor="text1" w:themeTint="66"/>
        <w:right w:val="single" w:sz="4" w:space="0" w:color="6FD9FF" w:themeColor="text1" w:themeTint="66"/>
        <w:insideH w:val="single" w:sz="4" w:space="0" w:color="6FD9FF" w:themeColor="text1" w:themeTint="66"/>
        <w:insideV w:val="single" w:sz="4" w:space="0" w:color="6FD9FF" w:themeColor="text1" w:themeTint="66"/>
      </w:tblBorders>
    </w:tblPr>
    <w:tblStylePr w:type="firstRow">
      <w:rPr>
        <w:b/>
        <w:bCs/>
      </w:rPr>
      <w:tblPr/>
      <w:tcPr>
        <w:tcBorders>
          <w:bottom w:val="single" w:sz="12" w:space="0" w:color="28C7FF" w:themeColor="text1" w:themeTint="99"/>
        </w:tcBorders>
      </w:tcPr>
    </w:tblStylePr>
    <w:tblStylePr w:type="lastRow">
      <w:rPr>
        <w:b/>
        <w:bCs/>
      </w:rPr>
      <w:tblPr/>
      <w:tcPr>
        <w:tcBorders>
          <w:top w:val="double" w:sz="2" w:space="0" w:color="28C7FF"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B54FE"/>
    <w:tblPr>
      <w:tblStyleRowBandSize w:val="1"/>
      <w:tblStyleColBandSize w:val="1"/>
      <w:tblBorders>
        <w:top w:val="single" w:sz="4" w:space="0" w:color="E7E2CD" w:themeColor="accent1" w:themeTint="66"/>
        <w:left w:val="single" w:sz="4" w:space="0" w:color="E7E2CD" w:themeColor="accent1" w:themeTint="66"/>
        <w:bottom w:val="single" w:sz="4" w:space="0" w:color="E7E2CD" w:themeColor="accent1" w:themeTint="66"/>
        <w:right w:val="single" w:sz="4" w:space="0" w:color="E7E2CD" w:themeColor="accent1" w:themeTint="66"/>
        <w:insideH w:val="single" w:sz="4" w:space="0" w:color="E7E2CD" w:themeColor="accent1" w:themeTint="66"/>
        <w:insideV w:val="single" w:sz="4" w:space="0" w:color="E7E2CD" w:themeColor="accent1" w:themeTint="66"/>
      </w:tblBorders>
    </w:tblPr>
    <w:tblStylePr w:type="firstRow">
      <w:rPr>
        <w:b/>
        <w:bCs/>
      </w:rPr>
      <w:tblPr/>
      <w:tcPr>
        <w:tcBorders>
          <w:bottom w:val="single" w:sz="12" w:space="0" w:color="DCD3B4" w:themeColor="accent1" w:themeTint="99"/>
        </w:tcBorders>
      </w:tcPr>
    </w:tblStylePr>
    <w:tblStylePr w:type="lastRow">
      <w:rPr>
        <w:b/>
        <w:bCs/>
      </w:rPr>
      <w:tblPr/>
      <w:tcPr>
        <w:tcBorders>
          <w:top w:val="double" w:sz="2" w:space="0" w:color="DCD3B4"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B54FE"/>
    <w:tblPr>
      <w:tblStyleRowBandSize w:val="1"/>
      <w:tblStyleColBandSize w:val="1"/>
      <w:tblBorders>
        <w:top w:val="single" w:sz="4" w:space="0" w:color="ECEDED" w:themeColor="accent2" w:themeTint="66"/>
        <w:left w:val="single" w:sz="4" w:space="0" w:color="ECEDED" w:themeColor="accent2" w:themeTint="66"/>
        <w:bottom w:val="single" w:sz="4" w:space="0" w:color="ECEDED" w:themeColor="accent2" w:themeTint="66"/>
        <w:right w:val="single" w:sz="4" w:space="0" w:color="ECEDED" w:themeColor="accent2" w:themeTint="66"/>
        <w:insideH w:val="single" w:sz="4" w:space="0" w:color="ECEDED" w:themeColor="accent2" w:themeTint="66"/>
        <w:insideV w:val="single" w:sz="4" w:space="0" w:color="ECEDED" w:themeColor="accent2" w:themeTint="66"/>
      </w:tblBorders>
    </w:tblPr>
    <w:tblStylePr w:type="firstRow">
      <w:rPr>
        <w:b/>
        <w:bCs/>
      </w:rPr>
      <w:tblPr/>
      <w:tcPr>
        <w:tcBorders>
          <w:bottom w:val="single" w:sz="12" w:space="0" w:color="E2E4E4" w:themeColor="accent2" w:themeTint="99"/>
        </w:tcBorders>
      </w:tcPr>
    </w:tblStylePr>
    <w:tblStylePr w:type="lastRow">
      <w:rPr>
        <w:b/>
        <w:bCs/>
      </w:rPr>
      <w:tblPr/>
      <w:tcPr>
        <w:tcBorders>
          <w:top w:val="double" w:sz="2" w:space="0" w:color="E2E4E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B54FE"/>
    <w:tblPr>
      <w:tblStyleRowBandSize w:val="1"/>
      <w:tblStyleColBandSize w:val="1"/>
      <w:tblBorders>
        <w:top w:val="single" w:sz="4" w:space="0" w:color="F5D3CA" w:themeColor="accent3" w:themeTint="66"/>
        <w:left w:val="single" w:sz="4" w:space="0" w:color="F5D3CA" w:themeColor="accent3" w:themeTint="66"/>
        <w:bottom w:val="single" w:sz="4" w:space="0" w:color="F5D3CA" w:themeColor="accent3" w:themeTint="66"/>
        <w:right w:val="single" w:sz="4" w:space="0" w:color="F5D3CA" w:themeColor="accent3" w:themeTint="66"/>
        <w:insideH w:val="single" w:sz="4" w:space="0" w:color="F5D3CA" w:themeColor="accent3" w:themeTint="66"/>
        <w:insideV w:val="single" w:sz="4" w:space="0" w:color="F5D3CA" w:themeColor="accent3" w:themeTint="66"/>
      </w:tblBorders>
    </w:tblPr>
    <w:tblStylePr w:type="firstRow">
      <w:rPr>
        <w:b/>
        <w:bCs/>
      </w:rPr>
      <w:tblPr/>
      <w:tcPr>
        <w:tcBorders>
          <w:bottom w:val="single" w:sz="12" w:space="0" w:color="F1BDB0" w:themeColor="accent3" w:themeTint="99"/>
        </w:tcBorders>
      </w:tcPr>
    </w:tblStylePr>
    <w:tblStylePr w:type="lastRow">
      <w:rPr>
        <w:b/>
        <w:bCs/>
      </w:rPr>
      <w:tblPr/>
      <w:tcPr>
        <w:tcBorders>
          <w:top w:val="double" w:sz="2" w:space="0" w:color="F1BDB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B54FE"/>
    <w:tblPr>
      <w:tblStyleRowBandSize w:val="1"/>
      <w:tblStyleColBandSize w:val="1"/>
      <w:tblBorders>
        <w:top w:val="single" w:sz="4" w:space="0" w:color="A2AAA7" w:themeColor="accent4" w:themeTint="66"/>
        <w:left w:val="single" w:sz="4" w:space="0" w:color="A2AAA7" w:themeColor="accent4" w:themeTint="66"/>
        <w:bottom w:val="single" w:sz="4" w:space="0" w:color="A2AAA7" w:themeColor="accent4" w:themeTint="66"/>
        <w:right w:val="single" w:sz="4" w:space="0" w:color="A2AAA7" w:themeColor="accent4" w:themeTint="66"/>
        <w:insideH w:val="single" w:sz="4" w:space="0" w:color="A2AAA7" w:themeColor="accent4" w:themeTint="66"/>
        <w:insideV w:val="single" w:sz="4" w:space="0" w:color="A2AAA7" w:themeColor="accent4" w:themeTint="66"/>
      </w:tblBorders>
    </w:tblPr>
    <w:tblStylePr w:type="firstRow">
      <w:rPr>
        <w:b/>
        <w:bCs/>
      </w:rPr>
      <w:tblPr/>
      <w:tcPr>
        <w:tcBorders>
          <w:bottom w:val="single" w:sz="12" w:space="0" w:color="747F7B" w:themeColor="accent4" w:themeTint="99"/>
        </w:tcBorders>
      </w:tcPr>
    </w:tblStylePr>
    <w:tblStylePr w:type="lastRow">
      <w:rPr>
        <w:b/>
        <w:bCs/>
      </w:rPr>
      <w:tblPr/>
      <w:tcPr>
        <w:tcBorders>
          <w:top w:val="double" w:sz="2" w:space="0" w:color="747F7B" w:themeColor="accent4"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CB54FE"/>
    <w:tblPr>
      <w:tblBorders>
        <w:top w:val="single" w:sz="4" w:space="0" w:color="578489" w:themeColor="background1" w:themeShade="BF"/>
        <w:left w:val="single" w:sz="4" w:space="0" w:color="578489" w:themeColor="background1" w:themeShade="BF"/>
        <w:bottom w:val="single" w:sz="4" w:space="0" w:color="578489" w:themeColor="background1" w:themeShade="BF"/>
        <w:right w:val="single" w:sz="4" w:space="0" w:color="578489" w:themeColor="background1" w:themeShade="BF"/>
        <w:insideH w:val="single" w:sz="4" w:space="0" w:color="578489" w:themeColor="background1" w:themeShade="BF"/>
        <w:insideV w:val="single" w:sz="4" w:space="0" w:color="578489" w:themeColor="background1" w:themeShade="BF"/>
      </w:tblBorders>
    </w:tblPr>
  </w:style>
  <w:style w:type="table" w:styleId="PlainTable1">
    <w:name w:val="Plain Table 1"/>
    <w:aliases w:val="Tableau 3"/>
    <w:basedOn w:val="TableGrid"/>
    <w:uiPriority w:val="41"/>
    <w:rsid w:val="001E4CE4"/>
    <w:rPr>
      <w:sz w:val="15"/>
    </w:rPr>
    <w:tblPr>
      <w:tblStyleRowBandSize w:val="1"/>
      <w:tblStyleColBandSize w:val="1"/>
      <w:tblBorders>
        <w:top w:val="none" w:sz="0" w:space="0" w:color="auto"/>
        <w:left w:val="none" w:sz="0" w:space="0" w:color="auto"/>
        <w:bottom w:val="none" w:sz="0" w:space="0" w:color="auto"/>
        <w:right w:val="none" w:sz="0" w:space="0" w:color="auto"/>
        <w:insideH w:val="single" w:sz="6" w:space="0" w:color="B6ADA5" w:themeColor="background2"/>
        <w:insideV w:val="single" w:sz="6" w:space="0" w:color="B6ADA5" w:themeColor="background2"/>
      </w:tblBorders>
    </w:tblPr>
    <w:tblStylePr w:type="firstRow">
      <w:rPr>
        <w:rFonts w:asciiTheme="minorHAnsi" w:hAnsiTheme="minorHAnsi"/>
        <w:b w:val="0"/>
        <w:bCs/>
        <w:color w:val="auto"/>
        <w:sz w:val="16"/>
      </w:rPr>
      <w:tblPr/>
      <w:tcPr>
        <w:tcBorders>
          <w:top w:val="nil"/>
          <w:left w:val="nil"/>
          <w:bottom w:val="single" w:sz="6" w:space="0" w:color="auto"/>
          <w:right w:val="nil"/>
          <w:insideH w:val="nil"/>
          <w:insideV w:val="nil"/>
          <w:tl2br w:val="nil"/>
          <w:tr2bl w:val="nil"/>
        </w:tcBorders>
      </w:tcPr>
    </w:tblStylePr>
    <w:tblStylePr w:type="lastRow">
      <w:rPr>
        <w:rFonts w:asciiTheme="minorHAnsi" w:hAnsiTheme="minorHAnsi"/>
        <w:b/>
        <w:bCs/>
        <w:color w:val="202322" w:themeColor="accent4"/>
        <w:sz w:val="15"/>
      </w:rPr>
      <w:tblPr/>
      <w:tcPr>
        <w:tcBorders>
          <w:top w:val="nil"/>
          <w:left w:val="nil"/>
          <w:bottom w:val="nil"/>
          <w:right w:val="nil"/>
          <w:insideH w:val="nil"/>
          <w:insideV w:val="nil"/>
          <w:tl2br w:val="nil"/>
          <w:tr2bl w:val="nil"/>
        </w:tcBorders>
      </w:tcPr>
    </w:tblStylePr>
    <w:tblStylePr w:type="firstCol">
      <w:rPr>
        <w:rFonts w:asciiTheme="minorHAnsi" w:hAnsiTheme="minorHAnsi"/>
        <w:b/>
        <w:bCs/>
        <w:sz w:val="15"/>
      </w:rPr>
    </w:tblStylePr>
    <w:tblStylePr w:type="lastCol">
      <w:rPr>
        <w:b/>
        <w:bCs/>
      </w:rPr>
      <w:tblPr/>
      <w:tcPr>
        <w:tcBorders>
          <w:tl2br w:val="none" w:sz="0" w:space="0" w:color="auto"/>
          <w:tr2bl w:val="none" w:sz="0" w:space="0" w:color="auto"/>
        </w:tcBorders>
      </w:tcPr>
    </w:tblStylePr>
    <w:tblStylePr w:type="band1Vert">
      <w:rPr>
        <w:rFonts w:asciiTheme="minorHAnsi" w:hAnsiTheme="minorHAnsi"/>
        <w:sz w:val="15"/>
      </w:rPr>
      <w:tblPr/>
      <w:tcPr>
        <w:shd w:val="clear" w:color="auto" w:fill="75A2A8" w:themeFill="background1" w:themeFillShade="F2"/>
      </w:tcPr>
    </w:tblStylePr>
    <w:tblStylePr w:type="band1Horz">
      <w:rPr>
        <w:rFonts w:asciiTheme="minorHAnsi" w:hAnsiTheme="minorHAnsi"/>
      </w:rPr>
      <w:tblPr/>
      <w:tcPr>
        <w:shd w:val="clear" w:color="auto" w:fill="B2CBCE" w:themeFill="background1" w:themeFillTint="99"/>
      </w:tcPr>
    </w:tblStylePr>
    <w:tblStylePr w:type="band2Horz">
      <w:rPr>
        <w:rFonts w:asciiTheme="minorHAnsi" w:hAnsiTheme="minorHAnsi"/>
        <w:sz w:val="15"/>
      </w:rPr>
      <w:tblPr/>
      <w:tcPr>
        <w:shd w:val="clear" w:color="auto" w:fill="D3CDC8" w:themeFill="background2" w:themeFillTint="99"/>
      </w:tcPr>
    </w:tblStylePr>
  </w:style>
  <w:style w:type="table" w:styleId="PlainTable2">
    <w:name w:val="Plain Table 2"/>
    <w:basedOn w:val="TableNormal"/>
    <w:uiPriority w:val="42"/>
    <w:rsid w:val="00CB54FE"/>
    <w:tblPr>
      <w:tblStyleRowBandSize w:val="1"/>
      <w:tblStyleColBandSize w:val="1"/>
      <w:tblBorders>
        <w:top w:val="single" w:sz="4" w:space="0" w:color="4BD0FF" w:themeColor="text1" w:themeTint="80"/>
        <w:bottom w:val="single" w:sz="4" w:space="0" w:color="4BD0FF" w:themeColor="text1" w:themeTint="80"/>
      </w:tblBorders>
    </w:tblPr>
    <w:tblStylePr w:type="firstRow">
      <w:rPr>
        <w:b/>
        <w:bCs/>
      </w:rPr>
      <w:tblPr/>
      <w:tcPr>
        <w:tcBorders>
          <w:bottom w:val="single" w:sz="4" w:space="0" w:color="4BD0FF" w:themeColor="text1" w:themeTint="80"/>
        </w:tcBorders>
      </w:tcPr>
    </w:tblStylePr>
    <w:tblStylePr w:type="lastRow">
      <w:rPr>
        <w:b/>
        <w:bCs/>
      </w:rPr>
      <w:tblPr/>
      <w:tcPr>
        <w:tcBorders>
          <w:top w:val="single" w:sz="4" w:space="0" w:color="4BD0FF" w:themeColor="text1" w:themeTint="80"/>
        </w:tcBorders>
      </w:tcPr>
    </w:tblStylePr>
    <w:tblStylePr w:type="firstCol">
      <w:rPr>
        <w:b/>
        <w:bCs/>
      </w:rPr>
    </w:tblStylePr>
    <w:tblStylePr w:type="lastCol">
      <w:rPr>
        <w:b/>
        <w:bCs/>
      </w:rPr>
    </w:tblStylePr>
    <w:tblStylePr w:type="band1Vert">
      <w:tblPr/>
      <w:tcPr>
        <w:tcBorders>
          <w:left w:val="single" w:sz="4" w:space="0" w:color="4BD0FF" w:themeColor="text1" w:themeTint="80"/>
          <w:right w:val="single" w:sz="4" w:space="0" w:color="4BD0FF" w:themeColor="text1" w:themeTint="80"/>
        </w:tcBorders>
      </w:tcPr>
    </w:tblStylePr>
    <w:tblStylePr w:type="band2Vert">
      <w:tblPr/>
      <w:tcPr>
        <w:tcBorders>
          <w:left w:val="single" w:sz="4" w:space="0" w:color="4BD0FF" w:themeColor="text1" w:themeTint="80"/>
          <w:right w:val="single" w:sz="4" w:space="0" w:color="4BD0FF" w:themeColor="text1" w:themeTint="80"/>
        </w:tcBorders>
      </w:tcPr>
    </w:tblStylePr>
    <w:tblStylePr w:type="band1Horz">
      <w:tblPr/>
      <w:tcPr>
        <w:tcBorders>
          <w:top w:val="single" w:sz="4" w:space="0" w:color="4BD0FF" w:themeColor="text1" w:themeTint="80"/>
          <w:bottom w:val="single" w:sz="4" w:space="0" w:color="4BD0FF" w:themeColor="text1" w:themeTint="80"/>
        </w:tcBorders>
      </w:tcPr>
    </w:tblStylePr>
  </w:style>
  <w:style w:type="table" w:styleId="PlainTable4">
    <w:name w:val="Plain Table 4"/>
    <w:basedOn w:val="TableNormal"/>
    <w:uiPriority w:val="44"/>
    <w:rsid w:val="00CB54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75A2A8" w:themeFill="background1" w:themeFillShade="F2"/>
      </w:tcPr>
    </w:tblStylePr>
    <w:tblStylePr w:type="band1Horz">
      <w:tblPr/>
      <w:tcPr>
        <w:shd w:val="clear" w:color="auto" w:fill="75A2A8" w:themeFill="background1" w:themeFillShade="F2"/>
      </w:tcPr>
    </w:tblStylePr>
  </w:style>
  <w:style w:type="table" w:styleId="PlainTable5">
    <w:name w:val="Plain Table 5"/>
    <w:basedOn w:val="TableNormal"/>
    <w:uiPriority w:val="45"/>
    <w:rsid w:val="00CB54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D0FF" w:themeColor="text1" w:themeTint="80"/>
        </w:tcBorders>
        <w:shd w:val="clear" w:color="auto" w:fill="7FA9AE" w:themeFill="background1"/>
      </w:tcPr>
    </w:tblStylePr>
    <w:tblStylePr w:type="lastRow">
      <w:rPr>
        <w:rFonts w:asciiTheme="majorHAnsi" w:eastAsiaTheme="majorEastAsia" w:hAnsiTheme="majorHAnsi" w:cstheme="majorBidi"/>
        <w:i/>
        <w:iCs/>
        <w:sz w:val="26"/>
      </w:rPr>
      <w:tblPr/>
      <w:tcPr>
        <w:tcBorders>
          <w:top w:val="single" w:sz="4" w:space="0" w:color="4BD0FF" w:themeColor="text1" w:themeTint="80"/>
        </w:tcBorders>
        <w:shd w:val="clear" w:color="auto" w:fill="7FA9AE"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D0FF" w:themeColor="text1" w:themeTint="80"/>
        </w:tcBorders>
        <w:shd w:val="clear" w:color="auto" w:fill="7FA9AE" w:themeFill="background1"/>
      </w:tcPr>
    </w:tblStylePr>
    <w:tblStylePr w:type="lastCol">
      <w:rPr>
        <w:rFonts w:asciiTheme="majorHAnsi" w:eastAsiaTheme="majorEastAsia" w:hAnsiTheme="majorHAnsi" w:cstheme="majorBidi"/>
        <w:i/>
        <w:iCs/>
        <w:sz w:val="26"/>
      </w:rPr>
      <w:tblPr/>
      <w:tcPr>
        <w:tcBorders>
          <w:left w:val="single" w:sz="4" w:space="0" w:color="4BD0FF" w:themeColor="text1" w:themeTint="80"/>
        </w:tcBorders>
        <w:shd w:val="clear" w:color="auto" w:fill="7FA9AE" w:themeFill="background1"/>
      </w:tcPr>
    </w:tblStylePr>
    <w:tblStylePr w:type="band1Vert">
      <w:tblPr/>
      <w:tcPr>
        <w:shd w:val="clear" w:color="auto" w:fill="75A2A8" w:themeFill="background1" w:themeFillShade="F2"/>
      </w:tcPr>
    </w:tblStylePr>
    <w:tblStylePr w:type="band1Horz">
      <w:tblPr/>
      <w:tcPr>
        <w:shd w:val="clear" w:color="auto" w:fill="75A2A8"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Subtle2">
    <w:name w:val="Table Subtle 2"/>
    <w:basedOn w:val="TableNormal"/>
    <w:uiPriority w:val="99"/>
    <w:rsid w:val="00CB54FE"/>
    <w:pPr>
      <w:keepLines/>
      <w:spacing w:after="120" w:line="280" w:lineRule="exact"/>
      <w:ind w:left="2948"/>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3">
    <w:name w:val="Table Web 3"/>
    <w:basedOn w:val="TableNormal"/>
    <w:uiPriority w:val="99"/>
    <w:rsid w:val="00CB54FE"/>
    <w:pPr>
      <w:keepLines/>
      <w:spacing w:after="120" w:line="280" w:lineRule="exact"/>
      <w:ind w:left="2948"/>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uiPriority w:val="99"/>
    <w:rsid w:val="007E2C74"/>
    <w:pPr>
      <w:keepLines/>
      <w:spacing w:after="120" w:line="280" w:lineRule="exact"/>
      <w:ind w:left="2948"/>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1747A"/>
    <w:pPr>
      <w:keepLines/>
      <w:ind w:left="2948"/>
      <w:jc w:val="both"/>
    </w:pPr>
    <w:rPr>
      <w:rFonts w:ascii="Verdana" w:hAnsi="Verdana" w:cs="Times New Roman (Corps CS)"/>
      <w:sz w:val="18"/>
    </w:rPr>
  </w:style>
  <w:style w:type="character" w:styleId="FollowedHyperlink">
    <w:name w:val="FollowedHyperlink"/>
    <w:basedOn w:val="DefaultParagraphFont"/>
    <w:uiPriority w:val="99"/>
    <w:semiHidden/>
    <w:unhideWhenUsed/>
    <w:rsid w:val="00632A39"/>
    <w:rPr>
      <w:color w:val="E8927C" w:themeColor="followedHyperlink"/>
      <w:u w:val="single"/>
    </w:rPr>
  </w:style>
  <w:style w:type="table" w:customStyle="1" w:styleId="TableauCSSF1">
    <w:name w:val="Tableau CSSF 1"/>
    <w:basedOn w:val="TableGrid"/>
    <w:uiPriority w:val="99"/>
    <w:rsid w:val="00A409BD"/>
    <w:pPr>
      <w:keepNext/>
      <w:suppressAutoHyphens/>
      <w:adjustRightInd w:val="0"/>
      <w:spacing w:before="40" w:after="40" w:line="220" w:lineRule="exact"/>
      <w:ind w:left="113"/>
    </w:pPr>
    <w:rPr>
      <w:color w:val="202322" w:themeColor="accent4"/>
      <w:sz w:val="16"/>
    </w:rPr>
    <w:tblPr>
      <w:tblStyleRowBandSize w:val="1"/>
      <w:tblStyleColBandSize w:val="1"/>
      <w:tblBorders>
        <w:top w:val="none" w:sz="0" w:space="0" w:color="auto"/>
        <w:left w:val="none" w:sz="0" w:space="0" w:color="auto"/>
        <w:bottom w:val="none" w:sz="0" w:space="0" w:color="auto"/>
        <w:right w:val="none" w:sz="0" w:space="0" w:color="auto"/>
        <w:insideH w:val="single" w:sz="4" w:space="0" w:color="B6ADA5" w:themeColor="background2"/>
        <w:insideV w:val="single" w:sz="4" w:space="0" w:color="B6ADA5" w:themeColor="background2"/>
      </w:tblBorders>
      <w:tblCellMar>
        <w:top w:w="170" w:type="dxa"/>
        <w:left w:w="85" w:type="dxa"/>
        <w:bottom w:w="85" w:type="dxa"/>
        <w:right w:w="85" w:type="dxa"/>
      </w:tblCellMar>
    </w:tblPr>
    <w:tcPr>
      <w:noWrap/>
      <w:tcMar>
        <w:top w:w="0" w:type="dxa"/>
        <w:left w:w="0" w:type="dxa"/>
        <w:bottom w:w="0" w:type="dxa"/>
        <w:right w:w="0" w:type="dxa"/>
      </w:tcMar>
    </w:tcPr>
    <w:tblStylePr w:type="firstRow">
      <w:rPr>
        <w:rFonts w:asciiTheme="minorHAnsi" w:hAnsiTheme="minorHAnsi"/>
        <w:b/>
        <w:i w:val="0"/>
        <w:color w:val="202322" w:themeColor="accent4"/>
        <w:sz w:val="15"/>
      </w:rPr>
      <w:tblPr/>
      <w:tcPr>
        <w:tcBorders>
          <w:top w:val="nil"/>
          <w:left w:val="nil"/>
          <w:bottom w:val="nil"/>
          <w:right w:val="nil"/>
          <w:insideH w:val="nil"/>
          <w:insideV w:val="nil"/>
          <w:tl2br w:val="nil"/>
          <w:tr2bl w:val="nil"/>
        </w:tcBorders>
        <w:shd w:val="solid" w:color="CBDCDE" w:themeColor="background1" w:themeTint="66" w:fill="auto"/>
      </w:tcPr>
    </w:tblStylePr>
    <w:tblStylePr w:type="firstCol">
      <w:rPr>
        <w:rFonts w:asciiTheme="minorHAnsi" w:hAnsiTheme="minorHAnsi"/>
        <w:b/>
        <w:i w:val="0"/>
        <w:color w:val="202322" w:themeColor="accent4"/>
        <w:sz w:val="15"/>
        <w:u w:val="none"/>
      </w:rPr>
    </w:tblStylePr>
    <w:tblStylePr w:type="lastCol">
      <w:rPr>
        <w:rFonts w:asciiTheme="majorHAnsi" w:hAnsiTheme="majorHAnsi"/>
        <w:b w:val="0"/>
        <w:sz w:val="16"/>
      </w:rPr>
    </w:tblStylePr>
    <w:tblStylePr w:type="band1Vert">
      <w:rPr>
        <w:rFonts w:asciiTheme="majorHAnsi" w:hAnsiTheme="majorHAnsi"/>
        <w:b w:val="0"/>
        <w:sz w:val="16"/>
      </w:rPr>
    </w:tblStylePr>
    <w:tblStylePr w:type="band2Vert">
      <w:rPr>
        <w:rFonts w:asciiTheme="majorHAnsi" w:hAnsiTheme="majorHAnsi"/>
        <w:b w:val="0"/>
        <w:color w:val="202322" w:themeColor="accent4"/>
        <w:sz w:val="16"/>
      </w:rPr>
    </w:tblStylePr>
    <w:tblStylePr w:type="band1Horz">
      <w:rPr>
        <w:rFonts w:asciiTheme="majorHAnsi" w:hAnsiTheme="majorHAnsi"/>
        <w:b w:val="0"/>
        <w:sz w:val="16"/>
      </w:rPr>
    </w:tblStylePr>
    <w:tblStylePr w:type="band2Horz">
      <w:rPr>
        <w:rFonts w:asciiTheme="majorHAnsi" w:hAnsiTheme="majorHAnsi"/>
        <w:b w:val="0"/>
        <w:color w:val="202322" w:themeColor="accent4"/>
        <w:sz w:val="16"/>
      </w:rPr>
      <w:tblPr/>
      <w:tcPr>
        <w:tcBorders>
          <w:top w:val="nil"/>
          <w:left w:val="nil"/>
          <w:bottom w:val="nil"/>
          <w:right w:val="nil"/>
          <w:insideH w:val="single" w:sz="4" w:space="0" w:color="B6ADA5" w:themeColor="background2"/>
          <w:insideV w:val="single" w:sz="4" w:space="0" w:color="B6ADA5" w:themeColor="background2"/>
          <w:tl2br w:val="nil"/>
          <w:tr2bl w:val="nil"/>
        </w:tcBorders>
      </w:tcPr>
    </w:tblStylePr>
    <w:tblStylePr w:type="nwCell">
      <w:rPr>
        <w:b w:val="0"/>
      </w:rPr>
    </w:tblStylePr>
  </w:style>
  <w:style w:type="table" w:styleId="TableGrid1">
    <w:name w:val="Table Grid 1"/>
    <w:basedOn w:val="TableNormal"/>
    <w:uiPriority w:val="99"/>
    <w:semiHidden/>
    <w:unhideWhenUsed/>
    <w:rsid w:val="00923430"/>
    <w:pPr>
      <w:keepLines/>
      <w:spacing w:after="120" w:line="280" w:lineRule="exact"/>
      <w:ind w:left="2948"/>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ListParagraph">
    <w:name w:val="List Paragraph"/>
    <w:basedOn w:val="Normal"/>
    <w:uiPriority w:val="34"/>
    <w:qFormat/>
    <w:rsid w:val="00F1747A"/>
    <w:pPr>
      <w:ind w:left="720"/>
      <w:contextualSpacing/>
    </w:pPr>
  </w:style>
  <w:style w:type="table" w:styleId="TableGrid3">
    <w:name w:val="Table Grid 3"/>
    <w:basedOn w:val="TableNormal"/>
    <w:uiPriority w:val="99"/>
    <w:semiHidden/>
    <w:unhideWhenUsed/>
    <w:rsid w:val="00B76B1F"/>
    <w:pPr>
      <w:keepLines/>
      <w:spacing w:after="120" w:line="280" w:lineRule="exact"/>
      <w:ind w:left="2948"/>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TitreTableau">
    <w:name w:val="Titre Tableau"/>
    <w:basedOn w:val="Normal"/>
    <w:link w:val="TitreTableauChar"/>
    <w:rsid w:val="004431BC"/>
    <w:pPr>
      <w:keepNext/>
      <w:suppressAutoHyphens/>
      <w:adjustRightInd w:val="0"/>
      <w:spacing w:before="40" w:after="80"/>
      <w:ind w:left="113" w:right="57"/>
    </w:pPr>
    <w:rPr>
      <w:b/>
      <w:color w:val="202322" w:themeColor="accent4"/>
    </w:rPr>
  </w:style>
  <w:style w:type="paragraph" w:customStyle="1" w:styleId="ContenuTableau">
    <w:name w:val="Contenu Tableau"/>
    <w:basedOn w:val="Normal"/>
    <w:link w:val="ContenuTableauChar"/>
    <w:rsid w:val="004431BC"/>
    <w:pPr>
      <w:keepNext/>
      <w:suppressAutoHyphens/>
      <w:adjustRightInd w:val="0"/>
      <w:spacing w:before="40" w:after="80"/>
      <w:ind w:left="113" w:right="57"/>
    </w:pPr>
    <w:rPr>
      <w:color w:val="202322" w:themeColor="accent4"/>
    </w:rPr>
  </w:style>
  <w:style w:type="character" w:customStyle="1" w:styleId="TitreTableauChar">
    <w:name w:val="Titre Tableau Char"/>
    <w:basedOn w:val="DefaultParagraphFont"/>
    <w:link w:val="TitreTableau"/>
    <w:rsid w:val="004431BC"/>
    <w:rPr>
      <w:rFonts w:ascii="Verdana" w:hAnsi="Verdana" w:cs="Times New Roman (Corps CS)"/>
      <w:b/>
      <w:color w:val="202322" w:themeColor="accent4"/>
      <w:sz w:val="18"/>
    </w:rPr>
  </w:style>
  <w:style w:type="character" w:customStyle="1" w:styleId="ContenuTableauChar">
    <w:name w:val="Contenu Tableau Char"/>
    <w:basedOn w:val="DefaultParagraphFont"/>
    <w:link w:val="ContenuTableau"/>
    <w:rsid w:val="004431BC"/>
    <w:rPr>
      <w:rFonts w:ascii="Verdana" w:hAnsi="Verdana" w:cs="Times New Roman (Corps CS)"/>
      <w:color w:val="202322" w:themeColor="accent4"/>
      <w:sz w:val="18"/>
    </w:rPr>
  </w:style>
  <w:style w:type="character" w:styleId="PlaceholderText">
    <w:name w:val="Placeholder Text"/>
    <w:basedOn w:val="DefaultParagraphFont"/>
    <w:uiPriority w:val="99"/>
    <w:semiHidden/>
    <w:rsid w:val="00405713"/>
    <w:rPr>
      <w:color w:val="808080"/>
    </w:rPr>
  </w:style>
  <w:style w:type="paragraph" w:customStyle="1" w:styleId="TitreCover">
    <w:name w:val="Titre Cover"/>
    <w:basedOn w:val="Normal"/>
    <w:qFormat/>
    <w:rsid w:val="00F1747A"/>
    <w:pPr>
      <w:spacing w:before="240" w:after="0" w:line="600" w:lineRule="exact"/>
      <w:jc w:val="left"/>
    </w:pPr>
    <w:rPr>
      <w:color w:val="FFFFFF"/>
      <w:sz w:val="48"/>
      <w:lang w:val="fr-FR"/>
    </w:rPr>
  </w:style>
  <w:style w:type="paragraph" w:customStyle="1" w:styleId="SubtitleCover">
    <w:name w:val="Subtitle Cover"/>
    <w:basedOn w:val="Normal"/>
    <w:rsid w:val="004431BC"/>
    <w:pPr>
      <w:spacing w:before="240" w:after="0"/>
      <w:jc w:val="left"/>
    </w:pPr>
    <w:rPr>
      <w:smallCaps/>
      <w:color w:val="FFFFFF"/>
      <w:w w:val="130"/>
      <w:sz w:val="28"/>
      <w:lang w:val="fr-FR"/>
    </w:rPr>
  </w:style>
  <w:style w:type="paragraph" w:customStyle="1" w:styleId="AdresseDos1">
    <w:name w:val="Adresse Dos 1"/>
    <w:basedOn w:val="Normal"/>
    <w:rsid w:val="004431BC"/>
    <w:pPr>
      <w:keepNext/>
      <w:spacing w:after="0" w:line="200" w:lineRule="exact"/>
    </w:pPr>
    <w:rPr>
      <w:rFonts w:eastAsiaTheme="majorEastAsia" w:cs="Times New Roman (Titres CS)"/>
      <w:b/>
      <w:noProof/>
      <w:color w:val="FFFFFF"/>
      <w:sz w:val="16"/>
      <w:szCs w:val="16"/>
      <w:lang w:val="fr-FR"/>
    </w:rPr>
  </w:style>
  <w:style w:type="paragraph" w:customStyle="1" w:styleId="Adressedos2">
    <w:name w:val="Adresse dos 2"/>
    <w:basedOn w:val="Normal"/>
    <w:next w:val="AdresseDos1"/>
    <w:rsid w:val="004431BC"/>
    <w:pPr>
      <w:widowControl w:val="0"/>
      <w:autoSpaceDE w:val="0"/>
      <w:autoSpaceDN w:val="0"/>
      <w:spacing w:before="40" w:after="40" w:line="200" w:lineRule="exact"/>
    </w:pPr>
    <w:rPr>
      <w:rFonts w:eastAsia="Verdana" w:cs="Verdana"/>
      <w:color w:val="FFFFFF"/>
      <w:sz w:val="16"/>
      <w:szCs w:val="16"/>
      <w:lang w:val="fr-FR" w:eastAsia="fr-FR" w:bidi="fr-FR"/>
    </w:rPr>
  </w:style>
  <w:style w:type="paragraph" w:styleId="Subtitle">
    <w:name w:val="Subtitle"/>
    <w:basedOn w:val="Normal"/>
    <w:next w:val="Normal"/>
    <w:link w:val="SubtitleChar"/>
    <w:uiPriority w:val="11"/>
    <w:qFormat/>
    <w:rsid w:val="00F1747A"/>
    <w:pPr>
      <w:numPr>
        <w:ilvl w:val="1"/>
      </w:numPr>
      <w:spacing w:after="160"/>
    </w:pPr>
    <w:rPr>
      <w:rFonts w:asciiTheme="minorHAnsi" w:eastAsiaTheme="minorEastAsia" w:hAnsiTheme="minorHAnsi" w:cstheme="minorBidi"/>
      <w:color w:val="B6ADA5" w:themeColor="background2"/>
      <w:spacing w:val="15"/>
      <w:sz w:val="22"/>
      <w:szCs w:val="22"/>
    </w:rPr>
  </w:style>
  <w:style w:type="character" w:customStyle="1" w:styleId="SubtitleChar">
    <w:name w:val="Subtitle Char"/>
    <w:basedOn w:val="DefaultParagraphFont"/>
    <w:link w:val="Subtitle"/>
    <w:uiPriority w:val="11"/>
    <w:rsid w:val="00F1747A"/>
    <w:rPr>
      <w:rFonts w:eastAsiaTheme="minorEastAsia"/>
      <w:color w:val="B6ADA5" w:themeColor="background2"/>
      <w:spacing w:val="15"/>
      <w:sz w:val="22"/>
      <w:szCs w:val="22"/>
    </w:rPr>
  </w:style>
  <w:style w:type="character" w:styleId="SubtleEmphasis">
    <w:name w:val="Subtle Emphasis"/>
    <w:basedOn w:val="DefaultParagraphFont"/>
    <w:uiPriority w:val="19"/>
    <w:qFormat/>
    <w:rsid w:val="00F1747A"/>
    <w:rPr>
      <w:i/>
      <w:iCs/>
      <w:color w:val="B6ADA5" w:themeColor="background2"/>
    </w:rPr>
  </w:style>
  <w:style w:type="paragraph" w:styleId="Quote">
    <w:name w:val="Quote"/>
    <w:basedOn w:val="Normal"/>
    <w:next w:val="Normal"/>
    <w:link w:val="QuoteChar"/>
    <w:uiPriority w:val="29"/>
    <w:qFormat/>
    <w:rsid w:val="00F1747A"/>
    <w:pPr>
      <w:spacing w:before="200" w:after="160"/>
      <w:ind w:left="864" w:right="864"/>
      <w:jc w:val="center"/>
    </w:pPr>
    <w:rPr>
      <w:i/>
      <w:iCs/>
      <w:color w:val="B6ADA5" w:themeColor="background2"/>
    </w:rPr>
  </w:style>
  <w:style w:type="character" w:customStyle="1" w:styleId="QuoteChar">
    <w:name w:val="Quote Char"/>
    <w:basedOn w:val="DefaultParagraphFont"/>
    <w:link w:val="Quote"/>
    <w:uiPriority w:val="29"/>
    <w:rsid w:val="00F1747A"/>
    <w:rPr>
      <w:rFonts w:ascii="Verdana" w:hAnsi="Verdana" w:cs="Times New Roman (Corps CS)"/>
      <w:i/>
      <w:iCs/>
      <w:color w:val="B6ADA5" w:themeColor="background2"/>
      <w:sz w:val="18"/>
    </w:rPr>
  </w:style>
  <w:style w:type="character" w:styleId="IntenseEmphasis">
    <w:name w:val="Intense Emphasis"/>
    <w:basedOn w:val="DefaultParagraphFont"/>
    <w:uiPriority w:val="21"/>
    <w:qFormat/>
    <w:rsid w:val="00F1747A"/>
    <w:rPr>
      <w:i/>
      <w:iCs/>
      <w:color w:val="B6ADA5" w:themeColor="background2"/>
    </w:rPr>
  </w:style>
  <w:style w:type="paragraph" w:styleId="IntenseQuote">
    <w:name w:val="Intense Quote"/>
    <w:basedOn w:val="Normal"/>
    <w:next w:val="Normal"/>
    <w:link w:val="IntenseQuoteChar"/>
    <w:uiPriority w:val="30"/>
    <w:qFormat/>
    <w:rsid w:val="00F1747A"/>
    <w:pPr>
      <w:pBdr>
        <w:top w:val="single" w:sz="4" w:space="10" w:color="C5B783" w:themeColor="accent1"/>
        <w:bottom w:val="single" w:sz="4" w:space="10" w:color="C5B783" w:themeColor="accent1"/>
      </w:pBdr>
      <w:spacing w:before="360" w:after="360"/>
      <w:ind w:left="864" w:right="864"/>
      <w:jc w:val="center"/>
    </w:pPr>
    <w:rPr>
      <w:i/>
      <w:iCs/>
      <w:color w:val="B6ADA5" w:themeColor="background2"/>
    </w:rPr>
  </w:style>
  <w:style w:type="character" w:customStyle="1" w:styleId="IntenseQuoteChar">
    <w:name w:val="Intense Quote Char"/>
    <w:basedOn w:val="DefaultParagraphFont"/>
    <w:link w:val="IntenseQuote"/>
    <w:uiPriority w:val="30"/>
    <w:rsid w:val="00F1747A"/>
    <w:rPr>
      <w:rFonts w:ascii="Verdana" w:hAnsi="Verdana" w:cs="Times New Roman (Corps CS)"/>
      <w:i/>
      <w:iCs/>
      <w:color w:val="B6ADA5" w:themeColor="background2"/>
      <w:sz w:val="18"/>
    </w:rPr>
  </w:style>
  <w:style w:type="character" w:styleId="IntenseReference">
    <w:name w:val="Intense Reference"/>
    <w:basedOn w:val="DefaultParagraphFont"/>
    <w:uiPriority w:val="32"/>
    <w:qFormat/>
    <w:rsid w:val="00F1747A"/>
    <w:rPr>
      <w:b/>
      <w:bCs/>
      <w:smallCaps/>
      <w:color w:val="B6ADA5" w:themeColor="background2"/>
      <w:spacing w:val="5"/>
    </w:rPr>
  </w:style>
  <w:style w:type="paragraph" w:customStyle="1" w:styleId="Tablecell">
    <w:name w:val="Table cell"/>
    <w:basedOn w:val="Normal"/>
    <w:link w:val="TablecellChar"/>
    <w:qFormat/>
    <w:rsid w:val="00F1747A"/>
    <w:pPr>
      <w:keepNext/>
      <w:suppressAutoHyphens/>
      <w:adjustRightInd w:val="0"/>
      <w:spacing w:before="80" w:after="80" w:line="240" w:lineRule="auto"/>
      <w:ind w:left="113"/>
      <w:jc w:val="left"/>
    </w:pPr>
    <w:rPr>
      <w:color w:val="202322" w:themeColor="accent4"/>
      <w:lang w:val="fr-LU"/>
    </w:rPr>
  </w:style>
  <w:style w:type="character" w:customStyle="1" w:styleId="TablecellChar">
    <w:name w:val="Table cell Char"/>
    <w:basedOn w:val="DefaultParagraphFont"/>
    <w:link w:val="Tablecell"/>
    <w:rsid w:val="00F1747A"/>
    <w:rPr>
      <w:rFonts w:ascii="Verdana" w:hAnsi="Verdana" w:cs="Times New Roman (Corps CS)"/>
      <w:color w:val="202322" w:themeColor="accent4"/>
      <w:sz w:val="18"/>
      <w:lang w:val="fr-LU"/>
    </w:rPr>
  </w:style>
  <w:style w:type="character" w:styleId="CommentReference">
    <w:name w:val="annotation reference"/>
    <w:basedOn w:val="DefaultParagraphFont"/>
    <w:uiPriority w:val="99"/>
    <w:semiHidden/>
    <w:unhideWhenUsed/>
    <w:rsid w:val="00F23EF9"/>
    <w:rPr>
      <w:sz w:val="16"/>
      <w:szCs w:val="16"/>
    </w:rPr>
  </w:style>
  <w:style w:type="paragraph" w:styleId="CommentText">
    <w:name w:val="annotation text"/>
    <w:basedOn w:val="Normal"/>
    <w:link w:val="CommentTextChar"/>
    <w:uiPriority w:val="99"/>
    <w:semiHidden/>
    <w:unhideWhenUsed/>
    <w:rsid w:val="00F23EF9"/>
    <w:pPr>
      <w:spacing w:line="240" w:lineRule="auto"/>
    </w:pPr>
    <w:rPr>
      <w:sz w:val="20"/>
      <w:szCs w:val="20"/>
    </w:rPr>
  </w:style>
  <w:style w:type="character" w:customStyle="1" w:styleId="CommentTextChar">
    <w:name w:val="Comment Text Char"/>
    <w:basedOn w:val="DefaultParagraphFont"/>
    <w:link w:val="CommentText"/>
    <w:uiPriority w:val="99"/>
    <w:semiHidden/>
    <w:rsid w:val="00F23EF9"/>
    <w:rPr>
      <w:rFonts w:ascii="Verdana" w:hAnsi="Verdana" w:cs="Times New Roman (Corps CS)"/>
      <w:sz w:val="20"/>
      <w:szCs w:val="20"/>
    </w:rPr>
  </w:style>
  <w:style w:type="paragraph" w:styleId="CommentSubject">
    <w:name w:val="annotation subject"/>
    <w:basedOn w:val="CommentText"/>
    <w:next w:val="CommentText"/>
    <w:link w:val="CommentSubjectChar"/>
    <w:uiPriority w:val="99"/>
    <w:semiHidden/>
    <w:unhideWhenUsed/>
    <w:rsid w:val="00F23EF9"/>
    <w:rPr>
      <w:b/>
      <w:bCs/>
    </w:rPr>
  </w:style>
  <w:style w:type="character" w:customStyle="1" w:styleId="CommentSubjectChar">
    <w:name w:val="Comment Subject Char"/>
    <w:basedOn w:val="CommentTextChar"/>
    <w:link w:val="CommentSubject"/>
    <w:uiPriority w:val="99"/>
    <w:semiHidden/>
    <w:rsid w:val="00F23EF9"/>
    <w:rPr>
      <w:rFonts w:ascii="Verdana" w:hAnsi="Verdana" w:cs="Times New Roman (Corps CS)"/>
      <w:b/>
      <w:bCs/>
      <w:sz w:val="20"/>
      <w:szCs w:val="20"/>
    </w:rPr>
  </w:style>
  <w:style w:type="paragraph" w:styleId="BalloonText">
    <w:name w:val="Balloon Text"/>
    <w:basedOn w:val="Normal"/>
    <w:link w:val="BalloonTextChar"/>
    <w:uiPriority w:val="99"/>
    <w:semiHidden/>
    <w:unhideWhenUsed/>
    <w:rsid w:val="00F23EF9"/>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23E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ssf.l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rection@cssf.l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sf.l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irection@cssf.l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CSSF\OfficeTemplates\Doc%20CSSF%20Portrait%20avec%20cover.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18490D5E284456D90B77F15639694DE"/>
        <w:category>
          <w:name w:val="General"/>
          <w:gallery w:val="placeholder"/>
        </w:category>
        <w:types>
          <w:type w:val="bbPlcHdr"/>
        </w:types>
        <w:behaviors>
          <w:behavior w:val="content"/>
        </w:behaviors>
        <w:guid w:val="{A408218F-ECFC-4A2C-B3BB-523F8FA29D54}"/>
      </w:docPartPr>
      <w:docPartBody>
        <w:p w:rsidR="00197239" w:rsidRDefault="00657940">
          <w:pPr>
            <w:pStyle w:val="C18490D5E284456D90B77F15639694DE"/>
          </w:pPr>
          <w:r w:rsidRPr="0095376D">
            <w:rPr>
              <w:rStyle w:val="PlaceholderText"/>
            </w:rPr>
            <w:t>[Title]</w:t>
          </w:r>
        </w:p>
      </w:docPartBody>
    </w:docPart>
    <w:docPart>
      <w:docPartPr>
        <w:name w:val="6CBBED86500C498C8D38D5D747CD5190"/>
        <w:category>
          <w:name w:val="General"/>
          <w:gallery w:val="placeholder"/>
        </w:category>
        <w:types>
          <w:type w:val="bbPlcHdr"/>
        </w:types>
        <w:behaviors>
          <w:behavior w:val="content"/>
        </w:behaviors>
        <w:guid w:val="{175764C6-9488-48C7-8064-A9A33202CF67}"/>
      </w:docPartPr>
      <w:docPartBody>
        <w:p w:rsidR="00197239" w:rsidRDefault="00657940">
          <w:pPr>
            <w:pStyle w:val="6CBBED86500C498C8D38D5D747CD5190"/>
          </w:pPr>
          <w:r w:rsidRPr="0095376D">
            <w:rPr>
              <w:rStyle w:val="PlaceholderText"/>
            </w:rPr>
            <w:t>[Title]</w:t>
          </w:r>
        </w:p>
      </w:docPartBody>
    </w:docPart>
    <w:docPart>
      <w:docPartPr>
        <w:name w:val="B424E88BF89246E9B13DA66371F70EFA"/>
        <w:category>
          <w:name w:val="General"/>
          <w:gallery w:val="placeholder"/>
        </w:category>
        <w:types>
          <w:type w:val="bbPlcHdr"/>
        </w:types>
        <w:behaviors>
          <w:behavior w:val="content"/>
        </w:behaviors>
        <w:guid w:val="{1E788C82-2BD9-4888-9E26-786686C91D19}"/>
      </w:docPartPr>
      <w:docPartBody>
        <w:p w:rsidR="00197239" w:rsidRDefault="00657940">
          <w:pPr>
            <w:pStyle w:val="B424E88BF89246E9B13DA66371F70EFA"/>
          </w:pPr>
          <w:r w:rsidRPr="0010268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New Roman (Corps CS)">
    <w:altName w:val="Times New Roman"/>
    <w:charset w:val="00"/>
    <w:family w:val="roman"/>
    <w:pitch w:val="default"/>
  </w:font>
  <w:font w:name="SimHei">
    <w:altName w:val="黑体"/>
    <w:panose1 w:val="02010600030101010101"/>
    <w:charset w:val="86"/>
    <w:family w:val="modern"/>
    <w:notTrueType/>
    <w:pitch w:val="fixed"/>
    <w:sig w:usb0="00000001" w:usb1="080E0000" w:usb2="00000010" w:usb3="00000000" w:csb0="00040000" w:csb1="00000000"/>
  </w:font>
  <w:font w:name="Times New Roman (Titres CS)">
    <w:altName w:val="Times New Roman"/>
    <w:charset w:val="00"/>
    <w:family w:val="roman"/>
    <w:pitch w:val="default"/>
  </w:font>
  <w:font w:name="MinionPro-Regular">
    <w:altName w:val="Calibri"/>
    <w:charset w:val="4D"/>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940"/>
    <w:rsid w:val="00197239"/>
    <w:rsid w:val="00460671"/>
    <w:rsid w:val="00657940"/>
    <w:rsid w:val="00890354"/>
    <w:rsid w:val="00971830"/>
    <w:rsid w:val="00D906AB"/>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LU" w:eastAsia="fr-L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18490D5E284456D90B77F15639694DE">
    <w:name w:val="C18490D5E284456D90B77F15639694DE"/>
  </w:style>
  <w:style w:type="paragraph" w:customStyle="1" w:styleId="6CBBED86500C498C8D38D5D747CD5190">
    <w:name w:val="6CBBED86500C498C8D38D5D747CD5190"/>
  </w:style>
  <w:style w:type="paragraph" w:customStyle="1" w:styleId="B424E88BF89246E9B13DA66371F70EFA">
    <w:name w:val="B424E88BF89246E9B13DA66371F70EFA"/>
  </w:style>
  <w:style w:type="paragraph" w:customStyle="1" w:styleId="4EE2A98994CC407784E20F850222103A">
    <w:name w:val="4EE2A98994CC407784E20F85022210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CSSF theme">
  <a:themeElements>
    <a:clrScheme name="CSSF">
      <a:dk1>
        <a:srgbClr val="007198"/>
      </a:dk1>
      <a:lt1>
        <a:srgbClr val="7FA9AE"/>
      </a:lt1>
      <a:dk2>
        <a:srgbClr val="115E67"/>
      </a:dk2>
      <a:lt2>
        <a:srgbClr val="B6ADA5"/>
      </a:lt2>
      <a:accent1>
        <a:srgbClr val="C5B783"/>
      </a:accent1>
      <a:accent2>
        <a:srgbClr val="D0D3D3"/>
      </a:accent2>
      <a:accent3>
        <a:srgbClr val="E8927C"/>
      </a:accent3>
      <a:accent4>
        <a:srgbClr val="202322"/>
      </a:accent4>
      <a:accent5>
        <a:srgbClr val="007198"/>
      </a:accent5>
      <a:accent6>
        <a:srgbClr val="115E67"/>
      </a:accent6>
      <a:hlink>
        <a:srgbClr val="7FA9AE"/>
      </a:hlink>
      <a:folHlink>
        <a:srgbClr val="E8927C"/>
      </a:folHlink>
    </a:clrScheme>
    <a:fontScheme name="Custom 1">
      <a:majorFont>
        <a:latin typeface="Verdana"/>
        <a:ea typeface=""/>
        <a:cs typeface=""/>
      </a:majorFont>
      <a:minorFont>
        <a:latin typeface="Verdana"/>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SSF theme" id="{1E526539-9767-4096-9F0C-D7985F29B43B}" vid="{91D6A7D8-C992-48C6-A442-3969F692705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D8183-AD36-4F7E-885D-B8CA089B9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CSSF Portrait avec cover.dotm</Template>
  <TotalTime>238</TotalTime>
  <Pages>19</Pages>
  <Words>5314</Words>
  <Characters>29233</Characters>
  <Application>Microsoft Office Word</Application>
  <DocSecurity>0</DocSecurity>
  <Lines>243</Lines>
  <Paragraphs>68</Paragraphs>
  <ScaleCrop>false</ScaleCrop>
  <HeadingPairs>
    <vt:vector size="6" baseType="variant">
      <vt:variant>
        <vt:lpstr>Title</vt:lpstr>
      </vt:variant>
      <vt:variant>
        <vt:i4>1</vt:i4>
      </vt:variant>
      <vt:variant>
        <vt:lpstr>Headings</vt:lpstr>
      </vt:variant>
      <vt:variant>
        <vt:i4>9</vt:i4>
      </vt:variant>
      <vt:variant>
        <vt:lpstr>Titre</vt:lpstr>
      </vt:variant>
      <vt:variant>
        <vt:i4>1</vt:i4>
      </vt:variant>
    </vt:vector>
  </HeadingPairs>
  <TitlesOfParts>
    <vt:vector size="11" baseType="lpstr">
      <vt:lpstr>Reporting instructions on interest rate risk in the banking book (IRRBB) reporting pursuant to circular CSSF 08/338 as amended</vt:lpstr>
      <vt:lpstr>General instructions</vt:lpstr>
      <vt:lpstr>    Legal background</vt:lpstr>
      <vt:lpstr>    Reference date</vt:lpstr>
      <vt:lpstr>    Data points and reporting units</vt:lpstr>
      <vt:lpstr>    Data and scope</vt:lpstr>
      <vt:lpstr>Specific instructions</vt:lpstr>
      <vt:lpstr>    “Identification” worksheet</vt:lpstr>
      <vt:lpstr>    “IRRBB measures – N version” and “IRRBB measures – C version” worksheets</vt:lpstr>
      <vt:lpstr>    “IRRBB outlier questions - N” and “IRRBB outlier questions - C” worksheets</vt:lpstr>
      <vt:lpstr/>
    </vt:vector>
  </TitlesOfParts>
  <Company/>
  <LinksUpToDate>false</LinksUpToDate>
  <CharactersWithSpaces>34479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instructions on interest rate risk in the banking book (IRRBB) pursuant to circular CSSF 08/338 as amended</dc:title>
  <dc:subject/>
  <dc:creator>AMC</dc:creator>
  <cp:keywords/>
  <dc:description/>
  <cp:lastModifiedBy>Anouk Kalmes</cp:lastModifiedBy>
  <cp:revision>10</cp:revision>
  <dcterms:created xsi:type="dcterms:W3CDTF">2020-12-03T15:36:00Z</dcterms:created>
  <dcterms:modified xsi:type="dcterms:W3CDTF">2020-12-11T15:20:00Z</dcterms:modified>
</cp:coreProperties>
</file>