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0A" w:rsidRPr="00564CB9" w:rsidRDefault="00EB77A8" w:rsidP="00577673">
      <w:pPr>
        <w:pStyle w:val="Title"/>
        <w:ind w:left="-284"/>
        <w:rPr>
          <w:lang w:val="fr-LU"/>
        </w:rPr>
      </w:pPr>
      <w:bookmarkStart w:id="0" w:name="_GoBack"/>
      <w:bookmarkEnd w:id="0"/>
      <w:r>
        <w:rPr>
          <w:lang w:val="fr-LU"/>
        </w:rPr>
        <w:t>EI « </w:t>
      </w:r>
      <w:r w:rsidR="00577673">
        <w:rPr>
          <w:lang w:val="fr-LU"/>
        </w:rPr>
        <w:t>RESPONSABLES DE CERTAINES FONCTIONS ET ACTIVITÉS</w:t>
      </w:r>
      <w:r>
        <w:rPr>
          <w:lang w:val="fr-LU"/>
        </w:rPr>
        <w:t> »</w:t>
      </w:r>
    </w:p>
    <w:p w:rsidR="003201A9" w:rsidRDefault="003201A9" w:rsidP="005A66EE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236"/>
        <w:gridCol w:w="304"/>
        <w:gridCol w:w="236"/>
        <w:gridCol w:w="304"/>
        <w:gridCol w:w="236"/>
        <w:gridCol w:w="3544"/>
      </w:tblGrid>
      <w:tr w:rsidR="000871F5" w:rsidRPr="004C49D3" w:rsidTr="001322B6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826C4C" w:rsidP="00DC548B">
            <w:pPr>
              <w:rPr>
                <w:rFonts w:ascii="Arial" w:hAnsi="Arial" w:cs="Arial"/>
                <w:sz w:val="20"/>
                <w:szCs w:val="16"/>
                <w:lang w:eastAsia="ja-JP"/>
              </w:rPr>
            </w:pPr>
            <w:r>
              <w:rPr>
                <w:rFonts w:ascii="Arial" w:hAnsi="Arial" w:cs="Arial"/>
                <w:sz w:val="20"/>
                <w:szCs w:val="16"/>
                <w:lang w:eastAsia="ja-JP"/>
              </w:rPr>
              <w:t xml:space="preserve">Entreprise </w:t>
            </w:r>
            <w:proofErr w:type="gramStart"/>
            <w:r>
              <w:rPr>
                <w:rFonts w:ascii="Arial" w:hAnsi="Arial" w:cs="Arial"/>
                <w:sz w:val="20"/>
                <w:szCs w:val="16"/>
                <w:lang w:eastAsia="ja-JP"/>
              </w:rPr>
              <w:t>d’investissement</w:t>
            </w:r>
            <w:r w:rsidR="008B5FEF">
              <w:rPr>
                <w:rFonts w:ascii="Arial" w:hAnsi="Arial" w:cs="Arial"/>
                <w:sz w:val="20"/>
                <w:szCs w:val="16"/>
                <w:lang w:eastAsia="ja-JP"/>
              </w:rPr>
              <w:t> </w:t>
            </w:r>
            <w:r w:rsidR="008B5FEF">
              <w:rPr>
                <w:rFonts w:ascii="Arial" w:hAnsi="Arial" w:cs="Arial"/>
                <w:sz w:val="20"/>
                <w:szCs w:val="16"/>
                <w:lang w:val="fr-FR" w:eastAsia="ja-JP"/>
              </w:rPr>
              <w:t>:</w:t>
            </w:r>
            <w:proofErr w:type="gramEnd"/>
            <w:r w:rsidR="000871F5" w:rsidRPr="000871F5">
              <w:rPr>
                <w:rFonts w:ascii="Arial" w:hAnsi="Arial" w:cs="Arial"/>
                <w:sz w:val="20"/>
                <w:szCs w:val="16"/>
                <w:lang w:eastAsia="ja-JP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0871F5" w:rsidRPr="004C49D3" w:rsidTr="001322B6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16"/>
                <w:lang w:val="en-US" w:eastAsia="ja-JP"/>
              </w:rPr>
            </w:pPr>
            <w:proofErr w:type="gramStart"/>
            <w:r w:rsidRPr="000871F5">
              <w:rPr>
                <w:rFonts w:ascii="Arial" w:hAnsi="Arial" w:cs="Arial"/>
                <w:sz w:val="20"/>
                <w:szCs w:val="16"/>
                <w:lang w:val="en-US" w:eastAsia="ja-JP"/>
              </w:rPr>
              <w:t>Date</w:t>
            </w:r>
            <w:r w:rsidR="00413281">
              <w:rPr>
                <w:rFonts w:ascii="Arial" w:hAnsi="Arial" w:cs="Arial"/>
                <w:sz w:val="20"/>
                <w:szCs w:val="16"/>
                <w:lang w:val="en-US" w:eastAsia="ja-JP"/>
              </w:rPr>
              <w:t> </w:t>
            </w:r>
            <w:r w:rsidR="00413281">
              <w:rPr>
                <w:rFonts w:ascii="Arial" w:hAnsi="Arial" w:cs="Arial"/>
                <w:sz w:val="20"/>
                <w:szCs w:val="16"/>
                <w:lang w:val="fr-FR" w:eastAsia="ja-JP"/>
              </w:rPr>
              <w:t>:</w:t>
            </w:r>
            <w:proofErr w:type="gramEnd"/>
            <w:r w:rsidRPr="000871F5">
              <w:rPr>
                <w:rFonts w:ascii="Arial" w:hAnsi="Arial" w:cs="Arial"/>
                <w:sz w:val="20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0871F5" w:rsidRPr="004C49D3" w:rsidTr="001322B6">
        <w:trPr>
          <w:trHeight w:val="36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C49D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0871F5" w:rsidRPr="00B040E6" w:rsidTr="001322B6">
        <w:trPr>
          <w:trHeight w:val="757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du traitement des réclamations de la clientèle</w:t>
            </w:r>
            <w:r w:rsid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635FA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826C4C" w:rsidRP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>Circulaire CSSF 17/671</w:t>
            </w:r>
            <w:r w:rsidR="00635FA5" w:rsidRP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(te</w:t>
            </w:r>
            <w:r w:rsid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>lle que modifiée) ;</w:t>
            </w:r>
            <w:r w:rsidR="00826C4C" w:rsidRP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2., page 3</w:t>
            </w:r>
            <w:r w:rsidRP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635FA5">
              <w:rPr>
                <w:rFonts w:ascii="Arial" w:hAnsi="Arial" w:cs="Arial"/>
                <w:sz w:val="20"/>
                <w:szCs w:val="20"/>
                <w:lang w:val="fr-LU" w:eastAsia="ja-JP"/>
              </w:rPr>
              <w:t> </w:t>
            </w:r>
          </w:p>
        </w:tc>
      </w:tr>
      <w:tr w:rsidR="000871F5" w:rsidRPr="00B040E6" w:rsidTr="001322B6">
        <w:trPr>
          <w:trHeight w:val="24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635FA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900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826C4C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Membre(s) de la direction autorisée en charge de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’</w:t>
            </w:r>
            <w:r w:rsidRP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application correcte de la politique définie par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’</w:t>
            </w:r>
            <w:r w:rsidRP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entreprise consolidante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  <w:r w:rsidR="000871F5"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br/>
            </w:r>
            <w:r w:rsidR="000871F5"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>Circulaire CSSF 00/22</w:t>
            </w:r>
            <w:r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II.A.4.1.e., paragraphe 5, page 15</w:t>
            </w:r>
            <w:r w:rsidR="000871F5"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 </w:t>
            </w:r>
          </w:p>
        </w:tc>
      </w:tr>
      <w:tr w:rsidR="000871F5" w:rsidRPr="00B040E6" w:rsidTr="001322B6">
        <w:trPr>
          <w:trHeight w:val="130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733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826C4C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de la coordination des flux 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’</w:t>
            </w:r>
            <w:r w:rsidRP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information avec les entreprises dans lesquelles une participation est détenue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826C4C"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>Circulaire CSSF 00/22</w:t>
            </w:r>
            <w:r w:rsid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826C4C"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II.A.4.1.e., paragraphe 6, page 15</w:t>
            </w:r>
            <w:r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 </w:t>
            </w:r>
          </w:p>
        </w:tc>
      </w:tr>
      <w:tr w:rsidR="000871F5" w:rsidRPr="00B040E6" w:rsidTr="001322B6">
        <w:trPr>
          <w:trHeight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600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de la domiciliation</w:t>
            </w:r>
            <w:r w:rsid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826C4C"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>Circulaire CSSF 01/29</w:t>
            </w:r>
            <w:r w:rsid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826C4C"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II, page 2</w:t>
            </w:r>
            <w:r w:rsidRPr="000871F5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118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Del="00266A52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600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des règles de conduite relatives au secteur financier</w:t>
            </w:r>
            <w:r w:rsidR="00826C4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826C4C" w:rsidDel="00266A52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>(Circulaire CSSF 07/307</w:t>
            </w:r>
            <w:r w:rsidR="00826C4C"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(telle que modifiée)</w:t>
            </w:r>
            <w:r w:rsid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Pr="00826C4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15)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25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826C4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754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Membre(s) de la direction autorisée en charge de l’organisation administrative, comptable et informatique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850712">
              <w:rPr>
                <w:rFonts w:ascii="Arial" w:hAnsi="Arial" w:cs="Arial"/>
                <w:sz w:val="20"/>
                <w:szCs w:val="20"/>
                <w:lang w:val="fr-LU" w:eastAsia="ja-JP"/>
              </w:rPr>
              <w:t>20/758</w:t>
            </w:r>
            <w:r w:rsid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6</w:t>
            </w:r>
            <w:r w:rsidR="00850712">
              <w:rPr>
                <w:rFonts w:ascii="Arial" w:hAnsi="Arial" w:cs="Arial"/>
                <w:sz w:val="20"/>
                <w:szCs w:val="20"/>
                <w:lang w:val="fr-LU" w:eastAsia="ja-JP"/>
              </w:rPr>
              <w:t>4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, paragraphe 1</w:t>
            </w: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14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690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lastRenderedPageBreak/>
              <w:t>Membre de la direction autorisée en charge de la fonction d’audit interne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850712">
              <w:rPr>
                <w:rFonts w:ascii="Arial" w:hAnsi="Arial" w:cs="Arial"/>
                <w:sz w:val="20"/>
                <w:szCs w:val="20"/>
                <w:lang w:val="fr-LU" w:eastAsia="ja-JP"/>
              </w:rPr>
              <w:t>20/758</w:t>
            </w:r>
            <w:r w:rsid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6</w:t>
            </w:r>
            <w:r w:rsidR="00850712">
              <w:rPr>
                <w:rFonts w:ascii="Arial" w:hAnsi="Arial" w:cs="Arial"/>
                <w:sz w:val="20"/>
                <w:szCs w:val="20"/>
                <w:lang w:val="fr-LU" w:eastAsia="ja-JP"/>
              </w:rPr>
              <w:t>4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, paragraphe 2</w:t>
            </w: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</w:t>
            </w:r>
          </w:p>
        </w:tc>
      </w:tr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ind w:left="-1368"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5642A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45642A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 xml:space="preserve">Chief Internal </w:t>
            </w:r>
            <w:proofErr w:type="gramStart"/>
            <w:r w:rsidRPr="0045642A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Auditor</w:t>
            </w:r>
            <w:r w:rsidR="00FF0CDC" w:rsidRPr="0045642A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:</w:t>
            </w:r>
            <w:bookmarkStart w:id="1" w:name="_Ref63325803"/>
            <w:proofErr w:type="gramEnd"/>
            <w:r w:rsidR="00BA69EA">
              <w:rPr>
                <w:rStyle w:val="FootnoteReference"/>
                <w:rFonts w:cs="Arial"/>
                <w:b/>
                <w:bCs/>
                <w:szCs w:val="20"/>
                <w:lang w:val="en-US" w:eastAsia="ja-JP"/>
              </w:rPr>
              <w:footnoteReference w:id="1"/>
            </w:r>
            <w:bookmarkEnd w:id="1"/>
          </w:p>
          <w:p w:rsidR="000871F5" w:rsidRPr="00202523" w:rsidRDefault="000871F5" w:rsidP="000871F5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(</w:t>
            </w:r>
            <w:r w:rsidR="00FF0CDC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Circulaire CSSF </w:t>
            </w:r>
            <w:r w:rsidR="00BC3DD2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20/</w:t>
            </w:r>
            <w:proofErr w:type="gramStart"/>
            <w:r w:rsidR="00BC3DD2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758</w:t>
            </w:r>
            <w:r w:rsidR="00861B44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 ;</w:t>
            </w:r>
            <w:proofErr w:type="gramEnd"/>
            <w:r w:rsidR="00FF0CDC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point</w:t>
            </w:r>
            <w:r w:rsidR="00861B44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FF0CDC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1</w:t>
            </w:r>
            <w:r w:rsidR="00850712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17</w:t>
            </w:r>
            <w:r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ind w:left="-1368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0871F5" w:rsidRPr="00FF0CDC" w:rsidTr="001322B6">
        <w:trPr>
          <w:trHeight w:val="94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F5" w:rsidRPr="00FF0CDC" w:rsidRDefault="00FF0CDC" w:rsidP="00DC548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LU" w:eastAsia="ja-JP"/>
              </w:rPr>
            </w:pPr>
            <w:proofErr w:type="gramStart"/>
            <w:r w:rsidRPr="00FF0CD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LU" w:eastAsia="ja-JP"/>
              </w:rPr>
              <w:t>ou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u w:val="single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u w:val="single"/>
                <w:lang w:val="fr-LU" w:eastAsia="ja-JP"/>
              </w:rPr>
            </w:pPr>
          </w:p>
        </w:tc>
      </w:tr>
      <w:tr w:rsidR="000871F5" w:rsidRPr="0052699A" w:rsidTr="001322B6">
        <w:trPr>
          <w:trHeight w:val="690"/>
        </w:trPr>
        <w:tc>
          <w:tcPr>
            <w:tcW w:w="5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Expert externe (sous-traitance</w:t>
            </w:r>
            <w:r w:rsidR="00BC3DD2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des tâches opérationnelles</w:t>
            </w: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de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</w:t>
            </w:r>
            <w:r w:rsidR="00BC3DD2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l’</w:t>
            </w: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audit interne)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BC3DD2">
              <w:rPr>
                <w:rFonts w:ascii="Arial" w:hAnsi="Arial" w:cs="Arial"/>
                <w:sz w:val="20"/>
                <w:szCs w:val="20"/>
                <w:lang w:val="fr-LU" w:eastAsia="ja-JP"/>
              </w:rPr>
              <w:t>20/758</w:t>
            </w:r>
            <w:r w:rsid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points 118 et 1</w:t>
            </w:r>
            <w:r w:rsidR="00833CD8">
              <w:rPr>
                <w:rFonts w:ascii="Arial" w:hAnsi="Arial" w:cs="Arial"/>
                <w:sz w:val="20"/>
                <w:szCs w:val="20"/>
                <w:lang w:val="fr-LU" w:eastAsia="ja-JP"/>
              </w:rPr>
              <w:t>22</w:t>
            </w: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</w:t>
            </w:r>
          </w:p>
        </w:tc>
      </w:tr>
      <w:tr w:rsidR="000871F5" w:rsidRPr="0052699A" w:rsidTr="001322B6">
        <w:trPr>
          <w:trHeight w:val="210"/>
        </w:trPr>
        <w:tc>
          <w:tcPr>
            <w:tcW w:w="59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600"/>
        </w:trPr>
        <w:tc>
          <w:tcPr>
            <w:tcW w:w="5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871F5" w:rsidRPr="004C49D3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4C49D3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de la fonction Compliance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833CD8">
              <w:rPr>
                <w:rFonts w:ascii="Arial" w:hAnsi="Arial" w:cs="Arial"/>
                <w:sz w:val="20"/>
                <w:szCs w:val="20"/>
                <w:lang w:val="fr-LU" w:eastAsia="ja-JP"/>
              </w:rPr>
              <w:t>20/758</w:t>
            </w:r>
            <w:r w:rsid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6</w:t>
            </w:r>
            <w:r w:rsidR="00833CD8">
              <w:rPr>
                <w:rFonts w:ascii="Arial" w:hAnsi="Arial" w:cs="Arial"/>
                <w:sz w:val="20"/>
                <w:szCs w:val="20"/>
                <w:lang w:val="fr-LU" w:eastAsia="ja-JP"/>
              </w:rPr>
              <w:t>4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, paragraphe 2</w:t>
            </w: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</w:t>
            </w:r>
          </w:p>
        </w:tc>
      </w:tr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ind w:left="-1368"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Chief Compliance Officer</w:t>
            </w:r>
            <w:r w:rsidR="00897587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fr-LU" w:eastAsia="ja-JP"/>
              </w:rPr>
              <w:fldChar w:fldCharType="begin"/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fr-LU" w:eastAsia="ja-JP"/>
              </w:rPr>
              <w:instrText xml:space="preserve"> NOTEREF _Ref63325803 \f \h  \* MERGEFORMAT </w:instrText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fr-LU" w:eastAsia="ja-JP"/>
              </w:rPr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fr-LU" w:eastAsia="ja-JP"/>
              </w:rPr>
              <w:fldChar w:fldCharType="separate"/>
            </w:r>
            <w:r w:rsidR="00CC71B2" w:rsidRPr="00CC71B2">
              <w:rPr>
                <w:rStyle w:val="FootnoteReference"/>
                <w:b/>
                <w:szCs w:val="16"/>
              </w:rPr>
              <w:t>1</w:t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fr-LU" w:eastAsia="ja-JP"/>
              </w:rPr>
              <w:fldChar w:fldCharType="end"/>
            </w:r>
          </w:p>
          <w:p w:rsidR="000871F5" w:rsidRPr="00FF0CDC" w:rsidRDefault="000871F5" w:rsidP="000871F5">
            <w:pP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833CD8">
              <w:rPr>
                <w:rFonts w:ascii="Arial" w:hAnsi="Arial" w:cs="Arial"/>
                <w:sz w:val="20"/>
                <w:szCs w:val="20"/>
                <w:lang w:val="fr-LU" w:eastAsia="ja-JP"/>
              </w:rPr>
              <w:t>20/758</w:t>
            </w:r>
            <w:r w:rsid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 ;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point 1</w:t>
            </w:r>
            <w:r w:rsidR="00833CD8">
              <w:rPr>
                <w:rFonts w:ascii="Arial" w:hAnsi="Arial" w:cs="Arial"/>
                <w:sz w:val="20"/>
                <w:szCs w:val="20"/>
                <w:lang w:val="fr-LU" w:eastAsia="ja-JP"/>
              </w:rPr>
              <w:t>17</w:t>
            </w: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ind w:left="-1368"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keepNext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keepNext/>
              <w:ind w:left="-1368"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keepNext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keepNext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keepNext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B01DF" w:rsidTr="001322B6">
        <w:trPr>
          <w:trHeight w:val="600"/>
        </w:trPr>
        <w:tc>
          <w:tcPr>
            <w:tcW w:w="5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871F5" w:rsidRPr="000871F5" w:rsidRDefault="000871F5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de la fonction de contrôle des risque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s :</w:t>
            </w:r>
          </w:p>
          <w:p w:rsidR="000871F5" w:rsidRPr="000871F5" w:rsidRDefault="00FF0CDC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(Circulaire CSSF </w:t>
            </w:r>
            <w:r w:rsidR="00833CD8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20/758</w:t>
            </w:r>
            <w:r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 ;</w:t>
            </w:r>
            <w:r w:rsidRPr="00FF0CD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point 6</w:t>
            </w:r>
            <w:r w:rsidR="00833CD8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4</w:t>
            </w:r>
            <w:r w:rsidRPr="00FF0CD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, paragraphe 2)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</w:tbl>
    <w:p w:rsidR="006C639F" w:rsidRPr="009C34D0" w:rsidRDefault="006C639F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236"/>
        <w:gridCol w:w="304"/>
        <w:gridCol w:w="236"/>
        <w:gridCol w:w="304"/>
        <w:gridCol w:w="236"/>
        <w:gridCol w:w="3544"/>
      </w:tblGrid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45642A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45642A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 xml:space="preserve">Chief Risk </w:t>
            </w:r>
            <w:proofErr w:type="gramStart"/>
            <w:r w:rsidRPr="0045642A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Officer</w:t>
            </w:r>
            <w:r w:rsidR="00FF0CDC" w:rsidRPr="0045642A"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  <w:t> :</w:t>
            </w:r>
            <w:proofErr w:type="gramEnd"/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en-US" w:eastAsia="ja-JP"/>
              </w:rPr>
              <w:fldChar w:fldCharType="begin"/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en-US" w:eastAsia="ja-JP"/>
              </w:rPr>
              <w:instrText xml:space="preserve"> NOTEREF _Ref63325803 \f \h  \* MERGEFORMAT </w:instrText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en-US" w:eastAsia="ja-JP"/>
              </w:rPr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en-US" w:eastAsia="ja-JP"/>
              </w:rPr>
              <w:fldChar w:fldCharType="separate"/>
            </w:r>
            <w:r w:rsidR="00CC71B2" w:rsidRPr="00CC71B2">
              <w:rPr>
                <w:rStyle w:val="FootnoteReference"/>
                <w:b/>
                <w:szCs w:val="16"/>
              </w:rPr>
              <w:t>1</w:t>
            </w:r>
            <w:r w:rsidR="00460E34" w:rsidRPr="00460E34">
              <w:rPr>
                <w:rFonts w:cs="Arial"/>
                <w:b/>
                <w:bCs/>
                <w:sz w:val="16"/>
                <w:szCs w:val="16"/>
                <w:vertAlign w:val="superscript"/>
                <w:lang w:val="en-US" w:eastAsia="ja-JP"/>
              </w:rPr>
              <w:fldChar w:fldCharType="end"/>
            </w:r>
          </w:p>
          <w:p w:rsidR="000871F5" w:rsidRPr="00202523" w:rsidRDefault="000871F5" w:rsidP="000871F5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(</w:t>
            </w:r>
            <w:r w:rsidR="00FF0CDC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Circulaire CSSF </w:t>
            </w:r>
            <w:r w:rsidR="00833CD8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20/</w:t>
            </w:r>
            <w:proofErr w:type="gramStart"/>
            <w:r w:rsidR="00833CD8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758</w:t>
            </w:r>
            <w:r w:rsidR="00FF0CDC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 ;</w:t>
            </w:r>
            <w:proofErr w:type="gramEnd"/>
            <w:r w:rsidR="00FF0CDC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point 1</w:t>
            </w:r>
            <w:r w:rsidR="00833CD8"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17</w:t>
            </w:r>
            <w:r w:rsidRPr="00202523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ind w:left="-1368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0871F5" w:rsidRPr="0052699A" w:rsidTr="001322B6">
        <w:trPr>
          <w:trHeight w:val="12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ind w:left="-1368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871F5" w:rsidRPr="00202523" w:rsidRDefault="000871F5" w:rsidP="00DC548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0871F5" w:rsidRPr="00B040E6" w:rsidTr="001322B6">
        <w:trPr>
          <w:trHeight w:val="516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D030D2" w:rsidRDefault="00D030D2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lastRenderedPageBreak/>
              <w:t>Responsable de la fonction TIC (ou « </w:t>
            </w:r>
            <w:r w:rsidR="000871F5" w:rsidRPr="00D030D2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IT Officer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»)</w:t>
            </w:r>
            <w:r w:rsidR="00FF0CDC" w:rsidRPr="00D030D2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FF0CDC" w:rsidRDefault="000871F5" w:rsidP="00960E31">
            <w:pPr>
              <w:keepNext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D030D2">
              <w:rPr>
                <w:rFonts w:ascii="Arial" w:hAnsi="Arial" w:cs="Arial"/>
                <w:sz w:val="20"/>
                <w:szCs w:val="20"/>
                <w:lang w:val="fr-LU" w:eastAsia="ja-JP"/>
              </w:rPr>
              <w:t>20/750</w:t>
            </w:r>
            <w:r w:rsidR="00960E31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 ; </w:t>
            </w:r>
            <w:r w:rsidR="00960E31" w:rsidRPr="00960E31">
              <w:rPr>
                <w:rFonts w:ascii="Arial" w:hAnsi="Arial" w:cs="Arial"/>
                <w:sz w:val="20"/>
                <w:szCs w:val="20"/>
                <w:lang w:val="fr-LU" w:eastAsia="ja-JP"/>
              </w:rPr>
              <w:t>Orientations sur les TIC et la gestion des</w:t>
            </w:r>
            <w:r w:rsidR="00960E31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</w:t>
            </w:r>
            <w:r w:rsidR="00960E31" w:rsidRPr="00960E31">
              <w:rPr>
                <w:rFonts w:ascii="Arial" w:hAnsi="Arial" w:cs="Arial"/>
                <w:sz w:val="20"/>
                <w:szCs w:val="20"/>
                <w:lang w:val="fr-LU" w:eastAsia="ja-JP"/>
              </w:rPr>
              <w:t>risques de sécurité</w:t>
            </w:r>
            <w:r w:rsidR="00960E31">
              <w:rPr>
                <w:rFonts w:ascii="Arial" w:hAnsi="Arial" w:cs="Arial"/>
                <w:sz w:val="20"/>
                <w:szCs w:val="20"/>
                <w:lang w:val="fr-LU" w:eastAsia="ja-JP"/>
              </w:rPr>
              <w:t> ; point 2</w:t>
            </w:r>
            <w:r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1322B6">
        <w:trPr>
          <w:trHeight w:val="177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1F5" w:rsidRPr="00FF0CDC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tr w:rsidR="000871F5" w:rsidRPr="00B040E6" w:rsidTr="00FF0CDC">
        <w:trPr>
          <w:trHeight w:val="516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F5" w:rsidRPr="000871F5" w:rsidRDefault="0004169A" w:rsidP="0004169A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4169A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Fonction(s) de contrôle des risques liés aux TIC et à 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s</w:t>
            </w:r>
            <w:r w:rsidRPr="0004169A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écurité</w:t>
            </w:r>
            <w:r w:rsidR="00BA69EA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(ou « </w:t>
            </w:r>
            <w:r w:rsidR="00FF0CDC" w:rsidRP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Information Security Officer</w:t>
            </w:r>
            <w:r w:rsidR="00BA69EA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»)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C52BE8" w:rsidRDefault="000871F5" w:rsidP="00AD63C1">
            <w:pPr>
              <w:keepNext/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  <w:r w:rsidRPr="00C52BE8">
              <w:rPr>
                <w:rFonts w:ascii="Arial" w:hAnsi="Arial" w:cs="Arial"/>
                <w:sz w:val="20"/>
                <w:szCs w:val="20"/>
                <w:lang w:val="fr-LU" w:eastAsia="ja-JP"/>
              </w:rPr>
              <w:t>(</w:t>
            </w:r>
            <w:r w:rsidR="00FF0CDC" w:rsidRPr="00FF0CDC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Circulaire CSSF </w:t>
            </w:r>
            <w:r w:rsidR="0004169A">
              <w:rPr>
                <w:rFonts w:ascii="Arial" w:hAnsi="Arial" w:cs="Arial"/>
                <w:sz w:val="20"/>
                <w:szCs w:val="20"/>
                <w:lang w:val="fr-LU" w:eastAsia="ja-JP"/>
              </w:rPr>
              <w:t>20/750</w:t>
            </w:r>
            <w:r w:rsidR="00AD63C1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 ; </w:t>
            </w:r>
            <w:r w:rsidR="00AD63C1" w:rsidRPr="00AD63C1">
              <w:rPr>
                <w:rFonts w:ascii="Arial" w:hAnsi="Arial" w:cs="Arial"/>
                <w:sz w:val="20"/>
                <w:szCs w:val="20"/>
                <w:lang w:val="fr-LU" w:eastAsia="ja-JP"/>
              </w:rPr>
              <w:t>Orientations sur les TIC et la gestion des</w:t>
            </w:r>
            <w:r w:rsidR="00AD63C1">
              <w:rPr>
                <w:rFonts w:ascii="Arial" w:hAnsi="Arial" w:cs="Arial"/>
                <w:sz w:val="20"/>
                <w:szCs w:val="20"/>
                <w:lang w:val="fr-LU" w:eastAsia="ja-JP"/>
              </w:rPr>
              <w:t xml:space="preserve"> </w:t>
            </w:r>
            <w:r w:rsidR="00AD63C1" w:rsidRPr="00AD63C1">
              <w:rPr>
                <w:rFonts w:ascii="Arial" w:hAnsi="Arial" w:cs="Arial"/>
                <w:sz w:val="20"/>
                <w:szCs w:val="20"/>
                <w:lang w:val="fr-LU" w:eastAsia="ja-JP"/>
              </w:rPr>
              <w:t>risques de sécurité</w:t>
            </w:r>
            <w:r w:rsidR="00AD63C1">
              <w:rPr>
                <w:rFonts w:ascii="Arial" w:hAnsi="Arial" w:cs="Arial"/>
                <w:sz w:val="20"/>
                <w:szCs w:val="20"/>
                <w:lang w:val="fr-LU" w:eastAsia="ja-JP"/>
              </w:rPr>
              <w:t> ; point 11</w:t>
            </w:r>
            <w:r w:rsidRPr="00C52BE8">
              <w:rPr>
                <w:rFonts w:ascii="Arial" w:hAnsi="Arial" w:cs="Arial"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C52BE8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C52BE8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</w:tbl>
    <w:p w:rsidR="000871F5" w:rsidRPr="00202523" w:rsidRDefault="000871F5" w:rsidP="000871F5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87"/>
        <w:gridCol w:w="304"/>
        <w:gridCol w:w="3544"/>
      </w:tblGrid>
      <w:tr w:rsidR="000871F5" w:rsidRPr="00B040E6" w:rsidTr="00DC548B">
        <w:trPr>
          <w:trHeight w:val="937"/>
        </w:trPr>
        <w:tc>
          <w:tcPr>
            <w:tcW w:w="5887" w:type="dxa"/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Responsable des questions relatives à la protection des avoirs des clients</w:t>
            </w:r>
            <w:r w:rsidR="00FF0CD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0871F5" w:rsidRDefault="000871F5" w:rsidP="00DC548B">
            <w:pPr>
              <w:keepNext/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(Règlement grand-ducal du 30 mai 2018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 ;</w:t>
            </w:r>
            <w:r w:rsidRPr="000871F5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article 6)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</w:tbl>
    <w:p w:rsidR="000871F5" w:rsidRPr="000871F5" w:rsidRDefault="000871F5" w:rsidP="000871F5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87"/>
        <w:gridCol w:w="304"/>
        <w:gridCol w:w="3544"/>
      </w:tblGrid>
      <w:tr w:rsidR="000871F5" w:rsidRPr="00B040E6" w:rsidTr="00DC548B">
        <w:trPr>
          <w:trHeight w:val="937"/>
        </w:trPr>
        <w:tc>
          <w:tcPr>
            <w:tcW w:w="5887" w:type="dxa"/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bookmarkStart w:id="2" w:name="_Hlk61893790"/>
            <w:r w:rsidRPr="000871F5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du suivi de la mise en œuvre des dispositions des orientations de l’Autorité européenne des marchés financiers (« ESMA ») relatives à l’évaluation des connaissances et des compétences et de la circulaire CSSF 17/665</w:t>
            </w:r>
            <w:r w:rsidR="0080012E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0871F5" w:rsidRPr="000871F5" w:rsidRDefault="000871F5" w:rsidP="00DC548B">
            <w:pPr>
              <w:keepNext/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</w:pPr>
            <w:r w:rsidRPr="000871F5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(Circulaire CSSF 17/665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 ;</w:t>
            </w:r>
            <w:r w:rsidRPr="000871F5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point 3.a) 5</w:t>
            </w:r>
            <w:r w:rsidRPr="000871F5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LU" w:eastAsia="ja-JP"/>
              </w:rPr>
              <w:t>ième</w:t>
            </w:r>
            <w:r w:rsidRPr="000871F5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paragraphe)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1F5" w:rsidRPr="000871F5" w:rsidRDefault="000871F5" w:rsidP="00DC548B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bookmarkEnd w:id="2"/>
    </w:tbl>
    <w:p w:rsidR="000871F5" w:rsidRPr="005528C3" w:rsidRDefault="000871F5" w:rsidP="000871F5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87"/>
        <w:gridCol w:w="304"/>
        <w:gridCol w:w="3544"/>
      </w:tblGrid>
      <w:tr w:rsidR="000A44CC" w:rsidRPr="00B040E6" w:rsidTr="005F4678">
        <w:trPr>
          <w:trHeight w:val="937"/>
        </w:trPr>
        <w:tc>
          <w:tcPr>
            <w:tcW w:w="5887" w:type="dxa"/>
            <w:shd w:val="clear" w:color="auto" w:fill="auto"/>
            <w:noWrap/>
            <w:vAlign w:val="bottom"/>
          </w:tcPr>
          <w:p w:rsidR="000A44CC" w:rsidRPr="000A44CC" w:rsidRDefault="000A44CC" w:rsidP="000A44C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bookmarkStart w:id="3" w:name="_Hlk61894168"/>
            <w:r w:rsidRPr="000A44C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Membre de la direction autorisée en charge du respect des obligations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</w:t>
            </w:r>
            <w:r w:rsidRPr="000A44C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professionnelles en matière de LBC/FT :</w:t>
            </w:r>
          </w:p>
          <w:p w:rsidR="000A44CC" w:rsidRPr="000A44CC" w:rsidRDefault="000A44CC" w:rsidP="000A44CC">
            <w:pPr>
              <w:keepNext/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</w:pP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(Règlement CSSF N° 12-02 du 14 </w:t>
            </w:r>
            <w:r w:rsidR="002F5C49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d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écembre 2012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</w:t>
            </w:r>
            <w:r w:rsidR="00BA69EA" w:rsidRP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(tel que modifié)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 ;</w:t>
            </w:r>
            <w:r w:rsidR="00BA69EA" w:rsidRP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article 1, paragraphe 1 et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article 40, paragraphe</w:t>
            </w:r>
            <w:r w:rsidR="00BB01DF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s 1 et 2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CC" w:rsidRPr="000A44CC" w:rsidRDefault="000A44CC" w:rsidP="000A44CC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4CC" w:rsidRPr="008968FB" w:rsidRDefault="000A44CC" w:rsidP="000A44CC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bookmarkEnd w:id="3"/>
    </w:tbl>
    <w:p w:rsidR="000F3821" w:rsidRDefault="000F3821" w:rsidP="005A66EE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87"/>
        <w:gridCol w:w="304"/>
        <w:gridCol w:w="3544"/>
      </w:tblGrid>
      <w:tr w:rsidR="000A44CC" w:rsidRPr="00B040E6" w:rsidTr="005F4678">
        <w:trPr>
          <w:trHeight w:val="937"/>
        </w:trPr>
        <w:tc>
          <w:tcPr>
            <w:tcW w:w="5887" w:type="dxa"/>
            <w:shd w:val="clear" w:color="auto" w:fill="auto"/>
            <w:noWrap/>
            <w:vAlign w:val="bottom"/>
          </w:tcPr>
          <w:p w:rsidR="000A44CC" w:rsidRPr="000A44CC" w:rsidRDefault="000A44CC" w:rsidP="000A44C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bookmarkStart w:id="4" w:name="_Hlk61894481"/>
            <w:r w:rsidRPr="000A44C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lastRenderedPageBreak/>
              <w:t>Responsable du contrôle du respect des obligations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</w:t>
            </w:r>
            <w:r w:rsidRPr="000A44C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professionnelles en matière de LBC/FT :</w:t>
            </w:r>
            <w:r w:rsidR="00BA69EA">
              <w:rPr>
                <w:rStyle w:val="FootnoteReference"/>
                <w:rFonts w:cs="Arial"/>
                <w:b/>
                <w:bCs/>
                <w:szCs w:val="20"/>
                <w:lang w:val="fr-LU" w:eastAsia="ja-JP"/>
              </w:rPr>
              <w:footnoteReference w:id="2"/>
            </w:r>
          </w:p>
          <w:p w:rsidR="000A44CC" w:rsidRPr="000A44CC" w:rsidRDefault="000A44CC" w:rsidP="005F4678">
            <w:pPr>
              <w:keepNext/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</w:pP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(Règlement CSSF N° 12-02 du 14 </w:t>
            </w:r>
            <w:r w:rsidR="002F5C49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d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écembre 2012 </w:t>
            </w:r>
            <w:r w:rsidR="00BA69EA" w:rsidRP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(tel que modifié)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 ;</w:t>
            </w:r>
            <w:r w:rsidR="00BA69EA" w:rsidRP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article 1, paragraphe 1 et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article 40, paragraphe</w:t>
            </w:r>
            <w:r w:rsidR="00BB01DF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s 1 et 2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CC" w:rsidRPr="005F4678" w:rsidRDefault="000A44CC" w:rsidP="005F4678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4CC" w:rsidRPr="005F4678" w:rsidRDefault="000A44CC" w:rsidP="005F4678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  <w:bookmarkEnd w:id="4"/>
    </w:tbl>
    <w:p w:rsidR="000A44CC" w:rsidRDefault="000A44CC" w:rsidP="005A66EE">
      <w:pPr>
        <w:rPr>
          <w:lang w:val="fr-L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87"/>
        <w:gridCol w:w="304"/>
        <w:gridCol w:w="3544"/>
      </w:tblGrid>
      <w:tr w:rsidR="008968FB" w:rsidRPr="005F4678" w:rsidTr="005F4678">
        <w:trPr>
          <w:trHeight w:val="937"/>
        </w:trPr>
        <w:tc>
          <w:tcPr>
            <w:tcW w:w="5887" w:type="dxa"/>
            <w:shd w:val="clear" w:color="auto" w:fill="auto"/>
            <w:noWrap/>
            <w:vAlign w:val="bottom"/>
          </w:tcPr>
          <w:p w:rsidR="008968FB" w:rsidRPr="000A44CC" w:rsidRDefault="008968FB" w:rsidP="008968FB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</w:pPr>
            <w:r w:rsidRPr="008968FB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Chief Financial Officer auprès des établissements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 xml:space="preserve"> </w:t>
            </w:r>
            <w:r w:rsidRPr="008968FB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d’importance significative</w:t>
            </w:r>
            <w:r w:rsidRPr="000A44CC">
              <w:rPr>
                <w:rFonts w:ascii="Arial" w:hAnsi="Arial" w:cs="Arial"/>
                <w:b/>
                <w:bCs/>
                <w:sz w:val="20"/>
                <w:szCs w:val="20"/>
                <w:lang w:val="fr-LU" w:eastAsia="ja-JP"/>
              </w:rPr>
              <w:t> :</w:t>
            </w:r>
          </w:p>
          <w:p w:rsidR="008968FB" w:rsidRPr="000A44CC" w:rsidRDefault="008968FB" w:rsidP="005F4678">
            <w:pPr>
              <w:keepNext/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</w:pP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(</w:t>
            </w:r>
            <w:r w:rsidRPr="008968FB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Circulaire CSSF </w:t>
            </w:r>
            <w:r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20/758</w:t>
            </w:r>
            <w:r w:rsidR="00BA69EA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 ;</w:t>
            </w:r>
            <w:r w:rsidRPr="008968FB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 xml:space="preserve"> point </w:t>
            </w:r>
            <w:r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81</w:t>
            </w:r>
            <w:r w:rsidRPr="000A44CC">
              <w:rPr>
                <w:rFonts w:ascii="Arial" w:hAnsi="Arial" w:cs="Arial"/>
                <w:bCs/>
                <w:sz w:val="20"/>
                <w:szCs w:val="20"/>
                <w:lang w:val="fr-LU" w:eastAsia="ja-JP"/>
              </w:rPr>
              <w:t>)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FB" w:rsidRPr="005F4678" w:rsidRDefault="008968FB" w:rsidP="005F4678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FB" w:rsidRPr="005F4678" w:rsidRDefault="008968FB" w:rsidP="005F4678">
            <w:pPr>
              <w:rPr>
                <w:rFonts w:ascii="Arial" w:hAnsi="Arial" w:cs="Arial"/>
                <w:sz w:val="20"/>
                <w:szCs w:val="20"/>
                <w:lang w:val="fr-LU" w:eastAsia="ja-JP"/>
              </w:rPr>
            </w:pPr>
          </w:p>
        </w:tc>
      </w:tr>
    </w:tbl>
    <w:p w:rsidR="000A44CC" w:rsidRDefault="000A44CC" w:rsidP="005A66EE">
      <w:pPr>
        <w:rPr>
          <w:lang w:val="fr-LU"/>
        </w:rPr>
      </w:pPr>
    </w:p>
    <w:sectPr w:rsidR="000A44CC" w:rsidSect="006F07C4">
      <w:headerReference w:type="default" r:id="rId8"/>
      <w:footerReference w:type="even" r:id="rId9"/>
      <w:footerReference w:type="default" r:id="rId10"/>
      <w:footnotePr>
        <w:pos w:val="beneathText"/>
      </w:footnotePr>
      <w:type w:val="continuous"/>
      <w:pgSz w:w="11906" w:h="16838"/>
      <w:pgMar w:top="2835" w:right="595" w:bottom="1418" w:left="993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06" w:rsidRDefault="00BD0506" w:rsidP="00D80DD3">
      <w:pPr>
        <w:spacing w:after="0" w:line="240" w:lineRule="auto"/>
      </w:pPr>
      <w:r>
        <w:separator/>
      </w:r>
    </w:p>
    <w:p w:rsidR="00BD0506" w:rsidRDefault="00BD0506"/>
    <w:p w:rsidR="00BD0506" w:rsidRDefault="00BD0506"/>
    <w:p w:rsidR="00BD0506" w:rsidRDefault="00BD0506"/>
  </w:endnote>
  <w:endnote w:type="continuationSeparator" w:id="0">
    <w:p w:rsidR="00BD0506" w:rsidRDefault="00BD0506" w:rsidP="00D80DD3">
      <w:pPr>
        <w:spacing w:after="0" w:line="240" w:lineRule="auto"/>
      </w:pPr>
      <w:r>
        <w:continuationSeparator/>
      </w:r>
    </w:p>
    <w:p w:rsidR="00BD0506" w:rsidRDefault="00BD0506"/>
    <w:p w:rsidR="00BD0506" w:rsidRDefault="00BD0506"/>
    <w:p w:rsidR="00BD0506" w:rsidRDefault="00BD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0DD3" w:rsidRDefault="00D80DD3" w:rsidP="008C398F">
    <w:pPr>
      <w:pStyle w:val="Footer"/>
      <w:ind w:right="360"/>
    </w:pPr>
  </w:p>
  <w:p w:rsidR="000156E5" w:rsidRDefault="000156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83" w:rsidRPr="00564CB9" w:rsidRDefault="00577673" w:rsidP="00564CB9">
    <w:pPr>
      <w:pStyle w:val="Footer"/>
      <w:rPr>
        <w:lang w:val="fr-LU"/>
      </w:rPr>
    </w:pPr>
    <w:r>
      <w:rPr>
        <w:lang w:val="fr-LU"/>
      </w:rPr>
      <w:t>RESPONSABLES DE CERTAINES FONCTIONS ET ACTIVITÉS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37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7B75" w:rsidRPr="00564CB9" w:rsidRDefault="00207B75" w:rsidP="006A4358">
    <w:pPr>
      <w:pStyle w:val="Footer"/>
      <w:rPr>
        <w:lang w:val="fr-LU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1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:rsidR="00813C84" w:rsidRPr="007328FC" w:rsidRDefault="00813C84" w:rsidP="006A4358">
    <w:pPr>
      <w:pStyle w:val="Footer2"/>
      <w:rPr>
        <w:lang w:val="fr-LU"/>
      </w:rPr>
    </w:pPr>
  </w:p>
  <w:p w:rsidR="00D80DD3" w:rsidRPr="007328FC" w:rsidRDefault="00813C84" w:rsidP="00F869F3">
    <w:pPr>
      <w:pStyle w:val="Footer2"/>
      <w:rPr>
        <w:lang w:val="fr-LU"/>
      </w:rPr>
    </w:pPr>
    <w:r w:rsidRPr="007328FC">
      <w:rPr>
        <w:lang w:val="fr-LU"/>
      </w:rPr>
      <w:t>Version</w:t>
    </w:r>
    <w:r w:rsidR="00826C4C">
      <w:rPr>
        <w:lang w:val="fr-LU"/>
      </w:rPr>
      <w:t> :</w:t>
    </w:r>
    <w:r w:rsidRPr="007328FC">
      <w:rPr>
        <w:lang w:val="fr-LU"/>
      </w:rPr>
      <w:t xml:space="preserve"> </w:t>
    </w:r>
    <w:r w:rsidR="00B040E6">
      <w:rPr>
        <w:lang w:val="fr-LU"/>
      </w:rPr>
      <w:t>Janvier</w:t>
    </w:r>
    <w:r w:rsidR="005601E7">
      <w:rPr>
        <w:lang w:val="fr-LU"/>
      </w:rPr>
      <w:t xml:space="preserve"> 20</w:t>
    </w:r>
    <w:r w:rsidR="000871F5">
      <w:rPr>
        <w:lang w:val="fr-LU"/>
      </w:rPr>
      <w:t>2</w:t>
    </w:r>
    <w:r w:rsidR="000F6A00">
      <w:rPr>
        <w:lang w:val="fr-LU"/>
      </w:rPr>
      <w:t>1</w:t>
    </w:r>
    <w:r w:rsidR="008C398F" w:rsidRPr="007328FC">
      <w:rPr>
        <w:lang w:val="fr-LU"/>
      </w:rPr>
      <w:tab/>
    </w:r>
  </w:p>
  <w:p w:rsidR="000156E5" w:rsidRDefault="000156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06" w:rsidRDefault="00BD0506" w:rsidP="00D80DD3">
      <w:pPr>
        <w:spacing w:after="0" w:line="240" w:lineRule="auto"/>
      </w:pPr>
    </w:p>
    <w:p w:rsidR="00BD0506" w:rsidRDefault="00BD0506"/>
    <w:p w:rsidR="00BD0506" w:rsidRDefault="00BD0506"/>
    <w:p w:rsidR="00BD0506" w:rsidRDefault="00BD0506"/>
  </w:footnote>
  <w:footnote w:type="continuationSeparator" w:id="0">
    <w:p w:rsidR="00BD0506" w:rsidRDefault="00BD0506" w:rsidP="00D80DD3">
      <w:pPr>
        <w:spacing w:after="0" w:line="240" w:lineRule="auto"/>
      </w:pPr>
      <w:r>
        <w:continuationSeparator/>
      </w:r>
    </w:p>
    <w:p w:rsidR="00BD0506" w:rsidRDefault="00BD0506"/>
    <w:p w:rsidR="00BD0506" w:rsidRDefault="00BD0506"/>
    <w:p w:rsidR="00BD0506" w:rsidRDefault="00BD0506"/>
  </w:footnote>
  <w:footnote w:id="1">
    <w:p w:rsidR="00BA69EA" w:rsidRPr="00BA69EA" w:rsidRDefault="00BA69EA" w:rsidP="00BA69EA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BA69EA">
        <w:rPr>
          <w:lang w:val="fr-LU"/>
        </w:rPr>
        <w:t xml:space="preserve">  Les succursales d’Etats membres de l’UE ne doivent pas nécessairement avoir de responsables de fonctions de contrôle interne locales (Chief Risk Officer</w:t>
      </w:r>
      <w:r>
        <w:rPr>
          <w:lang w:val="fr-LU"/>
        </w:rPr>
        <w:t>,</w:t>
      </w:r>
      <w:r w:rsidRPr="00BA69EA">
        <w:rPr>
          <w:lang w:val="fr-LU"/>
        </w:rPr>
        <w:t xml:space="preserve"> Chief</w:t>
      </w:r>
      <w:r>
        <w:rPr>
          <w:lang w:val="fr-LU"/>
        </w:rPr>
        <w:t xml:space="preserve"> </w:t>
      </w:r>
      <w:r w:rsidRPr="00BA69EA">
        <w:rPr>
          <w:lang w:val="fr-LU"/>
        </w:rPr>
        <w:t>Compliance Officer, Chief Internal Auditor). Ces fonctions peuvent être assurées par la fonction du siège.</w:t>
      </w:r>
    </w:p>
  </w:footnote>
  <w:footnote w:id="2">
    <w:p w:rsidR="00BA69EA" w:rsidRPr="00BA69EA" w:rsidRDefault="00BA69EA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BA69EA">
        <w:rPr>
          <w:lang w:val="fr-LU"/>
        </w:rPr>
        <w:t xml:space="preserve">  Champ à renseigner de manière obligatoire, y compris par les succursales d’Etats membres de l’UE</w:t>
      </w:r>
      <w:r>
        <w:rPr>
          <w:lang w:val="fr-L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3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6E5" w:rsidRDefault="000156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4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4"/>
    <w:lvlOverride w:ilvl="0">
      <w:startOverride w:val="3"/>
    </w:lvlOverride>
  </w:num>
  <w:num w:numId="14">
    <w:abstractNumId w:val="12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73"/>
    <w:rsid w:val="00013ECF"/>
    <w:rsid w:val="00014741"/>
    <w:rsid w:val="000156E5"/>
    <w:rsid w:val="00023164"/>
    <w:rsid w:val="0002365B"/>
    <w:rsid w:val="00031AA9"/>
    <w:rsid w:val="0004169A"/>
    <w:rsid w:val="00047609"/>
    <w:rsid w:val="00053F56"/>
    <w:rsid w:val="0006298D"/>
    <w:rsid w:val="00084B2D"/>
    <w:rsid w:val="00086C01"/>
    <w:rsid w:val="000871F5"/>
    <w:rsid w:val="00087FC7"/>
    <w:rsid w:val="000A3001"/>
    <w:rsid w:val="000A3D00"/>
    <w:rsid w:val="000A44CC"/>
    <w:rsid w:val="000A45F1"/>
    <w:rsid w:val="000F3821"/>
    <w:rsid w:val="000F462C"/>
    <w:rsid w:val="000F5E46"/>
    <w:rsid w:val="000F6A00"/>
    <w:rsid w:val="00102AFA"/>
    <w:rsid w:val="0010609C"/>
    <w:rsid w:val="001322B6"/>
    <w:rsid w:val="0016147C"/>
    <w:rsid w:val="00162AFB"/>
    <w:rsid w:val="001947AE"/>
    <w:rsid w:val="001B289E"/>
    <w:rsid w:val="001B5514"/>
    <w:rsid w:val="001E3565"/>
    <w:rsid w:val="001E459A"/>
    <w:rsid w:val="001E4CE4"/>
    <w:rsid w:val="00200F6D"/>
    <w:rsid w:val="00202523"/>
    <w:rsid w:val="00207B75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D253E"/>
    <w:rsid w:val="002E12A6"/>
    <w:rsid w:val="002F5C49"/>
    <w:rsid w:val="0031229D"/>
    <w:rsid w:val="00314964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50E7"/>
    <w:rsid w:val="003A6028"/>
    <w:rsid w:val="003B1424"/>
    <w:rsid w:val="003B1ECE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3281"/>
    <w:rsid w:val="004168AE"/>
    <w:rsid w:val="0045642A"/>
    <w:rsid w:val="00460E34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501E35"/>
    <w:rsid w:val="0050702B"/>
    <w:rsid w:val="00524D7B"/>
    <w:rsid w:val="0052699A"/>
    <w:rsid w:val="005407D0"/>
    <w:rsid w:val="005528C3"/>
    <w:rsid w:val="005601E7"/>
    <w:rsid w:val="00564CB9"/>
    <w:rsid w:val="00565259"/>
    <w:rsid w:val="00572EBA"/>
    <w:rsid w:val="0057619D"/>
    <w:rsid w:val="005764C2"/>
    <w:rsid w:val="00577673"/>
    <w:rsid w:val="005A66EE"/>
    <w:rsid w:val="005E2D4A"/>
    <w:rsid w:val="005E39F6"/>
    <w:rsid w:val="006047BE"/>
    <w:rsid w:val="00611C59"/>
    <w:rsid w:val="006132A7"/>
    <w:rsid w:val="00614F22"/>
    <w:rsid w:val="00627423"/>
    <w:rsid w:val="00627A55"/>
    <w:rsid w:val="00632A39"/>
    <w:rsid w:val="00635FA5"/>
    <w:rsid w:val="00651523"/>
    <w:rsid w:val="00652A66"/>
    <w:rsid w:val="00662614"/>
    <w:rsid w:val="00676FBE"/>
    <w:rsid w:val="00692473"/>
    <w:rsid w:val="00696D6E"/>
    <w:rsid w:val="006A4358"/>
    <w:rsid w:val="006A597B"/>
    <w:rsid w:val="006B02B0"/>
    <w:rsid w:val="006B4FBD"/>
    <w:rsid w:val="006C639F"/>
    <w:rsid w:val="006F07C4"/>
    <w:rsid w:val="0070177C"/>
    <w:rsid w:val="007030E5"/>
    <w:rsid w:val="007148EF"/>
    <w:rsid w:val="00721FBC"/>
    <w:rsid w:val="00723E46"/>
    <w:rsid w:val="00730666"/>
    <w:rsid w:val="007328FC"/>
    <w:rsid w:val="00734A1D"/>
    <w:rsid w:val="007433F6"/>
    <w:rsid w:val="00752833"/>
    <w:rsid w:val="00792B21"/>
    <w:rsid w:val="00797642"/>
    <w:rsid w:val="007D2AFB"/>
    <w:rsid w:val="007D771F"/>
    <w:rsid w:val="007E2C74"/>
    <w:rsid w:val="007E3958"/>
    <w:rsid w:val="007F547A"/>
    <w:rsid w:val="0080012E"/>
    <w:rsid w:val="0080311B"/>
    <w:rsid w:val="00806307"/>
    <w:rsid w:val="00813C84"/>
    <w:rsid w:val="00826C4C"/>
    <w:rsid w:val="00832596"/>
    <w:rsid w:val="00833CD8"/>
    <w:rsid w:val="00846877"/>
    <w:rsid w:val="00850712"/>
    <w:rsid w:val="0085416C"/>
    <w:rsid w:val="00854F9E"/>
    <w:rsid w:val="00861B44"/>
    <w:rsid w:val="00874E83"/>
    <w:rsid w:val="008900B8"/>
    <w:rsid w:val="008968FB"/>
    <w:rsid w:val="00897587"/>
    <w:rsid w:val="008A2EC1"/>
    <w:rsid w:val="008B4E67"/>
    <w:rsid w:val="008B5FEF"/>
    <w:rsid w:val="008C398F"/>
    <w:rsid w:val="008E68F6"/>
    <w:rsid w:val="008E7D26"/>
    <w:rsid w:val="008F7E6B"/>
    <w:rsid w:val="00915FBE"/>
    <w:rsid w:val="00921C9E"/>
    <w:rsid w:val="00923430"/>
    <w:rsid w:val="009279FD"/>
    <w:rsid w:val="00934365"/>
    <w:rsid w:val="0094327D"/>
    <w:rsid w:val="00945440"/>
    <w:rsid w:val="00960E31"/>
    <w:rsid w:val="00961ACE"/>
    <w:rsid w:val="009A1945"/>
    <w:rsid w:val="009A527A"/>
    <w:rsid w:val="009B4D0B"/>
    <w:rsid w:val="009C34D0"/>
    <w:rsid w:val="009D524B"/>
    <w:rsid w:val="009D7F71"/>
    <w:rsid w:val="009E5C7B"/>
    <w:rsid w:val="00A06105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D63C1"/>
    <w:rsid w:val="00AE3C4D"/>
    <w:rsid w:val="00AF07E4"/>
    <w:rsid w:val="00AF4B68"/>
    <w:rsid w:val="00AF62BA"/>
    <w:rsid w:val="00B040E6"/>
    <w:rsid w:val="00B16D24"/>
    <w:rsid w:val="00B42213"/>
    <w:rsid w:val="00B50061"/>
    <w:rsid w:val="00B6760A"/>
    <w:rsid w:val="00B67EBF"/>
    <w:rsid w:val="00B76B1F"/>
    <w:rsid w:val="00B928A5"/>
    <w:rsid w:val="00BA69EA"/>
    <w:rsid w:val="00BB01DF"/>
    <w:rsid w:val="00BC38BC"/>
    <w:rsid w:val="00BC3DD2"/>
    <w:rsid w:val="00BD0506"/>
    <w:rsid w:val="00BF39F9"/>
    <w:rsid w:val="00BF636E"/>
    <w:rsid w:val="00C01ADC"/>
    <w:rsid w:val="00C03196"/>
    <w:rsid w:val="00C22AAE"/>
    <w:rsid w:val="00C41017"/>
    <w:rsid w:val="00C52BE8"/>
    <w:rsid w:val="00C65A90"/>
    <w:rsid w:val="00C71E33"/>
    <w:rsid w:val="00C74274"/>
    <w:rsid w:val="00C81B04"/>
    <w:rsid w:val="00CA677E"/>
    <w:rsid w:val="00CB2C63"/>
    <w:rsid w:val="00CB54FE"/>
    <w:rsid w:val="00CB60B3"/>
    <w:rsid w:val="00CB636E"/>
    <w:rsid w:val="00CB790B"/>
    <w:rsid w:val="00CC25DA"/>
    <w:rsid w:val="00CC619D"/>
    <w:rsid w:val="00CC71B2"/>
    <w:rsid w:val="00CD1D9A"/>
    <w:rsid w:val="00CE7F38"/>
    <w:rsid w:val="00D030D2"/>
    <w:rsid w:val="00D12B88"/>
    <w:rsid w:val="00D349C1"/>
    <w:rsid w:val="00D34A8F"/>
    <w:rsid w:val="00D43F81"/>
    <w:rsid w:val="00D459E6"/>
    <w:rsid w:val="00D53F5D"/>
    <w:rsid w:val="00D54C16"/>
    <w:rsid w:val="00D65A71"/>
    <w:rsid w:val="00D80DD3"/>
    <w:rsid w:val="00DA26B2"/>
    <w:rsid w:val="00DA2AAD"/>
    <w:rsid w:val="00DC15F3"/>
    <w:rsid w:val="00DC2E9E"/>
    <w:rsid w:val="00DD4DD8"/>
    <w:rsid w:val="00DF5CB8"/>
    <w:rsid w:val="00E03768"/>
    <w:rsid w:val="00E2132A"/>
    <w:rsid w:val="00E24D6B"/>
    <w:rsid w:val="00E31EA4"/>
    <w:rsid w:val="00E501F9"/>
    <w:rsid w:val="00E61D12"/>
    <w:rsid w:val="00E66F61"/>
    <w:rsid w:val="00E74A07"/>
    <w:rsid w:val="00E86A3F"/>
    <w:rsid w:val="00E8766B"/>
    <w:rsid w:val="00E9235D"/>
    <w:rsid w:val="00EB0C3C"/>
    <w:rsid w:val="00EB77A8"/>
    <w:rsid w:val="00EE0C14"/>
    <w:rsid w:val="00F0297A"/>
    <w:rsid w:val="00F06F88"/>
    <w:rsid w:val="00F53EAB"/>
    <w:rsid w:val="00F5405A"/>
    <w:rsid w:val="00F55725"/>
    <w:rsid w:val="00F83C26"/>
    <w:rsid w:val="00F869F3"/>
    <w:rsid w:val="00FD4EB0"/>
    <w:rsid w:val="00FE0A6E"/>
    <w:rsid w:val="00FE6242"/>
    <w:rsid w:val="00FF0CDC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81CA5-4720-4B96-8D18-1FC46B6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2021-02-03T15:47:00Z</dcterms:created>
  <dcterms:modified xsi:type="dcterms:W3CDTF">2021-02-09T16:00:00Z</dcterms:modified>
</cp:coreProperties>
</file>